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BD1B3">
      <w:pPr>
        <w:jc w:val="center"/>
        <w:rPr>
          <w:b/>
          <w:bCs/>
        </w:rPr>
      </w:pPr>
    </w:p>
    <w:p w14:paraId="2D81289F">
      <w:pPr>
        <w:jc w:val="center"/>
        <w:rPr>
          <w:b/>
          <w:bCs/>
        </w:rPr>
      </w:pPr>
    </w:p>
    <w:p w14:paraId="70A132F9">
      <w:pPr>
        <w:jc w:val="center"/>
        <w:rPr>
          <w:b/>
          <w:bCs/>
        </w:rPr>
      </w:pPr>
      <w:r>
        <w:rPr>
          <w:rFonts w:hint="default"/>
          <w:lang w:val="de-DE"/>
        </w:rPr>
        <w:drawing>
          <wp:inline distT="0" distB="0" distL="114300" distR="114300">
            <wp:extent cx="5880100" cy="1871345"/>
            <wp:effectExtent l="0" t="0" r="12700" b="0"/>
            <wp:docPr id="1" name="Picture 1" descr="eiIE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iIET logo"/>
                    <pic:cNvPicPr>
                      <a:picLocks noChangeAspect="1"/>
                    </pic:cNvPicPr>
                  </pic:nvPicPr>
                  <pic:blipFill>
                    <a:blip r:embed="rId7"/>
                    <a:stretch>
                      <a:fillRect/>
                    </a:stretch>
                  </pic:blipFill>
                  <pic:spPr>
                    <a:xfrm>
                      <a:off x="0" y="0"/>
                      <a:ext cx="5880100" cy="1871345"/>
                    </a:xfrm>
                    <a:prstGeom prst="rect">
                      <a:avLst/>
                    </a:prstGeom>
                  </pic:spPr>
                </pic:pic>
              </a:graphicData>
            </a:graphic>
          </wp:inline>
        </w:drawing>
      </w:r>
    </w:p>
    <w:p w14:paraId="558B2CD3">
      <w:pPr>
        <w:jc w:val="center"/>
        <w:rPr>
          <w:b/>
          <w:bCs/>
        </w:rPr>
      </w:pPr>
    </w:p>
    <w:p w14:paraId="248CB397">
      <w:pPr>
        <w:jc w:val="center"/>
        <w:rPr>
          <w:b/>
          <w:bCs/>
        </w:rPr>
      </w:pPr>
    </w:p>
    <w:p w14:paraId="39DBEC0C">
      <w:pPr>
        <w:jc w:val="both"/>
        <w:rPr>
          <w:b/>
          <w:bCs/>
        </w:rPr>
      </w:pPr>
    </w:p>
    <w:p w14:paraId="5B6F2E95">
      <w:pPr>
        <w:jc w:val="center"/>
        <w:rPr>
          <w:b/>
          <w:bCs/>
        </w:rPr>
      </w:pPr>
    </w:p>
    <w:p w14:paraId="39A76D4D">
      <w:pPr>
        <w:jc w:val="center"/>
        <w:rPr>
          <w:rFonts w:hint="default" w:ascii="Times New Roman Bold" w:hAnsi="Times New Roman Bold" w:cs="Times New Roman Bold"/>
          <w:b/>
          <w:bCs/>
          <w:sz w:val="36"/>
          <w:szCs w:val="36"/>
        </w:rPr>
      </w:pPr>
      <w:r>
        <w:rPr>
          <w:rFonts w:hint="default" w:ascii="Times New Roman Bold" w:hAnsi="Times New Roman Bold" w:cs="Times New Roman Bold"/>
          <w:b/>
          <w:bCs/>
          <w:sz w:val="36"/>
          <w:szCs w:val="36"/>
        </w:rPr>
        <w:t>Crisis-Driven Talent Retention Plan in the Cruise Tourism Industry</w:t>
      </w:r>
    </w:p>
    <w:p w14:paraId="7D673C5A">
      <w:pPr>
        <w:jc w:val="center"/>
        <w:rPr>
          <w:rFonts w:hint="default" w:ascii="Times New Roman Bold" w:hAnsi="Times New Roman Bold" w:cs="Times New Roman Bold"/>
          <w:b/>
          <w:bCs/>
          <w:sz w:val="36"/>
          <w:szCs w:val="36"/>
        </w:rPr>
      </w:pPr>
    </w:p>
    <w:p w14:paraId="3EE00C96">
      <w:pPr>
        <w:jc w:val="center"/>
        <w:rPr>
          <w:rFonts w:hint="default" w:ascii="Times New Roman Bold" w:hAnsi="Times New Roman Bold" w:cs="Times New Roman Bold"/>
          <w:b/>
          <w:bCs/>
          <w:sz w:val="36"/>
          <w:szCs w:val="36"/>
        </w:rPr>
      </w:pPr>
    </w:p>
    <w:p w14:paraId="344FBB1F">
      <w:pPr>
        <w:jc w:val="both"/>
      </w:pPr>
    </w:p>
    <w:p w14:paraId="708625A5">
      <w:pPr>
        <w:jc w:val="both"/>
        <w:rPr>
          <w:rFonts w:hint="default"/>
          <w:lang w:val="de-DE"/>
        </w:rPr>
      </w:pPr>
    </w:p>
    <w:p w14:paraId="3B354548">
      <w:pPr>
        <w:jc w:val="center"/>
      </w:pPr>
    </w:p>
    <w:p w14:paraId="71CA6BED">
      <w:pPr>
        <w:jc w:val="center"/>
        <w:rPr>
          <w:rFonts w:hint="default" w:ascii="Times New Roman Bold" w:hAnsi="Times New Roman Bold" w:cs="Times New Roman Bold"/>
          <w:b/>
          <w:bCs/>
          <w:sz w:val="32"/>
          <w:szCs w:val="32"/>
          <w:lang w:val="de-DE"/>
        </w:rPr>
      </w:pPr>
      <w:r>
        <w:rPr>
          <w:rFonts w:hint="default" w:ascii="Times New Roman Bold" w:hAnsi="Times New Roman Bold" w:cs="Times New Roman Bold"/>
          <w:b/>
          <w:bCs/>
          <w:sz w:val="32"/>
          <w:szCs w:val="32"/>
        </w:rPr>
        <w:t xml:space="preserve">Student Name </w:t>
      </w:r>
      <w:r>
        <w:rPr>
          <w:rFonts w:hint="default" w:ascii="Times New Roman Bold" w:hAnsi="Times New Roman Bold" w:cs="Times New Roman Bold"/>
          <w:b/>
          <w:bCs/>
          <w:sz w:val="32"/>
          <w:szCs w:val="32"/>
          <w:lang w:val="de-DE"/>
        </w:rPr>
        <w:t>: Ajay Kumar</w:t>
      </w:r>
    </w:p>
    <w:p w14:paraId="26819B0F">
      <w:pPr>
        <w:jc w:val="center"/>
        <w:rPr>
          <w:rFonts w:hint="default" w:ascii="Times New Roman Bold" w:hAnsi="Times New Roman Bold" w:cs="Times New Roman Bold"/>
          <w:b/>
          <w:bCs/>
          <w:sz w:val="32"/>
          <w:szCs w:val="32"/>
          <w:lang w:val="de-DE"/>
        </w:rPr>
      </w:pPr>
      <w:r>
        <w:rPr>
          <w:rFonts w:hint="default" w:ascii="Times New Roman Bold" w:hAnsi="Times New Roman Bold" w:cs="Times New Roman Bold"/>
          <w:b/>
          <w:bCs/>
          <w:sz w:val="32"/>
          <w:szCs w:val="32"/>
          <w:lang w:val="de-DE"/>
        </w:rPr>
        <w:t>Student ID : DE240022</w:t>
      </w:r>
    </w:p>
    <w:p w14:paraId="7D9B50DD">
      <w:pPr>
        <w:jc w:val="center"/>
        <w:rPr>
          <w:rFonts w:hint="default" w:ascii="Times New Roman Bold" w:hAnsi="Times New Roman Bold" w:cs="Times New Roman Bold"/>
          <w:b/>
          <w:bCs/>
          <w:sz w:val="32"/>
          <w:szCs w:val="32"/>
          <w:lang w:val="de-DE"/>
        </w:rPr>
      </w:pPr>
      <w:r>
        <w:rPr>
          <w:rFonts w:hint="default" w:ascii="Times New Roman Bold" w:hAnsi="Times New Roman Bold" w:cs="Times New Roman Bold"/>
          <w:b/>
          <w:bCs/>
          <w:sz w:val="32"/>
          <w:szCs w:val="32"/>
        </w:rPr>
        <w:t xml:space="preserve">Date: </w:t>
      </w:r>
      <w:r>
        <w:rPr>
          <w:rFonts w:hint="default" w:ascii="Times New Roman Bold" w:hAnsi="Times New Roman Bold" w:cs="Times New Roman Bold"/>
          <w:b/>
          <w:bCs/>
          <w:sz w:val="32"/>
          <w:szCs w:val="32"/>
          <w:lang w:val="de-DE"/>
        </w:rPr>
        <w:t>05-05-2025</w:t>
      </w:r>
    </w:p>
    <w:p w14:paraId="1DA3CD1F">
      <w:pPr>
        <w:spacing w:line="259" w:lineRule="auto"/>
        <w:jc w:val="center"/>
        <w:rPr>
          <w:rFonts w:hint="default" w:ascii="Times New Roman Bold" w:hAnsi="Times New Roman Bold" w:cs="Times New Roman Bold" w:eastAsiaTheme="majorEastAsia"/>
          <w:b/>
          <w:bCs/>
          <w:sz w:val="32"/>
          <w:szCs w:val="32"/>
        </w:rPr>
      </w:pPr>
    </w:p>
    <w:p w14:paraId="5649B4E2">
      <w:pPr>
        <w:spacing w:line="259" w:lineRule="auto"/>
        <w:jc w:val="center"/>
        <w:rPr>
          <w:rFonts w:eastAsiaTheme="majorEastAsia" w:cstheme="majorBidi"/>
          <w:b/>
          <w:szCs w:val="32"/>
        </w:rPr>
      </w:pPr>
      <w:r>
        <w:br w:type="page"/>
      </w:r>
    </w:p>
    <w:p w14:paraId="14FDC660">
      <w:pPr>
        <w:pStyle w:val="2"/>
        <w:jc w:val="center"/>
      </w:pPr>
      <w:bookmarkStart w:id="0" w:name="_Toc195700997"/>
      <w:bookmarkStart w:id="1" w:name="_Toc192069379"/>
      <w:bookmarkStart w:id="2" w:name="_Toc194417055"/>
      <w:bookmarkStart w:id="3" w:name="_Toc192082679"/>
      <w:bookmarkStart w:id="4" w:name="_Toc196928595"/>
      <w:bookmarkStart w:id="5" w:name="_Toc194756385"/>
      <w:bookmarkStart w:id="6" w:name="_Toc194759620"/>
      <w:bookmarkStart w:id="7" w:name="_Toc192078411"/>
      <w:bookmarkStart w:id="8" w:name="_Toc195535075"/>
      <w:bookmarkStart w:id="9" w:name="_Toc196923826"/>
      <w:bookmarkStart w:id="10" w:name="_Toc192681631"/>
      <w:bookmarkStart w:id="11" w:name="_Toc194679097"/>
      <w:bookmarkStart w:id="12" w:name="_Toc195705224"/>
      <w:bookmarkStart w:id="13" w:name="_Toc192071804"/>
      <w:bookmarkStart w:id="14" w:name="_Toc196914510"/>
      <w:r>
        <w:t>Table of Contents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sdt>
      <w:sdtPr>
        <w:rPr>
          <w:rFonts w:ascii="Times New Roman" w:hAnsi="Times New Roman" w:eastAsiaTheme="minorHAnsi" w:cstheme="minorBidi"/>
          <w:color w:val="auto"/>
          <w:kern w:val="2"/>
          <w:sz w:val="24"/>
          <w:szCs w:val="22"/>
          <w:lang w:val="en-AU"/>
          <w14:ligatures w14:val="standardContextual"/>
        </w:rPr>
        <w:id w:val="125371127"/>
        <w:docPartObj>
          <w:docPartGallery w:val="Table of Contents"/>
          <w:docPartUnique/>
        </w:docPartObj>
      </w:sdtPr>
      <w:sdtEndPr>
        <w:rPr>
          <w:rFonts w:ascii="Times New Roman" w:hAnsi="Times New Roman" w:eastAsiaTheme="minorHAnsi" w:cstheme="minorBidi"/>
          <w:b/>
          <w:bCs/>
          <w:color w:val="auto"/>
          <w:kern w:val="2"/>
          <w:sz w:val="24"/>
          <w:szCs w:val="22"/>
          <w:lang w:val="en-AU"/>
          <w14:ligatures w14:val="standardContextual"/>
        </w:rPr>
      </w:sdtEndPr>
      <w:sdtContent>
        <w:p w14:paraId="40D09C68">
          <w:pPr>
            <w:pStyle w:val="21"/>
          </w:pPr>
          <w:r>
            <w:fldChar w:fldCharType="begin"/>
          </w:r>
          <w:r>
            <w:instrText xml:space="preserve"> TOC \o "1-3" \h \z \u </w:instrText>
          </w:r>
          <w:r>
            <w:fldChar w:fldCharType="separate"/>
          </w:r>
        </w:p>
        <w:p w14:paraId="1E0D1434">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"_Toc196928596" </w:instrText>
          </w:r>
          <w:r>
            <w:fldChar w:fldCharType="separate"/>
          </w:r>
          <w:r>
            <w:rPr>
              <w:rStyle w:val="11"/>
              <w:lang w:eastAsia="en-IN"/>
            </w:rPr>
            <w:t>Introduction</w:t>
          </w:r>
          <w:r>
            <w:tab/>
          </w:r>
          <w:r>
            <w:fldChar w:fldCharType="begin"/>
          </w:r>
          <w:r>
            <w:instrText xml:space="preserve"> PAGEREF _Toc196928596 \h </w:instrText>
          </w:r>
          <w:r>
            <w:fldChar w:fldCharType="separate"/>
          </w:r>
          <w:r>
            <w:t>3</w:t>
          </w:r>
          <w:r>
            <w:fldChar w:fldCharType="end"/>
          </w:r>
          <w:r>
            <w:fldChar w:fldCharType="end"/>
          </w:r>
        </w:p>
        <w:p w14:paraId="76CCE13C">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"_Toc196928597" </w:instrText>
          </w:r>
          <w:r>
            <w:fldChar w:fldCharType="separate"/>
          </w:r>
          <w:r>
            <w:rPr>
              <w:rStyle w:val="11"/>
              <w:rFonts w:eastAsia="Times New Roman"/>
              <w:lang w:val="en-IN" w:eastAsia="en-IN"/>
            </w:rPr>
            <w:t>Crisis Communication Strategy</w:t>
          </w:r>
          <w:r>
            <w:tab/>
          </w:r>
          <w:r>
            <w:fldChar w:fldCharType="begin"/>
          </w:r>
          <w:r>
            <w:instrText xml:space="preserve"> PAGEREF _Toc196928597 \h </w:instrText>
          </w:r>
          <w:r>
            <w:fldChar w:fldCharType="separate"/>
          </w:r>
          <w:r>
            <w:t>3</w:t>
          </w:r>
          <w:r>
            <w:fldChar w:fldCharType="end"/>
          </w:r>
          <w:r>
            <w:fldChar w:fldCharType="end"/>
          </w:r>
        </w:p>
        <w:p w14:paraId="2CE9AC8A">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"_Toc196928598" </w:instrText>
          </w:r>
          <w:r>
            <w:fldChar w:fldCharType="separate"/>
          </w:r>
          <w:r>
            <w:rPr>
              <w:rStyle w:val="11"/>
              <w:lang w:val="en-IN" w:eastAsia="en-IN"/>
            </w:rPr>
            <w:t>Purpose: Transparency, Reassurance, and Alignment</w:t>
          </w:r>
          <w:r>
            <w:tab/>
          </w:r>
          <w:r>
            <w:fldChar w:fldCharType="begin"/>
          </w:r>
          <w:r>
            <w:instrText xml:space="preserve"> PAGEREF _Toc196928598 \h </w:instrText>
          </w:r>
          <w:r>
            <w:fldChar w:fldCharType="separate"/>
          </w:r>
          <w:r>
            <w:t>3</w:t>
          </w:r>
          <w:r>
            <w:fldChar w:fldCharType="end"/>
          </w:r>
          <w:r>
            <w:fldChar w:fldCharType="end"/>
          </w:r>
        </w:p>
        <w:p w14:paraId="1B8CF9C9">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"_Toc196928599" </w:instrText>
          </w:r>
          <w:r>
            <w:fldChar w:fldCharType="separate"/>
          </w:r>
          <w:r>
            <w:rPr>
              <w:rStyle w:val="11"/>
            </w:rPr>
            <w:t>Sample Internal Memo (Formal and Empathetic)</w:t>
          </w:r>
          <w:r>
            <w:tab/>
          </w:r>
          <w:r>
            <w:fldChar w:fldCharType="begin"/>
          </w:r>
          <w:r>
            <w:instrText xml:space="preserve"> PAGEREF _Toc196928599 \h </w:instrText>
          </w:r>
          <w:r>
            <w:fldChar w:fldCharType="separate"/>
          </w:r>
          <w:r>
            <w:t>4</w:t>
          </w:r>
          <w:r>
            <w:fldChar w:fldCharType="end"/>
          </w:r>
          <w:r>
            <w:fldChar w:fldCharType="end"/>
          </w:r>
        </w:p>
        <w:p w14:paraId="0A574AB9">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"_Toc196928600" </w:instrText>
          </w:r>
          <w:r>
            <w:fldChar w:fldCharType="separate"/>
          </w:r>
          <w:r>
            <w:rPr>
              <w:rStyle w:val="11"/>
            </w:rPr>
            <w:t>Sample FAQ: Jobs, Health &amp; Safety</w:t>
          </w:r>
          <w:r>
            <w:tab/>
          </w:r>
          <w:r>
            <w:fldChar w:fldCharType="begin"/>
          </w:r>
          <w:r>
            <w:instrText xml:space="preserve"> PAGEREF _Toc196928600 \h </w:instrText>
          </w:r>
          <w:r>
            <w:fldChar w:fldCharType="separate"/>
          </w:r>
          <w:r>
            <w:t>4</w:t>
          </w:r>
          <w:r>
            <w:fldChar w:fldCharType="end"/>
          </w:r>
          <w:r>
            <w:fldChar w:fldCharType="end"/>
          </w:r>
        </w:p>
        <w:p w14:paraId="51DA3F3F">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"_Toc196928601" </w:instrText>
          </w:r>
          <w:r>
            <w:fldChar w:fldCharType="separate"/>
          </w:r>
          <w:r>
            <w:rPr>
              <w:rStyle w:val="11"/>
            </w:rPr>
            <w:t>Staff Video Script (Leadership Message)</w:t>
          </w:r>
          <w:r>
            <w:tab/>
          </w:r>
          <w:r>
            <w:fldChar w:fldCharType="begin"/>
          </w:r>
          <w:r>
            <w:instrText xml:space="preserve"> PAGEREF _Toc196928601 \h </w:instrText>
          </w:r>
          <w:r>
            <w:fldChar w:fldCharType="separate"/>
          </w:r>
          <w:r>
            <w:t>5</w:t>
          </w:r>
          <w:r>
            <w:fldChar w:fldCharType="end"/>
          </w:r>
          <w:r>
            <w:fldChar w:fldCharType="end"/>
          </w:r>
        </w:p>
        <w:p w14:paraId="3CB93BE3">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"_Toc196928602" </w:instrText>
          </w:r>
          <w:r>
            <w:fldChar w:fldCharType="separate"/>
          </w:r>
          <w:r>
            <w:rPr>
              <w:rStyle w:val="11"/>
              <w:rFonts w:eastAsia="Times New Roman"/>
              <w:lang w:val="en-IN" w:eastAsia="en-IN"/>
            </w:rPr>
            <w:t>Leadership &amp; Well-being Support</w:t>
          </w:r>
          <w:r>
            <w:tab/>
          </w:r>
          <w:r>
            <w:fldChar w:fldCharType="begin"/>
          </w:r>
          <w:r>
            <w:instrText xml:space="preserve"> PAGEREF _Toc196928602 \h </w:instrText>
          </w:r>
          <w:r>
            <w:fldChar w:fldCharType="separate"/>
          </w:r>
          <w:r>
            <w:t>6</w:t>
          </w:r>
          <w:r>
            <w:fldChar w:fldCharType="end"/>
          </w:r>
          <w:r>
            <w:fldChar w:fldCharType="end"/>
          </w:r>
        </w:p>
        <w:p w14:paraId="293B51CD">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"_Toc196928603" </w:instrText>
          </w:r>
          <w:r>
            <w:fldChar w:fldCharType="separate"/>
          </w:r>
          <w:r>
            <w:rPr>
              <w:rStyle w:val="11"/>
            </w:rPr>
            <w:t>The Role of Emotional Intelligence in Crisis Leadership</w:t>
          </w:r>
          <w:r>
            <w:tab/>
          </w:r>
          <w:r>
            <w:fldChar w:fldCharType="begin"/>
          </w:r>
          <w:r>
            <w:instrText xml:space="preserve"> PAGEREF _Toc196928603 \h </w:instrText>
          </w:r>
          <w:r>
            <w:fldChar w:fldCharType="separate"/>
          </w:r>
          <w:r>
            <w:t>6</w:t>
          </w:r>
          <w:r>
            <w:fldChar w:fldCharType="end"/>
          </w:r>
          <w:r>
            <w:fldChar w:fldCharType="end"/>
          </w:r>
        </w:p>
        <w:p w14:paraId="63BDF33F">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"_Toc196928604" </w:instrText>
          </w:r>
          <w:r>
            <w:fldChar w:fldCharType="separate"/>
          </w:r>
          <w:r>
            <w:rPr>
              <w:rStyle w:val="11"/>
            </w:rPr>
            <w:t>Mental Well-being Programs</w:t>
          </w:r>
          <w:r>
            <w:tab/>
          </w:r>
          <w:r>
            <w:fldChar w:fldCharType="begin"/>
          </w:r>
          <w:r>
            <w:instrText xml:space="preserve"> PAGEREF _Toc196928604 \h </w:instrText>
          </w:r>
          <w:r>
            <w:fldChar w:fldCharType="separate"/>
          </w:r>
          <w:r>
            <w:t>6</w:t>
          </w:r>
          <w:r>
            <w:fldChar w:fldCharType="end"/>
          </w:r>
          <w:r>
            <w:fldChar w:fldCharType="end"/>
          </w:r>
        </w:p>
        <w:p w14:paraId="0929A68F">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"_Toc196928605" </w:instrText>
          </w:r>
          <w:r>
            <w:fldChar w:fldCharType="separate"/>
          </w:r>
          <w:r>
            <w:rPr>
              <w:rStyle w:val="11"/>
            </w:rPr>
            <w:t>Visible Leadership and Trust Building</w:t>
          </w:r>
          <w:r>
            <w:tab/>
          </w:r>
          <w:r>
            <w:fldChar w:fldCharType="begin"/>
          </w:r>
          <w:r>
            <w:instrText xml:space="preserve"> PAGEREF _Toc196928605 \h </w:instrText>
          </w:r>
          <w:r>
            <w:fldChar w:fldCharType="separate"/>
          </w:r>
          <w:r>
            <w:t>6</w:t>
          </w:r>
          <w:r>
            <w:fldChar w:fldCharType="end"/>
          </w:r>
          <w:r>
            <w:fldChar w:fldCharType="end"/>
          </w:r>
        </w:p>
        <w:p w14:paraId="1DE77A4B">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"_Toc196928606" </w:instrText>
          </w:r>
          <w:r>
            <w:fldChar w:fldCharType="separate"/>
          </w:r>
          <w:r>
            <w:rPr>
              <w:rStyle w:val="11"/>
            </w:rPr>
            <w:t>Remote Onboarding During/Post Crisis</w:t>
          </w:r>
          <w:r>
            <w:tab/>
          </w:r>
          <w:r>
            <w:fldChar w:fldCharType="begin"/>
          </w:r>
          <w:r>
            <w:instrText xml:space="preserve"> PAGEREF _Toc196928606 \h </w:instrText>
          </w:r>
          <w:r>
            <w:fldChar w:fldCharType="separate"/>
          </w:r>
          <w:r>
            <w:t>7</w:t>
          </w:r>
          <w:r>
            <w:fldChar w:fldCharType="end"/>
          </w:r>
          <w:r>
            <w:fldChar w:fldCharType="end"/>
          </w:r>
        </w:p>
        <w:p w14:paraId="544B4784">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"_Toc196928607" </w:instrText>
          </w:r>
          <w:r>
            <w:fldChar w:fldCharType="separate"/>
          </w:r>
          <w:r>
            <w:rPr>
              <w:rStyle w:val="11"/>
              <w:rFonts w:eastAsia="Times New Roman"/>
              <w:lang w:val="en-IN" w:eastAsia="en-IN"/>
            </w:rPr>
            <w:t>Talent Analytics &amp; Monitoring</w:t>
          </w:r>
          <w:r>
            <w:tab/>
          </w:r>
          <w:r>
            <w:fldChar w:fldCharType="begin"/>
          </w:r>
          <w:r>
            <w:instrText xml:space="preserve"> PAGEREF _Toc196928607 \h </w:instrText>
          </w:r>
          <w:r>
            <w:fldChar w:fldCharType="separate"/>
          </w:r>
          <w:r>
            <w:t>7</w:t>
          </w:r>
          <w:r>
            <w:fldChar w:fldCharType="end"/>
          </w:r>
          <w:r>
            <w:fldChar w:fldCharType="end"/>
          </w:r>
        </w:p>
        <w:p w14:paraId="67037C9A">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"_Toc196928608" </w:instrText>
          </w:r>
          <w:r>
            <w:fldChar w:fldCharType="separate"/>
          </w:r>
          <w:r>
            <w:rPr>
              <w:rStyle w:val="11"/>
              <w:lang w:val="en-IN" w:eastAsia="en-IN"/>
            </w:rPr>
            <w:t>Tools to Monitor Turnover, Absenteeism, and Engagement</w:t>
          </w:r>
          <w:r>
            <w:tab/>
          </w:r>
          <w:r>
            <w:fldChar w:fldCharType="begin"/>
          </w:r>
          <w:r>
            <w:instrText xml:space="preserve"> PAGEREF _Toc196928608 \h </w:instrText>
          </w:r>
          <w:r>
            <w:fldChar w:fldCharType="separate"/>
          </w:r>
          <w:r>
            <w:t>7</w:t>
          </w:r>
          <w:r>
            <w:fldChar w:fldCharType="end"/>
          </w:r>
          <w:r>
            <w:fldChar w:fldCharType="end"/>
          </w:r>
        </w:p>
        <w:p w14:paraId="0BCFFE22">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"_Toc196928609" </w:instrText>
          </w:r>
          <w:r>
            <w:fldChar w:fldCharType="separate"/>
          </w:r>
          <w:r>
            <w:rPr>
              <w:rStyle w:val="11"/>
              <w:lang w:val="en-IN" w:eastAsia="en-IN"/>
            </w:rPr>
            <w:t>Key Metrics: Retention Rate, Exit Survey Themes, Morale Indicators</w:t>
          </w:r>
          <w:r>
            <w:tab/>
          </w:r>
          <w:r>
            <w:fldChar w:fldCharType="begin"/>
          </w:r>
          <w:r>
            <w:instrText xml:space="preserve"> PAGEREF _Toc196928609 \h </w:instrText>
          </w:r>
          <w:r>
            <w:fldChar w:fldCharType="separate"/>
          </w:r>
          <w:r>
            <w:t>8</w:t>
          </w:r>
          <w:r>
            <w:fldChar w:fldCharType="end"/>
          </w:r>
          <w:r>
            <w:fldChar w:fldCharType="end"/>
          </w:r>
        </w:p>
        <w:p w14:paraId="45551E31">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"_Toc196928610" </w:instrText>
          </w:r>
          <w:r>
            <w:fldChar w:fldCharType="separate"/>
          </w:r>
          <w:r>
            <w:rPr>
              <w:rStyle w:val="11"/>
            </w:rPr>
            <w:t>Using Data to Adapt Retention Strategies Post-Crisis</w:t>
          </w:r>
          <w:r>
            <w:tab/>
          </w:r>
          <w:r>
            <w:fldChar w:fldCharType="begin"/>
          </w:r>
          <w:r>
            <w:instrText xml:space="preserve"> PAGEREF _Toc196928610 \h </w:instrText>
          </w:r>
          <w:r>
            <w:fldChar w:fldCharType="separate"/>
          </w:r>
          <w:r>
            <w:t>8</w:t>
          </w:r>
          <w:r>
            <w:fldChar w:fldCharType="end"/>
          </w:r>
          <w:r>
            <w:fldChar w:fldCharType="end"/>
          </w:r>
        </w:p>
        <w:p w14:paraId="6D740E59">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"_Toc196928611" </w:instrText>
          </w:r>
          <w:r>
            <w:fldChar w:fldCharType="separate"/>
          </w:r>
          <w:r>
            <w:rPr>
              <w:rStyle w:val="11"/>
              <w:lang w:val="en-IN" w:eastAsia="en-IN"/>
            </w:rPr>
            <w:t>Integration with HR Platforms</w:t>
          </w:r>
          <w:r>
            <w:tab/>
          </w:r>
          <w:r>
            <w:fldChar w:fldCharType="begin"/>
          </w:r>
          <w:r>
            <w:instrText xml:space="preserve"> PAGEREF _Toc196928611 \h </w:instrText>
          </w:r>
          <w:r>
            <w:fldChar w:fldCharType="separate"/>
          </w:r>
          <w:r>
            <w:t>8</w:t>
          </w:r>
          <w:r>
            <w:fldChar w:fldCharType="end"/>
          </w:r>
          <w:r>
            <w:fldChar w:fldCharType="end"/>
          </w:r>
        </w:p>
        <w:p w14:paraId="1857504A">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"_Toc196928612" </w:instrText>
          </w:r>
          <w:r>
            <w:fldChar w:fldCharType="separate"/>
          </w:r>
          <w:r>
            <w:rPr>
              <w:rStyle w:val="11"/>
              <w:lang w:val="en-IN" w:eastAsia="en-IN"/>
            </w:rPr>
            <w:t>Conclusion</w:t>
          </w:r>
          <w:r>
            <w:tab/>
          </w:r>
          <w:r>
            <w:fldChar w:fldCharType="begin"/>
          </w:r>
          <w:r>
            <w:instrText xml:space="preserve"> PAGEREF _Toc196928612 \h </w:instrText>
          </w:r>
          <w:r>
            <w:fldChar w:fldCharType="separate"/>
          </w:r>
          <w:r>
            <w:t>9</w:t>
          </w:r>
          <w:r>
            <w:fldChar w:fldCharType="end"/>
          </w:r>
          <w:r>
            <w:fldChar w:fldCharType="end"/>
          </w:r>
        </w:p>
        <w:p w14:paraId="68AFE658">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"_Toc196928613" </w:instrText>
          </w:r>
          <w:r>
            <w:fldChar w:fldCharType="separate"/>
          </w:r>
          <w:r>
            <w:rPr>
              <w:rStyle w:val="11"/>
              <w:lang w:val="en-IN" w:eastAsia="en-IN"/>
            </w:rPr>
            <w:t>References</w:t>
          </w:r>
          <w:r>
            <w:tab/>
          </w:r>
          <w:r>
            <w:fldChar w:fldCharType="begin"/>
          </w:r>
          <w:r>
            <w:instrText xml:space="preserve"> PAGEREF _Toc196928613 \h </w:instrText>
          </w:r>
          <w:r>
            <w:fldChar w:fldCharType="separate"/>
          </w:r>
          <w:r>
            <w:t>10</w:t>
          </w:r>
          <w:r>
            <w:fldChar w:fldCharType="end"/>
          </w:r>
          <w:r>
            <w:fldChar w:fldCharType="end"/>
          </w:r>
        </w:p>
        <w:p w14:paraId="1EBF78F5">
          <w:r>
            <w:rPr>
              <w:b/>
              <w:bCs/>
            </w:rPr>
            <w:fldChar w:fldCharType="end"/>
          </w:r>
        </w:p>
      </w:sdtContent>
    </w:sdt>
    <w:p w14:paraId="1B41F31A">
      <w:pPr>
        <w:rPr>
          <w:lang w:eastAsia="en-IN"/>
        </w:rPr>
      </w:pPr>
    </w:p>
    <w:p w14:paraId="14FCC6BC">
      <w:pPr>
        <w:pStyle w:val="2"/>
        <w:jc w:val="center"/>
        <w:rPr>
          <w:lang w:eastAsia="en-IN"/>
        </w:rPr>
      </w:pPr>
      <w:bookmarkStart w:id="15" w:name="_Toc195535076"/>
      <w:r>
        <w:rPr>
          <w:lang w:eastAsia="en-IN"/>
        </w:rPr>
        <w:br w:type="page"/>
      </w:r>
      <w:bookmarkStart w:id="16" w:name="_Toc195543963"/>
    </w:p>
    <w:bookmarkEnd w:id="16"/>
    <w:p w14:paraId="40E6C41E">
      <w:pPr>
        <w:pStyle w:val="2"/>
        <w:jc w:val="center"/>
        <w:rPr>
          <w:lang w:eastAsia="en-IN"/>
        </w:rPr>
      </w:pPr>
      <w:bookmarkStart w:id="17" w:name="_Toc196923827"/>
      <w:bookmarkStart w:id="18" w:name="_Toc196928596"/>
      <w:bookmarkStart w:id="19" w:name="_Toc196914511"/>
      <w:r>
        <w:rPr>
          <w:lang w:eastAsia="en-IN"/>
        </w:rPr>
        <w:t>Introduction</w:t>
      </w:r>
      <w:bookmarkEnd w:id="17"/>
      <w:bookmarkEnd w:id="18"/>
      <w:bookmarkEnd w:id="19"/>
    </w:p>
    <w:p w14:paraId="0FCFFE30">
      <w:pPr>
        <w:ind w:firstLine="720"/>
        <w:rPr>
          <w:lang w:eastAsia="en-IN"/>
        </w:rPr>
      </w:pPr>
      <w:r>
        <w:rPr>
          <w:lang w:eastAsia="en-IN"/>
        </w:rPr>
        <w:t>The cruise industry has dealt with major business and image problems over the last few years, particularly throughout the COVID-19 outbreak. With limited space and many visitors, cruise ships symbolized healthcare problems and business weakness, resulting in extensive public attention and operational failures. When a crisis hit the organization, it showed that its internal controls and communication systems lacked readiness, which caused big drops in customer confidence and decreased team motivation (Radic et al., 2020).</w:t>
      </w:r>
    </w:p>
    <w:p w14:paraId="4BB5983C">
      <w:pPr>
        <w:ind w:firstLine="720"/>
        <w:jc w:val="center"/>
        <w:rPr>
          <w:lang w:eastAsia="en-IN"/>
        </w:rPr>
      </w:pPr>
      <w:r>
        <w:rPr>
          <w:lang w:eastAsia="en-IN"/>
        </w:rPr>
        <w:drawing>
          <wp:inline distT="0" distB="0" distL="0" distR="0">
            <wp:extent cx="3263900" cy="1781810"/>
            <wp:effectExtent l="0" t="0" r="0" b="8890"/>
            <wp:docPr id="1287043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043442" name="Picture 1"/>
                    <pic:cNvPicPr>
                      <a:picLocks noChangeAspect="1"/>
                    </pic:cNvPicPr>
                  </pic:nvPicPr>
                  <pic:blipFill>
                    <a:blip r:embed="rId8"/>
                    <a:stretch>
                      <a:fillRect/>
                    </a:stretch>
                  </pic:blipFill>
                  <pic:spPr>
                    <a:xfrm>
                      <a:off x="0" y="0"/>
                      <a:ext cx="3275255" cy="1788581"/>
                    </a:xfrm>
                    <a:prstGeom prst="rect">
                      <a:avLst/>
                    </a:prstGeom>
                  </pic:spPr>
                </pic:pic>
              </a:graphicData>
            </a:graphic>
          </wp:inline>
        </w:drawing>
      </w:r>
    </w:p>
    <w:p w14:paraId="53AA1076">
      <w:pPr>
        <w:ind w:firstLine="720"/>
        <w:jc w:val="center"/>
        <w:rPr>
          <w:i/>
          <w:iCs/>
          <w:lang w:eastAsia="en-IN"/>
        </w:rPr>
      </w:pPr>
      <w:r>
        <w:rPr>
          <w:i/>
          <w:iCs/>
          <w:lang w:eastAsia="en-IN"/>
        </w:rPr>
        <w:t>Figure 1: Cruise Industry Performance Post COVID-19</w:t>
      </w:r>
    </w:p>
    <w:p w14:paraId="2BEC11AC">
      <w:pPr>
        <w:ind w:firstLine="720"/>
        <w:jc w:val="center"/>
        <w:rPr>
          <w:i/>
          <w:iCs/>
          <w:lang w:eastAsia="en-IN"/>
        </w:rPr>
      </w:pPr>
      <w:r>
        <w:rPr>
          <w:i/>
          <w:iCs/>
          <w:lang w:eastAsia="en-IN"/>
        </w:rPr>
        <w:t>Source: (Richter, n.d.)</w:t>
      </w:r>
    </w:p>
    <w:p w14:paraId="62C805A4">
      <w:pPr>
        <w:ind w:firstLine="720"/>
        <w:rPr>
          <w:lang w:eastAsia="en-IN"/>
        </w:rPr>
      </w:pPr>
      <w:r>
        <w:rPr>
          <w:lang w:eastAsia="en-IN"/>
        </w:rPr>
        <w:t>The crisis made employee satisfaction and keeping experienced staff become important business objectives. When the crisis hit frontline workers showed signs of anxiety which made them want to leave their jobs according to Liu-Lastres et al. (2023). Effective leadership and open communication come first in everything that tourism businesses and cruise operators should do to protect their staff loyalty both now and in future crises (Sharples et al., 2023).</w:t>
      </w:r>
    </w:p>
    <w:p w14:paraId="7CD112D5">
      <w:pPr>
        <w:ind w:firstLine="720"/>
        <w:rPr>
          <w:lang w:eastAsia="en-IN"/>
        </w:rPr>
      </w:pPr>
      <w:r>
        <w:rPr>
          <w:lang w:eastAsia="en-IN"/>
        </w:rPr>
        <w:t>This report develops a full talent retention system for a cruise line enterprise, addressing its health crisis exposure issues worldwide. The plan starts by crafting proper messages to staff, combined with executive videos and written employee responses. The following segment investigates leadership emotional intelligence through employee mental health assistance and handling new hires at a distance. Our final section shows how talent analytics track employee mood and commitment levels, plus turnover following the crisis.</w:t>
      </w:r>
    </w:p>
    <w:p w14:paraId="6B7D4141">
      <w:pPr>
        <w:ind w:firstLine="720"/>
        <w:rPr>
          <w:lang w:eastAsia="en-IN"/>
        </w:rPr>
      </w:pPr>
      <w:r>
        <w:rPr>
          <w:lang w:eastAsia="en-IN"/>
        </w:rPr>
        <w:t>This report helps Berlin-based stakeholders communicate openly while respecting local labour laws, while giving staff teams the authority to solve specific issues. Our purpose is to develop a plan that helps employees return to work and fixes damaged relationships at all staff ranks.</w:t>
      </w:r>
    </w:p>
    <w:p w14:paraId="1D793314">
      <w:pPr>
        <w:ind w:firstLine="720"/>
        <w:rPr>
          <w:lang w:eastAsia="en-IN"/>
        </w:rPr>
      </w:pPr>
    </w:p>
    <w:p w14:paraId="709E894F">
      <w:pPr>
        <w:ind w:firstLine="720"/>
        <w:rPr>
          <w:lang w:eastAsia="en-IN"/>
        </w:rPr>
      </w:pPr>
    </w:p>
    <w:p w14:paraId="5DE9F018">
      <w:pPr>
        <w:pStyle w:val="2"/>
        <w:jc w:val="center"/>
        <w:rPr>
          <w:rFonts w:eastAsia="Times New Roman"/>
          <w:lang w:val="en-IN" w:eastAsia="en-IN"/>
        </w:rPr>
      </w:pPr>
      <w:bookmarkStart w:id="20" w:name="_Toc196928597"/>
      <w:r>
        <w:rPr>
          <w:rFonts w:eastAsia="Times New Roman"/>
          <w:lang w:val="en-IN" w:eastAsia="en-IN"/>
        </w:rPr>
        <w:t>Crisis Communication Strategy</w:t>
      </w:r>
      <w:bookmarkEnd w:id="20"/>
    </w:p>
    <w:p w14:paraId="1CF61998">
      <w:pPr>
        <w:pStyle w:val="3"/>
        <w:rPr>
          <w:lang w:val="en-IN" w:eastAsia="en-IN"/>
        </w:rPr>
      </w:pPr>
      <w:bookmarkStart w:id="21" w:name="_Toc196928598"/>
      <w:r>
        <w:rPr>
          <w:lang w:val="en-IN" w:eastAsia="en-IN"/>
        </w:rPr>
        <w:t>Purpose: Transparency, Reassurance, and Alignment</w:t>
      </w:r>
      <w:bookmarkEnd w:id="21"/>
    </w:p>
    <w:p w14:paraId="1295AD25">
      <w:pPr>
        <w:ind w:firstLine="720"/>
        <w:rPr>
          <w:lang w:val="en-IN" w:eastAsia="en-IN"/>
        </w:rPr>
      </w:pPr>
      <w:r>
        <w:rPr>
          <w:lang w:val="en-IN" w:eastAsia="en-IN"/>
        </w:rPr>
        <w:t>To succeed with crisis management in cruise tourism, the company needs to share reliable information while building staff confidence and ensuring all departments work together. When health emergencies occur on board the ship, both staff and employees experience anxiety about their jobs while feeling stressed out. Staff psychological safety and recovery alignment become stronger through effective intracompany message exchange, according to Liu-Lastres et al. (2023).</w:t>
      </w:r>
    </w:p>
    <w:p w14:paraId="58175D66">
      <w:pPr>
        <w:ind w:firstLine="720"/>
        <w:rPr>
          <w:lang w:val="en-IN" w:eastAsia="en-IN"/>
        </w:rPr>
      </w:pPr>
      <w:r>
        <w:rPr>
          <w:lang w:val="en-IN" w:eastAsia="en-IN"/>
        </w:rPr>
        <w:t>The research shows organizations need to send messages both to protect employees and to boost their ability to perform and regain strength when crisis strikes (Sharples et al., 2023). By combining these approaches, we create better spirits among our workers without losing our employees' trust.</w:t>
      </w:r>
    </w:p>
    <w:p w14:paraId="6683C540">
      <w:pPr>
        <w:pStyle w:val="3"/>
      </w:pPr>
      <w:bookmarkStart w:id="22" w:name="_Toc196928599"/>
      <w:r>
        <w:t>Sample Internal Memo (Formal and Empathetic)</w:t>
      </w:r>
      <w:bookmarkEnd w:id="22"/>
    </w:p>
    <w:p w14:paraId="7C28684E">
      <w:r>
        <w:t>To: All Cruise Line Team Members</w:t>
      </w:r>
    </w:p>
    <w:p w14:paraId="01F23457">
      <w:r>
        <w:t>From: Executive Leadership Team</w:t>
      </w:r>
    </w:p>
    <w:p w14:paraId="30A962BB">
      <w:r>
        <w:t>Subject: Internal Update on Recent Health Incident and Next Steps</w:t>
      </w:r>
    </w:p>
    <w:p w14:paraId="5B0B19B7">
      <w:pPr>
        <w:rPr>
          <w:i/>
          <w:iCs/>
        </w:rPr>
      </w:pPr>
      <w:r>
        <w:rPr>
          <w:i/>
          <w:iCs/>
        </w:rPr>
        <w:t>Dear Team,</w:t>
      </w:r>
    </w:p>
    <w:p w14:paraId="27D5CAE9">
      <w:pPr>
        <w:ind w:firstLine="720"/>
        <w:rPr>
          <w:i/>
          <w:iCs/>
          <w:lang w:val="en-IN" w:eastAsia="en-IN"/>
        </w:rPr>
      </w:pPr>
      <w:r>
        <w:rPr>
          <w:i/>
          <w:iCs/>
          <w:lang w:val="en-IN" w:eastAsia="en-IN"/>
        </w:rPr>
        <w:t>You have our appreciation for your outstanding commitment through these difficult days. Our company recorded a health problem on one ship. Our medical professionals and crisis resolution groups responded right away while health agencies provided us guidance about all staff and guests' safety.</w:t>
      </w:r>
    </w:p>
    <w:p w14:paraId="658C54D9">
      <w:pPr>
        <w:ind w:firstLine="720"/>
        <w:rPr>
          <w:i/>
          <w:iCs/>
          <w:lang w:val="en-IN" w:eastAsia="en-IN"/>
        </w:rPr>
      </w:pPr>
      <w:r>
        <w:rPr>
          <w:i/>
          <w:iCs/>
          <w:lang w:val="en-IN" w:eastAsia="en-IN"/>
        </w:rPr>
        <w:t>Our team understands the condition brings worries to everyone. Your safety along with your employment status and peace of mind come first for us. Our safety procedures receive added protection while we add emotional support services to our response.</w:t>
      </w:r>
    </w:p>
    <w:p w14:paraId="6C9FA177">
      <w:pPr>
        <w:ind w:firstLine="720"/>
        <w:rPr>
          <w:i/>
          <w:iCs/>
          <w:lang w:val="en-IN" w:eastAsia="en-IN"/>
        </w:rPr>
      </w:pPr>
      <w:r>
        <w:rPr>
          <w:i/>
          <w:iCs/>
          <w:lang w:val="en-IN" w:eastAsia="en-IN"/>
        </w:rPr>
        <w:t>More information will follow soon. Our team remains honest with all customers who want to know more about our safety initiatives.</w:t>
      </w:r>
    </w:p>
    <w:p w14:paraId="73827E2B">
      <w:pPr>
        <w:rPr>
          <w:i/>
          <w:iCs/>
          <w:lang w:eastAsia="en-IN"/>
        </w:rPr>
      </w:pPr>
      <w:r>
        <w:rPr>
          <w:i/>
          <w:iCs/>
          <w:lang w:eastAsia="en-IN"/>
        </w:rPr>
        <w:t>[CEO Name]</w:t>
      </w:r>
    </w:p>
    <w:p w14:paraId="4A674917">
      <w:pPr>
        <w:rPr>
          <w:i/>
          <w:iCs/>
          <w:lang w:eastAsia="en-IN"/>
        </w:rPr>
      </w:pPr>
      <w:r>
        <w:rPr>
          <w:i/>
          <w:iCs/>
          <w:lang w:eastAsia="en-IN"/>
        </w:rPr>
        <w:t>Cruise Line Executive Team</w:t>
      </w:r>
    </w:p>
    <w:p w14:paraId="1CDCB80C">
      <w:pPr>
        <w:pStyle w:val="3"/>
        <w:rPr>
          <w:lang w:eastAsia="en-IN"/>
        </w:rPr>
      </w:pPr>
      <w:bookmarkStart w:id="23" w:name="_Toc196928600"/>
      <w:r>
        <w:t>Sample FAQ: Jobs, Health &amp; Safety</w:t>
      </w:r>
      <w:bookmarkEnd w:id="23"/>
    </w:p>
    <w:p w14:paraId="342BC3D6">
      <w:pPr>
        <w:rPr>
          <w:b/>
          <w:bCs/>
          <w:lang w:eastAsia="en-IN"/>
        </w:rPr>
      </w:pPr>
      <w:r>
        <w:rPr>
          <w:b/>
          <w:bCs/>
          <w:lang w:eastAsia="en-IN"/>
        </w:rPr>
        <w:t>1. Will my job be affected because of the health issue at hand?</w:t>
      </w:r>
    </w:p>
    <w:p w14:paraId="0E04A912">
      <w:pPr>
        <w:rPr>
          <w:lang w:eastAsia="en-IN"/>
        </w:rPr>
      </w:pPr>
      <w:r>
        <w:rPr>
          <w:lang w:eastAsia="en-IN"/>
        </w:rPr>
        <w:t>No layoffs are planned. The company promises to keep all employees with active frontline contracts working on their posts. Our main priority remains to help and keep our employees at their jobs.</w:t>
      </w:r>
    </w:p>
    <w:p w14:paraId="710423FB">
      <w:pPr>
        <w:rPr>
          <w:b/>
          <w:bCs/>
          <w:lang w:eastAsia="en-IN"/>
        </w:rPr>
      </w:pPr>
      <w:r>
        <w:rPr>
          <w:b/>
          <w:bCs/>
          <w:lang w:eastAsia="en-IN"/>
        </w:rPr>
        <w:t>2. How does the company strengthen its health protection measures?</w:t>
      </w:r>
    </w:p>
    <w:p w14:paraId="0E17C382">
      <w:pPr>
        <w:rPr>
          <w:lang w:eastAsia="en-IN"/>
        </w:rPr>
      </w:pPr>
      <w:r>
        <w:rPr>
          <w:lang w:eastAsia="en-IN"/>
        </w:rPr>
        <w:t>Daily, employees undergo testing, and the ship's utilization of higher-quality filters delivers meals without physical contact.</w:t>
      </w:r>
    </w:p>
    <w:p w14:paraId="580EBC3F">
      <w:pPr>
        <w:rPr>
          <w:b/>
          <w:bCs/>
          <w:lang w:eastAsia="en-IN"/>
        </w:rPr>
      </w:pPr>
      <w:r>
        <w:rPr>
          <w:b/>
          <w:bCs/>
          <w:lang w:eastAsia="en-IN"/>
        </w:rPr>
        <w:t>3. Will ships continue sailing?</w:t>
      </w:r>
    </w:p>
    <w:p w14:paraId="4858AC4E">
      <w:pPr>
        <w:rPr>
          <w:lang w:eastAsia="en-IN"/>
        </w:rPr>
      </w:pPr>
      <w:r>
        <w:rPr>
          <w:lang w:eastAsia="en-IN"/>
        </w:rPr>
        <w:t>Affected cruises are under review. The company will keep employees working their usual hours or switch them to open positions as needed.</w:t>
      </w:r>
    </w:p>
    <w:p w14:paraId="30A7576D">
      <w:pPr>
        <w:rPr>
          <w:b/>
          <w:bCs/>
          <w:lang w:eastAsia="en-IN"/>
        </w:rPr>
      </w:pPr>
      <w:r>
        <w:rPr>
          <w:b/>
          <w:bCs/>
          <w:lang w:eastAsia="en-IN"/>
        </w:rPr>
        <w:t>4. Can I talk with an organization member about my concerns at this time?</w:t>
      </w:r>
    </w:p>
    <w:p w14:paraId="3D0B33A6">
      <w:pPr>
        <w:rPr>
          <w:lang w:eastAsia="en-IN"/>
        </w:rPr>
      </w:pPr>
      <w:r>
        <w:rPr>
          <w:lang w:eastAsia="en-IN"/>
        </w:rPr>
        <w:t>Helpline and virtual counselling services have been established by HR to maintain staff privacy.</w:t>
      </w:r>
    </w:p>
    <w:p w14:paraId="1772E824">
      <w:pPr>
        <w:rPr>
          <w:b/>
          <w:bCs/>
          <w:lang w:eastAsia="en-IN"/>
        </w:rPr>
      </w:pPr>
      <w:r>
        <w:rPr>
          <w:b/>
          <w:bCs/>
          <w:lang w:eastAsia="en-IN"/>
        </w:rPr>
        <w:t>5. Will there be new safety training available for me?</w:t>
      </w:r>
    </w:p>
    <w:p w14:paraId="34EB0D0B">
      <w:pPr>
        <w:rPr>
          <w:lang w:eastAsia="en-IN"/>
        </w:rPr>
      </w:pPr>
      <w:r>
        <w:rPr>
          <w:lang w:eastAsia="en-IN"/>
        </w:rPr>
        <w:t>Staff members need to complete digital onboarding next week through new digital processes.</w:t>
      </w:r>
    </w:p>
    <w:p w14:paraId="5EA7D8F5">
      <w:pPr>
        <w:ind w:firstLine="720"/>
        <w:rPr>
          <w:lang w:eastAsia="en-IN"/>
        </w:rPr>
      </w:pPr>
      <w:r>
        <w:rPr>
          <w:lang w:eastAsia="en-IN"/>
        </w:rPr>
        <w:t>When a company shares clear answers to employee questions during emergencies, this practice helps staff view communication better and lowers their desire to quit (Ruppel et al., 2022).</w:t>
      </w:r>
    </w:p>
    <w:p w14:paraId="3487557A">
      <w:pPr>
        <w:pStyle w:val="3"/>
      </w:pPr>
      <w:bookmarkStart w:id="24" w:name="_Toc196928601"/>
      <w:r>
        <w:t>Staff Video Script (Leadership Message)</w:t>
      </w:r>
      <w:bookmarkEnd w:id="24"/>
    </w:p>
    <w:p w14:paraId="0D4A55E2">
      <w:r>
        <w:t>The CEO takes a seat in a relaxed outdoor or healthcare setting, such as the ship deck or wellness room.</w:t>
      </w:r>
    </w:p>
    <w:p w14:paraId="7E7965DC">
      <w:r>
        <w:t>Tone: Authentic, steady, warm.</w:t>
      </w:r>
    </w:p>
    <w:p w14:paraId="019620B6">
      <w:r>
        <w:t>Script:</w:t>
      </w:r>
    </w:p>
    <w:p w14:paraId="4D4C52C8">
      <w:pPr>
        <w:rPr>
          <w:i/>
          <w:iCs/>
        </w:rPr>
      </w:pPr>
      <w:r>
        <w:rPr>
          <w:i/>
          <w:iCs/>
        </w:rPr>
        <w:t>Hello everyone,</w:t>
      </w:r>
    </w:p>
    <w:p w14:paraId="0ED468D8">
      <w:pPr>
        <w:ind w:firstLine="720"/>
        <w:rPr>
          <w:i/>
          <w:iCs/>
        </w:rPr>
      </w:pPr>
      <w:r>
        <w:rPr>
          <w:i/>
          <w:iCs/>
        </w:rPr>
        <w:t>Today I want to talk openly as another member of this team rather than as your CEO. Due to testing restrictions, we are all faced with challenges now and I want you to recognize that our organization stands behind you to guarantee your protection during these times.</w:t>
      </w:r>
    </w:p>
    <w:p w14:paraId="3836AF80">
      <w:pPr>
        <w:ind w:firstLine="720"/>
        <w:rPr>
          <w:i/>
          <w:iCs/>
        </w:rPr>
      </w:pPr>
      <w:r>
        <w:rPr>
          <w:i/>
          <w:iCs/>
        </w:rPr>
        <w:t>Our response has quickly safeguarded all crew members on our ships. We take additional measures by giving our team support services along with unique training to keep everyone safe and included during this challenging time.</w:t>
      </w:r>
    </w:p>
    <w:p w14:paraId="4A76A59F">
      <w:pPr>
        <w:ind w:firstLine="720"/>
        <w:rPr>
          <w:i/>
          <w:iCs/>
        </w:rPr>
      </w:pPr>
      <w:r>
        <w:rPr>
          <w:i/>
          <w:iCs/>
        </w:rPr>
        <w:t>All team members around the world have the skills and knowledge to handle challenges. Our team worked through past challenges jointly and we will handle this emergency as a single unit.</w:t>
      </w:r>
    </w:p>
    <w:p w14:paraId="0C8FC718">
      <w:pPr>
        <w:ind w:firstLine="720"/>
        <w:rPr>
          <w:i/>
          <w:iCs/>
        </w:rPr>
      </w:pPr>
      <w:r>
        <w:rPr>
          <w:i/>
          <w:iCs/>
        </w:rPr>
        <w:t>Thank you for your dedication. Our entire team heads toward our common goal.</w:t>
      </w:r>
    </w:p>
    <w:p w14:paraId="32B7ED89">
      <w:pPr>
        <w:ind w:firstLine="720"/>
        <w:rPr>
          <w:lang w:eastAsia="en-IN"/>
        </w:rPr>
      </w:pPr>
      <w:r>
        <w:rPr>
          <w:lang w:eastAsia="en-IN"/>
        </w:rPr>
        <w:t>In tourism-related companies such as German operations managers can foster emotional bonds and unified teams through human-driven messages (Gautam, 2024).</w:t>
      </w:r>
    </w:p>
    <w:p w14:paraId="7232FC1C">
      <w:pPr>
        <w:pStyle w:val="2"/>
        <w:jc w:val="center"/>
        <w:rPr>
          <w:rFonts w:eastAsia="Times New Roman"/>
          <w:lang w:val="en-IN" w:eastAsia="en-IN"/>
        </w:rPr>
      </w:pPr>
      <w:bookmarkStart w:id="25" w:name="_Toc196928602"/>
    </w:p>
    <w:p w14:paraId="41A54138">
      <w:pPr>
        <w:pStyle w:val="2"/>
        <w:jc w:val="center"/>
        <w:rPr>
          <w:rFonts w:eastAsia="Times New Roman"/>
          <w:lang w:val="en-IN" w:eastAsia="en-IN"/>
        </w:rPr>
      </w:pPr>
    </w:p>
    <w:p w14:paraId="37C097E4">
      <w:pPr>
        <w:pStyle w:val="2"/>
        <w:jc w:val="center"/>
        <w:rPr>
          <w:rFonts w:eastAsia="Times New Roman"/>
          <w:lang w:val="en-IN" w:eastAsia="en-IN"/>
        </w:rPr>
      </w:pPr>
      <w:r>
        <w:rPr>
          <w:rFonts w:eastAsia="Times New Roman"/>
          <w:lang w:val="en-IN" w:eastAsia="en-IN"/>
        </w:rPr>
        <w:t>Leadership &amp; Well-being Support</w:t>
      </w:r>
      <w:bookmarkEnd w:id="25"/>
    </w:p>
    <w:p w14:paraId="64CA4F56">
      <w:pPr>
        <w:pStyle w:val="3"/>
      </w:pPr>
      <w:bookmarkStart w:id="26" w:name="_Toc196928603"/>
      <w:r>
        <w:t>The Role of Emotional Intelligence in Crisis Leadership</w:t>
      </w:r>
      <w:bookmarkEnd w:id="26"/>
    </w:p>
    <w:p w14:paraId="29939622">
      <w:pPr>
        <w:ind w:firstLine="720"/>
      </w:pPr>
      <w:r>
        <w:t>Health emergencies on ships require emotionally intelligent leaders to build strong team resilience and credibility. Leaders establish a secure work environment by responding with empathy while staying attuned to themselves and their team members to maintain team well-being when uncertainty rises (Sharma, 2024). Organizations in Germany highly value managers who openly express emotions and practice ethical standards because these qualities define their leadership standards.</w:t>
      </w:r>
    </w:p>
    <w:p w14:paraId="1DE7A7B3">
      <w:pPr>
        <w:ind w:firstLine="720"/>
      </w:pPr>
      <w:r>
        <w:t>Researchers revealed that people with emotional intelligence can prompt greater team involvement and business comeback from crises within the tourism sector (Burlea‐Schiopoiu et al., 2023). Effective top leaders who understand emotions support the recovery efforts of cruise employees who need relief from emotional stress.</w:t>
      </w:r>
    </w:p>
    <w:p w14:paraId="752D3E40">
      <w:pPr>
        <w:pStyle w:val="3"/>
      </w:pPr>
      <w:bookmarkStart w:id="27" w:name="_Toc196928604"/>
      <w:r>
        <w:t>Mental Well-being Programs</w:t>
      </w:r>
      <w:bookmarkEnd w:id="27"/>
    </w:p>
    <w:p w14:paraId="63BA131C">
      <w:r>
        <w:t>The organization will establish three different steps to take care of mental health before and after crises happen.</w:t>
      </w:r>
    </w:p>
    <w:p w14:paraId="564E1BE9">
      <w:pPr>
        <w:pStyle w:val="23"/>
        <w:numPr>
          <w:ilvl w:val="0"/>
          <w:numId w:val="1"/>
        </w:numPr>
      </w:pPr>
      <w:r>
        <w:t>The remote platform provides onboard and onshore workers with secure mental healthcare services.</w:t>
      </w:r>
    </w:p>
    <w:p w14:paraId="26383DAF">
      <w:pPr>
        <w:pStyle w:val="23"/>
        <w:numPr>
          <w:ilvl w:val="0"/>
          <w:numId w:val="1"/>
        </w:numPr>
      </w:pPr>
      <w:r>
        <w:t>Through monthly virtual classes, the company will teach staff members essential emotional control techniques along with stress reduction strategies.</w:t>
      </w:r>
    </w:p>
    <w:p w14:paraId="4D68D62A">
      <w:pPr>
        <w:pStyle w:val="23"/>
        <w:numPr>
          <w:ilvl w:val="0"/>
          <w:numId w:val="1"/>
        </w:numPr>
      </w:pPr>
      <w:r>
        <w:t>Staff volunteers who completed training will run peer circles to share their crisis experiences, thus decreasing social separation and stigma.</w:t>
      </w:r>
    </w:p>
    <w:p w14:paraId="2140F734">
      <w:pPr>
        <w:ind w:firstLine="720"/>
      </w:pPr>
      <w:r>
        <w:t>Research now proves that organizations that focus on worker mental health achieve better job quality and fewer burnout cases while keeping employee commitment strong when their efforts include inclusion and last once the crisis ends (Wahab &amp; Alakhras, 2024).</w:t>
      </w:r>
    </w:p>
    <w:p w14:paraId="58FC4D0B">
      <w:pPr>
        <w:pStyle w:val="3"/>
      </w:pPr>
      <w:bookmarkStart w:id="28" w:name="_Toc196928605"/>
      <w:r>
        <w:t>Visible Leadership and Trust Building</w:t>
      </w:r>
      <w:bookmarkEnd w:id="28"/>
    </w:p>
    <w:p w14:paraId="62247456">
      <w:pPr>
        <w:ind w:firstLine="720"/>
      </w:pPr>
      <w:r>
        <w:t>The leader should remain publicly present and take action to guide the team forward. German employees want their leaders to remain close, follow clear procedures, and tell them the truth during emergencies. Leaders create trust with both staff and customers by hosting video calls and doing Q&amp;A sessions, plus updating them regularly.</w:t>
      </w:r>
    </w:p>
    <w:p w14:paraId="4ED69975">
      <w:pPr>
        <w:ind w:firstLine="720"/>
      </w:pPr>
      <w:r>
        <w:t>Employee bonds and shared purpose strengthening create a resilient organization for leaders who effectively handle emotions says Robinson et al. (2024).</w:t>
      </w:r>
    </w:p>
    <w:p w14:paraId="74C69544">
      <w:r>
        <w:t>The cruise firm leadership team must do these key things to achieve this strategy.</w:t>
      </w:r>
    </w:p>
    <w:p w14:paraId="59E1AC06">
      <w:pPr>
        <w:pStyle w:val="23"/>
        <w:numPr>
          <w:ilvl w:val="0"/>
          <w:numId w:val="2"/>
        </w:numPr>
      </w:pPr>
      <w:r>
        <w:t>Flip out staff videos every week at the company level that show progress and response plans.</w:t>
      </w:r>
    </w:p>
    <w:p w14:paraId="001C5664">
      <w:pPr>
        <w:pStyle w:val="23"/>
        <w:numPr>
          <w:ilvl w:val="0"/>
          <w:numId w:val="2"/>
        </w:numPr>
      </w:pPr>
      <w:r>
        <w:t>Leadership should start collecting feedback about what staff think about the supervisor’s visibility and assistance through a digital feedback system.</w:t>
      </w:r>
    </w:p>
    <w:p w14:paraId="3AAA1841">
      <w:pPr>
        <w:pStyle w:val="3"/>
      </w:pPr>
      <w:bookmarkStart w:id="29" w:name="_Toc196928606"/>
      <w:r>
        <w:t>Remote Onboarding During/Post Crisis</w:t>
      </w:r>
      <w:bookmarkEnd w:id="29"/>
    </w:p>
    <w:p w14:paraId="55C300AD">
      <w:pPr>
        <w:ind w:firstLine="720"/>
      </w:pPr>
      <w:r>
        <w:t>New employee orientation maintains its importance to secure the workforce through unpredictable interruptions. During an onboard process through remote tools, it includes these components.</w:t>
      </w:r>
    </w:p>
    <w:p w14:paraId="0973C051">
      <w:pPr>
        <w:pStyle w:val="23"/>
        <w:numPr>
          <w:ilvl w:val="0"/>
          <w:numId w:val="3"/>
        </w:numPr>
      </w:pPr>
      <w:r>
        <w:t>The leadership team creates introductory videos to show how safety culture and business values work.</w:t>
      </w:r>
    </w:p>
    <w:p w14:paraId="438F6E1B">
      <w:pPr>
        <w:pStyle w:val="23"/>
        <w:numPr>
          <w:ilvl w:val="0"/>
          <w:numId w:val="3"/>
        </w:numPr>
      </w:pPr>
      <w:r>
        <w:t>Interactive e-learning modules on crisis protocols, emotional resilience, and AI tools.</w:t>
      </w:r>
    </w:p>
    <w:p w14:paraId="707FEBAE">
      <w:pPr>
        <w:pStyle w:val="23"/>
        <w:numPr>
          <w:ilvl w:val="0"/>
          <w:numId w:val="3"/>
        </w:numPr>
      </w:pPr>
      <w:r>
        <w:t>New employees learn from experienced staff through the buddy program when no physical connections are possible.</w:t>
      </w:r>
    </w:p>
    <w:p w14:paraId="5D1814CF">
      <w:pPr>
        <w:ind w:firstLine="720"/>
      </w:pPr>
      <w:r>
        <w:t>The suggested approach matches emotionally intelligent onboarding practices that help retain new employees during unpredictable times according to Yuste (2021).</w:t>
      </w:r>
    </w:p>
    <w:p w14:paraId="4F576D38">
      <w:pPr>
        <w:ind w:firstLine="720"/>
      </w:pPr>
      <w:r>
        <w:t>By including emotional intelligence in leadership training and onboarding steps alongside mental health support the organization can build back employee confidence and create workplaces where people prosper at work and feel valued in their wellness.</w:t>
      </w:r>
    </w:p>
    <w:p w14:paraId="43D22786">
      <w:pPr>
        <w:pStyle w:val="2"/>
        <w:jc w:val="center"/>
        <w:rPr>
          <w:rFonts w:eastAsia="Times New Roman"/>
          <w:lang w:val="en-IN" w:eastAsia="en-IN"/>
        </w:rPr>
      </w:pPr>
      <w:bookmarkStart w:id="30" w:name="_Toc196928607"/>
    </w:p>
    <w:p w14:paraId="01656A4E">
      <w:pPr>
        <w:pStyle w:val="2"/>
        <w:jc w:val="center"/>
        <w:rPr>
          <w:rFonts w:eastAsia="Times New Roman"/>
          <w:lang w:val="en-IN" w:eastAsia="en-IN"/>
        </w:rPr>
      </w:pPr>
    </w:p>
    <w:p w14:paraId="034F69D6">
      <w:pPr>
        <w:pStyle w:val="2"/>
        <w:jc w:val="center"/>
        <w:rPr>
          <w:rFonts w:eastAsia="Times New Roman"/>
          <w:lang w:val="en-IN" w:eastAsia="en-IN"/>
        </w:rPr>
      </w:pPr>
      <w:r>
        <w:rPr>
          <w:rFonts w:eastAsia="Times New Roman"/>
          <w:lang w:val="en-IN" w:eastAsia="en-IN"/>
        </w:rPr>
        <w:t>Talent Analytics &amp; Monitoring</w:t>
      </w:r>
      <w:bookmarkEnd w:id="30"/>
    </w:p>
    <w:p w14:paraId="2D742688">
      <w:pPr>
        <w:ind w:firstLine="720"/>
        <w:rPr>
          <w:lang w:val="en-IN" w:eastAsia="en-IN"/>
        </w:rPr>
      </w:pPr>
      <w:r>
        <w:rPr>
          <w:lang w:val="en-IN" w:eastAsia="en-IN"/>
        </w:rPr>
        <w:t>Through talent analytics, HR systems in tourism companies can check employee actions to predict turnover and design better retention plans when experiencing a crisis, particularly on cruise ships. After dealing with health-related reputation events, organizations must track employee feedback through real-time data to restore staff motivation before problems escalate.</w:t>
      </w:r>
    </w:p>
    <w:p w14:paraId="2D10FFBE">
      <w:pPr>
        <w:pStyle w:val="3"/>
        <w:rPr>
          <w:lang w:val="en-IN" w:eastAsia="en-IN"/>
        </w:rPr>
      </w:pPr>
      <w:bookmarkStart w:id="31" w:name="_Toc196928608"/>
      <w:r>
        <w:rPr>
          <w:lang w:val="en-IN" w:eastAsia="en-IN"/>
        </w:rPr>
        <w:t>Tools to Monitor Turnover, Absenteeism, and Engagement</w:t>
      </w:r>
      <w:bookmarkEnd w:id="31"/>
    </w:p>
    <w:p w14:paraId="4B680BEA">
      <w:pPr>
        <w:ind w:firstLine="720"/>
        <w:rPr>
          <w:lang w:val="en-IN" w:eastAsia="en-IN"/>
        </w:rPr>
      </w:pPr>
      <w:r>
        <w:rPr>
          <w:lang w:val="en-IN" w:eastAsia="en-IN"/>
        </w:rPr>
        <w:t>Talent analytics systems use both organized HR facts and unstructured employee feedback to determine upcoming job habits. Dashboards allow managers to watch how many workers do not show up and when they use employee wellness tools so they can take action before disengagement grows (Valeri, 2024). The technology shows how employee feelings shift between company units and office locations.</w:t>
      </w:r>
    </w:p>
    <w:p w14:paraId="5D823B69">
      <w:pPr>
        <w:pStyle w:val="3"/>
        <w:rPr>
          <w:lang w:val="en-IN" w:eastAsia="en-IN"/>
        </w:rPr>
      </w:pPr>
      <w:bookmarkStart w:id="32" w:name="_Toc196928609"/>
      <w:r>
        <w:rPr>
          <w:lang w:val="en-IN" w:eastAsia="en-IN"/>
        </w:rPr>
        <w:t>Key Metrics: Retention Rate, Exit Survey Themes, Morale Indicators</w:t>
      </w:r>
      <w:bookmarkEnd w:id="32"/>
    </w:p>
    <w:p w14:paraId="7A30A9C1">
      <w:pPr>
        <w:rPr>
          <w:lang w:val="en-IN" w:eastAsia="en-IN"/>
        </w:rPr>
      </w:pPr>
      <w:r>
        <w:rPr>
          <w:lang w:val="en-IN" w:eastAsia="en-IN"/>
        </w:rPr>
        <w:t>Key performance metrics include:</w:t>
      </w:r>
    </w:p>
    <w:p w14:paraId="27C271D3">
      <w:pPr>
        <w:pStyle w:val="23"/>
        <w:numPr>
          <w:ilvl w:val="0"/>
          <w:numId w:val="4"/>
        </w:numPr>
        <w:rPr>
          <w:lang w:val="en-IN" w:eastAsia="en-IN"/>
        </w:rPr>
      </w:pPr>
      <w:r>
        <w:rPr>
          <w:lang w:val="en-IN" w:eastAsia="en-IN"/>
        </w:rPr>
        <w:t>Retention rate post-crisis (quarterly comparison pre- and post-incident)</w:t>
      </w:r>
    </w:p>
    <w:p w14:paraId="2682B7B7">
      <w:pPr>
        <w:pStyle w:val="23"/>
        <w:numPr>
          <w:ilvl w:val="0"/>
          <w:numId w:val="4"/>
        </w:numPr>
        <w:rPr>
          <w:lang w:val="en-IN" w:eastAsia="en-IN"/>
        </w:rPr>
      </w:pPr>
      <w:r>
        <w:rPr>
          <w:lang w:val="en-IN" w:eastAsia="en-IN"/>
        </w:rPr>
        <w:t>Exit survey records topics from employee remarks which our natural language processing system analyses into groups like employee trust in supervisors and work overload.</w:t>
      </w:r>
    </w:p>
    <w:p w14:paraId="7FCEC117">
      <w:pPr>
        <w:pStyle w:val="23"/>
        <w:numPr>
          <w:ilvl w:val="0"/>
          <w:numId w:val="4"/>
        </w:numPr>
        <w:rPr>
          <w:lang w:val="en-IN" w:eastAsia="en-IN"/>
        </w:rPr>
      </w:pPr>
      <w:r>
        <w:rPr>
          <w:lang w:val="en-IN" w:eastAsia="en-IN"/>
        </w:rPr>
        <w:t>Success depends on survey results that check employee freedom, plus survey results testing work clarity and supervisor support.</w:t>
      </w:r>
    </w:p>
    <w:p w14:paraId="5F3EA2A8">
      <w:pPr>
        <w:ind w:firstLine="720"/>
        <w:rPr>
          <w:lang w:val="en-IN" w:eastAsia="en-IN"/>
        </w:rPr>
      </w:pPr>
      <w:r>
        <w:rPr>
          <w:lang w:val="en-IN" w:eastAsia="en-IN"/>
        </w:rPr>
        <w:t>HR staff use predictive data modelling to discover and act on those employees who indicate they want to leave by showing unusual work behaviour (Bernhardt et al., 2021).</w:t>
      </w:r>
    </w:p>
    <w:p w14:paraId="058C046E">
      <w:pPr>
        <w:ind w:firstLine="720"/>
        <w:rPr>
          <w:lang w:val="en-IN" w:eastAsia="en-IN"/>
        </w:rPr>
      </w:pPr>
      <w:r>
        <w:rPr>
          <w:lang w:val="en-IN" w:eastAsia="en-IN"/>
        </w:rPr>
        <w:t>Berlin cruise offices handle EU labour standards and need GDPR-compliant analytical work that processes abstract trends without tracking individual profiles.</w:t>
      </w:r>
    </w:p>
    <w:p w14:paraId="0AE8F15E">
      <w:pPr>
        <w:pStyle w:val="3"/>
      </w:pPr>
      <w:bookmarkStart w:id="33" w:name="_Toc196928610"/>
      <w:r>
        <w:t>Using Data to Adapt Retention Strategies Post-Crisis</w:t>
      </w:r>
      <w:bookmarkEnd w:id="33"/>
    </w:p>
    <w:p w14:paraId="577EA173">
      <w:pPr>
        <w:ind w:firstLine="720"/>
        <w:rPr>
          <w:lang w:val="en-IN" w:eastAsia="en-IN"/>
        </w:rPr>
      </w:pPr>
      <w:r>
        <w:rPr>
          <w:lang w:val="en-IN" w:eastAsia="en-IN"/>
        </w:rPr>
        <w:t>Analytics provides clear data that helps managers change their employee retention systems. Higher stress-related employee absence leads organizations to add more counselling programs and make better work hours. Companies perform well both during recovery and afterward when they analyse employee feedback alongside management data, according to Parker (2023).</w:t>
      </w:r>
    </w:p>
    <w:p w14:paraId="3AE10FE1">
      <w:pPr>
        <w:pStyle w:val="3"/>
        <w:rPr>
          <w:lang w:val="en-IN" w:eastAsia="en-IN"/>
        </w:rPr>
      </w:pPr>
      <w:bookmarkStart w:id="34" w:name="_Toc196928611"/>
      <w:r>
        <w:rPr>
          <w:lang w:val="en-IN" w:eastAsia="en-IN"/>
        </w:rPr>
        <w:t>Integration with HR Platforms</w:t>
      </w:r>
      <w:bookmarkEnd w:id="34"/>
    </w:p>
    <w:p w14:paraId="672B0134">
      <w:pPr>
        <w:ind w:firstLine="720"/>
        <w:rPr>
          <w:lang w:val="en-IN" w:eastAsia="en-IN"/>
        </w:rPr>
      </w:pPr>
      <w:r>
        <w:rPr>
          <w:lang w:val="en-IN" w:eastAsia="en-IN"/>
        </w:rPr>
        <w:t>Organizations achieve optimal talent monitoring results by installing analytics directly into their current HR information systems, such as SAP SuccessFactors or BambooHR, to give both leadership and regional teams immediate access to this information. These systems allow:</w:t>
      </w:r>
    </w:p>
    <w:p w14:paraId="7FB34F2A">
      <w:pPr>
        <w:pStyle w:val="23"/>
        <w:numPr>
          <w:ilvl w:val="0"/>
          <w:numId w:val="5"/>
        </w:numPr>
        <w:rPr>
          <w:lang w:val="en-IN" w:eastAsia="en-IN"/>
        </w:rPr>
      </w:pPr>
      <w:r>
        <w:rPr>
          <w:lang w:val="en-IN" w:eastAsia="en-IN"/>
        </w:rPr>
        <w:t>Automatic updates of retention KPIs</w:t>
      </w:r>
    </w:p>
    <w:p w14:paraId="6658AFDA">
      <w:pPr>
        <w:pStyle w:val="23"/>
        <w:numPr>
          <w:ilvl w:val="0"/>
          <w:numId w:val="5"/>
        </w:numPr>
        <w:rPr>
          <w:lang w:val="en-IN" w:eastAsia="en-IN"/>
        </w:rPr>
      </w:pPr>
      <w:r>
        <w:rPr>
          <w:lang w:val="en-IN" w:eastAsia="en-IN"/>
        </w:rPr>
        <w:t>Organizations can combine learning platforms to check employee progress during onboarding.</w:t>
      </w:r>
    </w:p>
    <w:p w14:paraId="631FD401">
      <w:pPr>
        <w:pStyle w:val="23"/>
        <w:numPr>
          <w:ilvl w:val="0"/>
          <w:numId w:val="5"/>
        </w:numPr>
        <w:rPr>
          <w:lang w:val="en-IN" w:eastAsia="en-IN"/>
        </w:rPr>
      </w:pPr>
      <w:r>
        <w:rPr>
          <w:lang w:val="en-IN" w:eastAsia="en-IN"/>
        </w:rPr>
        <w:t>The system will send notifications when employee morale or work engagement hits predetermined limits.</w:t>
      </w:r>
    </w:p>
    <w:p w14:paraId="590898D6">
      <w:pPr>
        <w:ind w:firstLine="720"/>
        <w:rPr>
          <w:lang w:val="en-IN" w:eastAsia="en-IN"/>
        </w:rPr>
      </w:pPr>
      <w:r>
        <w:rPr>
          <w:lang w:val="en-IN" w:eastAsia="en-IN"/>
        </w:rPr>
        <w:t>HR analytics make it possible to link particular employee retention efforts, such as training programs or an improved induction process, with their measurable results to build an iterative feedback process that improves future strategy (Di Prima et al., 2022).</w:t>
      </w:r>
    </w:p>
    <w:p w14:paraId="227A0244">
      <w:pPr>
        <w:ind w:firstLine="720"/>
        <w:rPr>
          <w:lang w:val="en-IN" w:eastAsia="en-IN"/>
        </w:rPr>
      </w:pPr>
      <w:r>
        <w:rPr>
          <w:lang w:val="en-IN" w:eastAsia="en-IN"/>
        </w:rPr>
        <w:t>Talent keeps being essential to cruise tourism companies yet real-time analytics lets them spot problems early so they can keep valued staff while rebuilding their employee community.</w:t>
      </w:r>
    </w:p>
    <w:p w14:paraId="549B5911">
      <w:pPr>
        <w:pStyle w:val="2"/>
        <w:jc w:val="center"/>
        <w:rPr>
          <w:lang w:val="en-IN" w:eastAsia="en-IN"/>
        </w:rPr>
      </w:pPr>
      <w:bookmarkStart w:id="35" w:name="_Toc196928612"/>
    </w:p>
    <w:p w14:paraId="47615137">
      <w:pPr>
        <w:pStyle w:val="2"/>
        <w:jc w:val="center"/>
        <w:rPr>
          <w:lang w:val="en-IN" w:eastAsia="en-IN"/>
        </w:rPr>
      </w:pPr>
    </w:p>
    <w:p w14:paraId="0BE45F51">
      <w:pPr>
        <w:pStyle w:val="2"/>
        <w:jc w:val="center"/>
        <w:rPr>
          <w:lang w:val="en-IN" w:eastAsia="en-IN"/>
        </w:rPr>
      </w:pPr>
      <w:bookmarkStart w:id="37" w:name="_GoBack"/>
      <w:bookmarkEnd w:id="37"/>
      <w:r>
        <w:rPr>
          <w:lang w:val="en-IN" w:eastAsia="en-IN"/>
        </w:rPr>
        <w:t>Conclusion</w:t>
      </w:r>
      <w:bookmarkEnd w:id="35"/>
    </w:p>
    <w:p w14:paraId="11A0314C">
      <w:pPr>
        <w:ind w:firstLine="720"/>
        <w:rPr>
          <w:lang w:val="en-IN" w:eastAsia="en-IN"/>
        </w:rPr>
      </w:pPr>
      <w:r>
        <w:rPr>
          <w:lang w:val="en-IN" w:eastAsia="en-IN"/>
        </w:rPr>
        <w:t>Cruise companies need to protect their workforce better to keep employees committed after facing employee safety challenges in their ongoing operations. This report presents an all-round employee retention strategy which includes open communication with employees, emotional leadership techniques, and wellness support plus real-time monitoring. Our plan helps organizations bring workers back while maintaining business activities and building better ways to bounce back.</w:t>
      </w:r>
    </w:p>
    <w:p w14:paraId="30870DA8">
      <w:pPr>
        <w:ind w:firstLine="720"/>
        <w:rPr>
          <w:lang w:val="en-IN" w:eastAsia="en-IN"/>
        </w:rPr>
      </w:pPr>
      <w:r>
        <w:rPr>
          <w:lang w:val="en-IN" w:eastAsia="en-IN"/>
        </w:rPr>
        <w:t>Research finds organizations succeed more in crisis recovery by introducing top-down strategies alongside employee suggestions which builds better loyalty at work. Employees at cruising businesses build trust when their employer provides both emotional support and flexible job formats alongside transparent guidelines.</w:t>
      </w:r>
    </w:p>
    <w:p w14:paraId="1C8D9651">
      <w:pPr>
        <w:ind w:firstLine="720"/>
        <w:rPr>
          <w:lang w:val="en-IN" w:eastAsia="en-IN"/>
        </w:rPr>
      </w:pPr>
      <w:r>
        <w:rPr>
          <w:lang w:val="en-IN" w:eastAsia="en-IN"/>
        </w:rPr>
        <w:t>When travel companies adapt their organizational methods, they will keep valuable team members by offering more than just salary benefits plus building a supportive culture.</w:t>
      </w:r>
    </w:p>
    <w:p w14:paraId="1209742F">
      <w:pPr>
        <w:spacing w:line="259" w:lineRule="auto"/>
        <w:jc w:val="left"/>
        <w:rPr>
          <w:lang w:val="en-IN" w:eastAsia="en-IN"/>
        </w:rPr>
      </w:pPr>
      <w:r>
        <w:rPr>
          <w:lang w:val="en-IN" w:eastAsia="en-IN"/>
        </w:rPr>
        <w:br w:type="page"/>
      </w:r>
    </w:p>
    <w:p w14:paraId="1D704243">
      <w:pPr>
        <w:pStyle w:val="2"/>
        <w:jc w:val="center"/>
        <w:rPr>
          <w:lang w:val="en-IN" w:eastAsia="en-IN"/>
        </w:rPr>
      </w:pPr>
      <w:bookmarkStart w:id="36" w:name="_Toc196928613"/>
      <w:r>
        <w:rPr>
          <w:lang w:val="en-IN" w:eastAsia="en-IN"/>
        </w:rPr>
        <w:t>References</w:t>
      </w:r>
      <w:bookmarkEnd w:id="36"/>
    </w:p>
    <w:p w14:paraId="4CEB7CEC">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Bernhardt, A., Kresge, L., &amp; Suleiman, R. (2021). </w:t>
      </w:r>
      <w:r>
        <w:rPr>
          <w:rFonts w:eastAsia="Times New Roman" w:cs="Times New Roman"/>
          <w:i/>
          <w:iCs/>
          <w:kern w:val="0"/>
          <w:szCs w:val="24"/>
          <w:lang w:val="en-IN" w:eastAsia="en-IN"/>
          <w14:ligatures w14:val="none"/>
        </w:rPr>
        <w:t>The Case for Worker Technology Rights</w:t>
      </w:r>
      <w:r>
        <w:rPr>
          <w:rFonts w:eastAsia="Times New Roman" w:cs="Times New Roman"/>
          <w:kern w:val="0"/>
          <w:szCs w:val="24"/>
          <w:lang w:val="en-IN" w:eastAsia="en-IN"/>
          <w14:ligatures w14:val="none"/>
        </w:rPr>
        <w:t>. https://laborcenter.berkeley.edu/wp-content/uploads/2021/11/Data-and-Algorithms-at-Work.pdf</w:t>
      </w:r>
    </w:p>
    <w:p w14:paraId="01244D65">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Burlea-Șchiopoiu, A., Radu-Florin Ogarcă, Mihai, L.-S., &amp; Cristian Ovidiu Drăgan. (2023). TOURISM MANAGERS’ PERCEPTION OF THE IMPACT OF THE EMOTIONAL INTELLIGENCE AND RESILIENCE ON ORGANIZATIONAL RESPONSE TO CRISIS. </w:t>
      </w:r>
      <w:r>
        <w:rPr>
          <w:rFonts w:eastAsia="Times New Roman" w:cs="Times New Roman"/>
          <w:i/>
          <w:iCs/>
          <w:kern w:val="0"/>
          <w:szCs w:val="24"/>
          <w:lang w:val="en-IN" w:eastAsia="en-IN"/>
          <w14:ligatures w14:val="none"/>
        </w:rPr>
        <w:t>Journal of Business Economics and Management</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24</w:t>
      </w:r>
      <w:r>
        <w:rPr>
          <w:rFonts w:eastAsia="Times New Roman" w:cs="Times New Roman"/>
          <w:kern w:val="0"/>
          <w:szCs w:val="24"/>
          <w:lang w:val="en-IN" w:eastAsia="en-IN"/>
          <w14:ligatures w14:val="none"/>
        </w:rPr>
        <w:t>(6), 1119–1140. https://doi.org/10.3846/jbem.2023.20641</w:t>
      </w:r>
    </w:p>
    <w:p w14:paraId="68B9BF21">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Gautam, P. K. (2024). Crisis to Resilience: Cultivating Effective Internal Communication for Employee Engagement and Organizational Trust. </w:t>
      </w:r>
      <w:r>
        <w:rPr>
          <w:rFonts w:eastAsia="Times New Roman" w:cs="Times New Roman"/>
          <w:i/>
          <w:iCs/>
          <w:kern w:val="0"/>
          <w:szCs w:val="24"/>
          <w:lang w:val="en-IN" w:eastAsia="en-IN"/>
          <w14:ligatures w14:val="none"/>
        </w:rPr>
        <w:t>Quest Journal of Management and Social Sciences</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6</w:t>
      </w:r>
      <w:r>
        <w:rPr>
          <w:rFonts w:eastAsia="Times New Roman" w:cs="Times New Roman"/>
          <w:kern w:val="0"/>
          <w:szCs w:val="24"/>
          <w:lang w:val="en-IN" w:eastAsia="en-IN"/>
          <w14:ligatures w14:val="none"/>
        </w:rPr>
        <w:t>(3), 559–571. https://doi.org/10.3126/qjmss.v6i3.72488</w:t>
      </w:r>
    </w:p>
    <w:p w14:paraId="38E651F8">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Liu-Lastres, B., Wen, H., &amp; Fevzi Okumus. (2023). Examining Employees’ Affective and Behavioral Responses to Internal Crisis Communication in Times of COVID-19. </w:t>
      </w:r>
      <w:r>
        <w:rPr>
          <w:rFonts w:eastAsia="Times New Roman" w:cs="Times New Roman"/>
          <w:i/>
          <w:iCs/>
          <w:kern w:val="0"/>
          <w:szCs w:val="24"/>
          <w:lang w:val="en-IN" w:eastAsia="en-IN"/>
          <w14:ligatures w14:val="none"/>
        </w:rPr>
        <w:t>International Journal of Hospitality Management</w:t>
      </w:r>
      <w:r>
        <w:rPr>
          <w:rFonts w:eastAsia="Times New Roman" w:cs="Times New Roman"/>
          <w:kern w:val="0"/>
          <w:szCs w:val="24"/>
          <w:lang w:val="en-IN" w:eastAsia="en-IN"/>
          <w14:ligatures w14:val="none"/>
        </w:rPr>
        <w:t>, 103494–103494. https://doi.org/10.1016/j.ijhm.2023.103494</w:t>
      </w:r>
    </w:p>
    <w:p w14:paraId="76E37B7F">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Parker, L. D. (2023). Third sector crisis management and resilience: Reflections and directions. </w:t>
      </w:r>
      <w:r>
        <w:rPr>
          <w:rFonts w:eastAsia="Times New Roman" w:cs="Times New Roman"/>
          <w:i/>
          <w:iCs/>
          <w:kern w:val="0"/>
          <w:szCs w:val="24"/>
          <w:lang w:val="en-IN" w:eastAsia="en-IN"/>
          <w14:ligatures w14:val="none"/>
        </w:rPr>
        <w:t>Financial Accountability and Management</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40</w:t>
      </w:r>
      <w:r>
        <w:rPr>
          <w:rFonts w:eastAsia="Times New Roman" w:cs="Times New Roman"/>
          <w:kern w:val="0"/>
          <w:szCs w:val="24"/>
          <w:lang w:val="en-IN" w:eastAsia="en-IN"/>
          <w14:ligatures w14:val="none"/>
        </w:rPr>
        <w:t>(3). https://doi.org/10.1111/faam.12379</w:t>
      </w:r>
    </w:p>
    <w:p w14:paraId="1005A044">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Prima, D., Ferraris, Giovando, &amp; Massucco. (2022). </w:t>
      </w:r>
      <w:r>
        <w:rPr>
          <w:rFonts w:eastAsia="Times New Roman" w:cs="Times New Roman"/>
          <w:i/>
          <w:iCs/>
          <w:kern w:val="0"/>
          <w:szCs w:val="24"/>
          <w:lang w:val="en-IN" w:eastAsia="en-IN"/>
          <w14:ligatures w14:val="none"/>
        </w:rPr>
        <w:t>A NEW WEAPON FOR MOVING BEYOND THE WAR FOR TALENT: USING HR ANALYTICS TO SUPPORT TALENT MANAGEMENT ACTIVITIES</w:t>
      </w:r>
      <w:r>
        <w:rPr>
          <w:rFonts w:eastAsia="Times New Roman" w:cs="Times New Roman"/>
          <w:kern w:val="0"/>
          <w:szCs w:val="24"/>
          <w:lang w:val="en-IN" w:eastAsia="en-IN"/>
          <w14:ligatures w14:val="none"/>
        </w:rPr>
        <w:t>. https://iris.unito.it/bitstream/2318/1876960/1/A%20New%20Weapon%20for%20Moving%20Beyond%20the%20War%20for%20Talent%20-%20Using%20HR%20Analytics%20to%20Support%20Talent%20Management%20Activities.pdf</w:t>
      </w:r>
    </w:p>
    <w:p w14:paraId="42E1FE2F">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Radic, A., Law, R., Lück, M., Kang, H., Ariza-Montes, A., Arjona-Fuentes, J. M., &amp; Han, H. (2020). Apocalypse Now or Overreaction to Coronavirus: The Global Cruise Tourism Industry Crisis. </w:t>
      </w:r>
      <w:r>
        <w:rPr>
          <w:rFonts w:eastAsia="Times New Roman" w:cs="Times New Roman"/>
          <w:i/>
          <w:iCs/>
          <w:kern w:val="0"/>
          <w:szCs w:val="24"/>
          <w:lang w:val="en-IN" w:eastAsia="en-IN"/>
          <w14:ligatures w14:val="none"/>
        </w:rPr>
        <w:t>Sustainability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12</w:t>
      </w:r>
      <w:r>
        <w:rPr>
          <w:rFonts w:eastAsia="Times New Roman" w:cs="Times New Roman"/>
          <w:kern w:val="0"/>
          <w:szCs w:val="24"/>
          <w:lang w:val="en-IN" w:eastAsia="en-IN"/>
          <w14:ligatures w14:val="none"/>
        </w:rPr>
        <w:t>(17), 6968. https://doi.org/10.3390/su12176968</w:t>
      </w:r>
    </w:p>
    <w:p w14:paraId="2241CBC3">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Richter, F. (n.d.). </w:t>
      </w:r>
      <w:r>
        <w:rPr>
          <w:rFonts w:eastAsia="Times New Roman" w:cs="Times New Roman"/>
          <w:i/>
          <w:iCs/>
          <w:kern w:val="0"/>
          <w:szCs w:val="24"/>
          <w:lang w:val="en-IN" w:eastAsia="en-IN"/>
          <w14:ligatures w14:val="none"/>
        </w:rPr>
        <w:t>Infographic: Cruise Industry in Troubled Waters</w:t>
      </w:r>
      <w:r>
        <w:rPr>
          <w:rFonts w:eastAsia="Times New Roman" w:cs="Times New Roman"/>
          <w:kern w:val="0"/>
          <w:szCs w:val="24"/>
          <w:lang w:val="en-IN" w:eastAsia="en-IN"/>
          <w14:ligatures w14:val="none"/>
        </w:rPr>
        <w:t>. Statista Infographics. https://www.statista.com/chart/22530/cruise-line-revenue-amid-the-covid-19-pandemic/</w:t>
      </w:r>
    </w:p>
    <w:p w14:paraId="72E134BA">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Robinson, R. N. S., Yan, H., &amp; Jiang, Y. (2024). Employee resilience during crisis: A three-tiered perspective on its “can-do” and “reason-to” motivational factors. </w:t>
      </w:r>
      <w:r>
        <w:rPr>
          <w:rFonts w:eastAsia="Times New Roman" w:cs="Times New Roman"/>
          <w:i/>
          <w:iCs/>
          <w:kern w:val="0"/>
          <w:szCs w:val="24"/>
          <w:lang w:val="en-IN" w:eastAsia="en-IN"/>
          <w14:ligatures w14:val="none"/>
        </w:rPr>
        <w:t>Tourism Management</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103</w:t>
      </w:r>
      <w:r>
        <w:rPr>
          <w:rFonts w:eastAsia="Times New Roman" w:cs="Times New Roman"/>
          <w:kern w:val="0"/>
          <w:szCs w:val="24"/>
          <w:lang w:val="en-IN" w:eastAsia="en-IN"/>
          <w14:ligatures w14:val="none"/>
        </w:rPr>
        <w:t>, 104912–104912. https://doi.org/10.1016/j.tourman.2024.104912</w:t>
      </w:r>
    </w:p>
    <w:p w14:paraId="44B0B3BD">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Ruppel, C., Stranzl, J., &amp; Einwiller, S. (2022). Employee-centric perspective on organizational crisis: how organizational transparency and support help to mitigate employees’ uncertainty, negative emotions, and job disengagement. </w:t>
      </w:r>
      <w:r>
        <w:rPr>
          <w:rFonts w:eastAsia="Times New Roman" w:cs="Times New Roman"/>
          <w:i/>
          <w:iCs/>
          <w:kern w:val="0"/>
          <w:szCs w:val="24"/>
          <w:lang w:val="en-IN" w:eastAsia="en-IN"/>
          <w14:ligatures w14:val="none"/>
        </w:rPr>
        <w:t>Corporate Communications: An International Journal</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27</w:t>
      </w:r>
      <w:r>
        <w:rPr>
          <w:rFonts w:eastAsia="Times New Roman" w:cs="Times New Roman"/>
          <w:kern w:val="0"/>
          <w:szCs w:val="24"/>
          <w:lang w:val="en-IN" w:eastAsia="en-IN"/>
          <w14:ligatures w14:val="none"/>
        </w:rPr>
        <w:t>(5), 1–22. Emerald. https://doi.org/10.1108/ccij-04-2022-0045</w:t>
      </w:r>
    </w:p>
    <w:p w14:paraId="49EC305A">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Sharma, A. (2024). THE ROLE OF EMOTIONAL INTELLIGENCE IN CRISIS LEADERSHIP: EFFECTS ON EMPLOYEE MORALE AND ORGANIZATIONAL RESILIENCE. </w:t>
      </w:r>
      <w:r>
        <w:rPr>
          <w:rFonts w:eastAsia="Times New Roman" w:cs="Times New Roman"/>
          <w:i/>
          <w:iCs/>
          <w:kern w:val="0"/>
          <w:szCs w:val="24"/>
          <w:lang w:val="en-IN" w:eastAsia="en-IN"/>
          <w14:ligatures w14:val="none"/>
        </w:rPr>
        <w:t>Int. J. Adv. Res</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12</w:t>
      </w:r>
      <w:r>
        <w:rPr>
          <w:rFonts w:eastAsia="Times New Roman" w:cs="Times New Roman"/>
          <w:kern w:val="0"/>
          <w:szCs w:val="24"/>
          <w:lang w:val="en-IN" w:eastAsia="en-IN"/>
          <w14:ligatures w14:val="none"/>
        </w:rPr>
        <w:t>(10), 2320–5407. https://doi.org/10.21474/IJAR01/19626</w:t>
      </w:r>
    </w:p>
    <w:p w14:paraId="0507CC9C">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Sharples, L., Fletcher-Brown, J., Marta Nieto García, Sit, K., &amp; Giampaolo Viglia. (2023). Managing crisis in the cruise industry: using internal communications to foster workforce resilience. </w:t>
      </w:r>
      <w:r>
        <w:rPr>
          <w:rFonts w:eastAsia="Times New Roman" w:cs="Times New Roman"/>
          <w:i/>
          <w:iCs/>
          <w:kern w:val="0"/>
          <w:szCs w:val="24"/>
          <w:lang w:val="en-IN" w:eastAsia="en-IN"/>
          <w14:ligatures w14:val="none"/>
        </w:rPr>
        <w:t>Tourism Review</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78</w:t>
      </w:r>
      <w:r>
        <w:rPr>
          <w:rFonts w:eastAsia="Times New Roman" w:cs="Times New Roman"/>
          <w:kern w:val="0"/>
          <w:szCs w:val="24"/>
          <w:lang w:val="en-IN" w:eastAsia="en-IN"/>
          <w14:ligatures w14:val="none"/>
        </w:rPr>
        <w:t>(6), 1486–1505. https://doi.org/10.1108/tr-03-2023-0150</w:t>
      </w:r>
    </w:p>
    <w:p w14:paraId="17411CF8">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Valeri, K. (2024, August 24). </w:t>
      </w:r>
      <w:r>
        <w:rPr>
          <w:rFonts w:eastAsia="Times New Roman" w:cs="Times New Roman"/>
          <w:i/>
          <w:iCs/>
          <w:kern w:val="0"/>
          <w:szCs w:val="24"/>
          <w:lang w:val="en-IN" w:eastAsia="en-IN"/>
          <w14:ligatures w14:val="none"/>
        </w:rPr>
        <w:t>First-line managers’ perspectives of employee engagement, burnout, and active disengagement during the COVID-19 pandemic</w:t>
      </w:r>
      <w:r>
        <w:rPr>
          <w:rFonts w:eastAsia="Times New Roman" w:cs="Times New Roman"/>
          <w:kern w:val="0"/>
          <w:szCs w:val="24"/>
          <w:lang w:val="en-IN" w:eastAsia="en-IN"/>
          <w14:ligatures w14:val="none"/>
        </w:rPr>
        <w:t>. Umanitoba.ca. https://mspace.lib.umanitoba.ca/items/c2d5de65-65a8-4e89-a34b-5f292a44d82e</w:t>
      </w:r>
    </w:p>
    <w:p w14:paraId="38011496">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Wahab, M. A. A. E. -, &amp; Alakhras, H. A. (2024). The Impact of Emotional Intelligence on Quality of Work-Life among Tourism Companies’ Employees: The Mediating Role of Chameleon Leadership Behaviors. </w:t>
      </w:r>
      <w:r>
        <w:rPr>
          <w:rFonts w:eastAsia="Times New Roman" w:cs="Times New Roman"/>
          <w:i/>
          <w:iCs/>
          <w:kern w:val="0"/>
          <w:szCs w:val="24"/>
          <w:lang w:val="en-IN" w:eastAsia="en-IN"/>
          <w14:ligatures w14:val="none"/>
        </w:rPr>
        <w:t>Journal of Association of Arab Universities for Tourism and Hospitality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27</w:t>
      </w:r>
      <w:r>
        <w:rPr>
          <w:rFonts w:eastAsia="Times New Roman" w:cs="Times New Roman"/>
          <w:kern w:val="0"/>
          <w:szCs w:val="24"/>
          <w:lang w:val="en-IN" w:eastAsia="en-IN"/>
          <w14:ligatures w14:val="none"/>
        </w:rPr>
        <w:t>(1), 349–365. https://doi.org/10.21608/jaauth.2024.337321.1634</w:t>
      </w:r>
    </w:p>
    <w:p w14:paraId="1C7F84B4">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Yuste, M. A. (2021). Leadership and Emotional Intelligence during a Crisis: Liderazgo e inteligencia emocional durante una crisis. </w:t>
      </w:r>
      <w:r>
        <w:rPr>
          <w:rFonts w:eastAsia="Times New Roman" w:cs="Times New Roman"/>
          <w:i/>
          <w:iCs/>
          <w:kern w:val="0"/>
          <w:szCs w:val="24"/>
          <w:lang w:val="en-IN" w:eastAsia="en-IN"/>
          <w14:ligatures w14:val="none"/>
        </w:rPr>
        <w:t>Liderança E Inteligência Emocional Durante Uma Crise.</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16</w:t>
      </w:r>
      <w:r>
        <w:rPr>
          <w:rFonts w:eastAsia="Times New Roman" w:cs="Times New Roman"/>
          <w:kern w:val="0"/>
          <w:szCs w:val="24"/>
          <w:lang w:val="en-IN" w:eastAsia="en-IN"/>
          <w14:ligatures w14:val="none"/>
        </w:rPr>
        <w:t>(2), 47–60. https://doi.org/10.18359/ries.5619</w:t>
      </w:r>
    </w:p>
    <w:p w14:paraId="61A9B428">
      <w:pPr>
        <w:rPr>
          <w:lang w:val="en-IN" w:eastAsia="en-IN"/>
        </w:rPr>
      </w:pPr>
    </w:p>
    <w:p w14:paraId="4127B7CA">
      <w:pPr>
        <w:rPr>
          <w:lang w:val="en-IN" w:eastAsia="en-IN"/>
        </w:rPr>
      </w:pPr>
    </w:p>
    <w:p w14:paraId="2C208902">
      <w:pPr>
        <w:rPr>
          <w:lang w:eastAsia="en-IN"/>
        </w:rPr>
      </w:pPr>
    </w:p>
    <w:p w14:paraId="385C95F7">
      <w:pPr>
        <w:rPr>
          <w:lang w:eastAsia="en-IN"/>
        </w:rPr>
      </w:pPr>
    </w:p>
    <w:p w14:paraId="3177F29F">
      <w:pPr>
        <w:rPr>
          <w:lang w:eastAsia="en-IN"/>
        </w:rPr>
      </w:pPr>
    </w:p>
    <w:p w14:paraId="45B5DDE6">
      <w:pPr>
        <w:rPr>
          <w:lang w:eastAsia="en-IN"/>
        </w:rPr>
      </w:pPr>
    </w:p>
    <w:p w14:paraId="35277631">
      <w:pPr>
        <w:rPr>
          <w:lang w:eastAsia="en-IN"/>
        </w:rPr>
      </w:pPr>
    </w:p>
    <w:p w14:paraId="38E1AB61"/>
    <w:p w14:paraId="1311F163"/>
    <w:bookmarkEnd w:id="15"/>
    <w:p w14:paraId="2CF5A9D9"/>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 w:name="Times New Roman Bold">
    <w:panose1 w:val="02020503050405090304"/>
    <w:charset w:val="00"/>
    <w:family w:val="auto"/>
    <w:pitch w:val="default"/>
    <w:sig w:usb0="E0000AFF" w:usb1="00007843" w:usb2="00000001" w:usb3="00000000" w:csb0="4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3D71FA63">
        <w:pPr>
          <w:pStyle w:val="10"/>
          <w:jc w:val="right"/>
        </w:pPr>
        <w:r>
          <w:fldChar w:fldCharType="begin"/>
        </w:r>
        <w:r>
          <w:instrText xml:space="preserve"> PAGE   \* MERGEFORMAT </w:instrText>
        </w:r>
        <w:r>
          <w:fldChar w:fldCharType="separate"/>
        </w:r>
        <w:r>
          <w:t>2</w:t>
        </w:r>
        <w:r>
          <w:fldChar w:fldCharType="end"/>
        </w:r>
      </w:p>
    </w:sdtContent>
  </w:sdt>
  <w:p w14:paraId="05CEC1F0">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C157BB"/>
    <w:multiLevelType w:val="multilevel"/>
    <w:tmpl w:val="18C157B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F077500"/>
    <w:multiLevelType w:val="multilevel"/>
    <w:tmpl w:val="1F07750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9E83AF3"/>
    <w:multiLevelType w:val="multilevel"/>
    <w:tmpl w:val="39E83AF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D3148BA"/>
    <w:multiLevelType w:val="multilevel"/>
    <w:tmpl w:val="3D3148B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646D667F"/>
    <w:multiLevelType w:val="multilevel"/>
    <w:tmpl w:val="646D667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BwJTQ2NzU0sDS0MzYyUdpeDU4uLM/DyQAiPLWgCvRxKyLQAAAA=="/>
  </w:docVars>
  <w:rsids>
    <w:rsidRoot w:val="00656289"/>
    <w:rsid w:val="00000AD2"/>
    <w:rsid w:val="000116DA"/>
    <w:rsid w:val="00020BCB"/>
    <w:rsid w:val="00026462"/>
    <w:rsid w:val="0003144E"/>
    <w:rsid w:val="00032111"/>
    <w:rsid w:val="0003506B"/>
    <w:rsid w:val="000423FA"/>
    <w:rsid w:val="00046B02"/>
    <w:rsid w:val="00050335"/>
    <w:rsid w:val="000503B8"/>
    <w:rsid w:val="0005220D"/>
    <w:rsid w:val="00053468"/>
    <w:rsid w:val="00053D5D"/>
    <w:rsid w:val="00054892"/>
    <w:rsid w:val="000573AB"/>
    <w:rsid w:val="00057C68"/>
    <w:rsid w:val="00063811"/>
    <w:rsid w:val="00064371"/>
    <w:rsid w:val="00066F1A"/>
    <w:rsid w:val="00067282"/>
    <w:rsid w:val="00081D8E"/>
    <w:rsid w:val="000844F7"/>
    <w:rsid w:val="000905FA"/>
    <w:rsid w:val="0009076C"/>
    <w:rsid w:val="0009225E"/>
    <w:rsid w:val="00094C03"/>
    <w:rsid w:val="00096AEB"/>
    <w:rsid w:val="0009720A"/>
    <w:rsid w:val="000B078B"/>
    <w:rsid w:val="000B19A1"/>
    <w:rsid w:val="000B63F2"/>
    <w:rsid w:val="000B6A22"/>
    <w:rsid w:val="000B76EE"/>
    <w:rsid w:val="000C329D"/>
    <w:rsid w:val="000E1257"/>
    <w:rsid w:val="000F06E3"/>
    <w:rsid w:val="00100317"/>
    <w:rsid w:val="001108A9"/>
    <w:rsid w:val="00112437"/>
    <w:rsid w:val="00114F7D"/>
    <w:rsid w:val="00123E7C"/>
    <w:rsid w:val="00124D30"/>
    <w:rsid w:val="001331FF"/>
    <w:rsid w:val="00133D70"/>
    <w:rsid w:val="00135714"/>
    <w:rsid w:val="0014140F"/>
    <w:rsid w:val="00141FD5"/>
    <w:rsid w:val="001451ED"/>
    <w:rsid w:val="001457DD"/>
    <w:rsid w:val="00150897"/>
    <w:rsid w:val="00151DAA"/>
    <w:rsid w:val="001540DF"/>
    <w:rsid w:val="0015582B"/>
    <w:rsid w:val="0016049B"/>
    <w:rsid w:val="00163646"/>
    <w:rsid w:val="0016473E"/>
    <w:rsid w:val="00165B1D"/>
    <w:rsid w:val="00165C02"/>
    <w:rsid w:val="00165F3B"/>
    <w:rsid w:val="00180AE3"/>
    <w:rsid w:val="00185511"/>
    <w:rsid w:val="001873F8"/>
    <w:rsid w:val="00194631"/>
    <w:rsid w:val="00196C5F"/>
    <w:rsid w:val="001A1E95"/>
    <w:rsid w:val="001A313A"/>
    <w:rsid w:val="001B055F"/>
    <w:rsid w:val="001C09E3"/>
    <w:rsid w:val="001C1479"/>
    <w:rsid w:val="001C4ADD"/>
    <w:rsid w:val="001C563B"/>
    <w:rsid w:val="001E4B00"/>
    <w:rsid w:val="001E7F66"/>
    <w:rsid w:val="001F22AB"/>
    <w:rsid w:val="001F53F0"/>
    <w:rsid w:val="001F55E5"/>
    <w:rsid w:val="001F73D5"/>
    <w:rsid w:val="00200011"/>
    <w:rsid w:val="00203906"/>
    <w:rsid w:val="00215877"/>
    <w:rsid w:val="002237CC"/>
    <w:rsid w:val="00224607"/>
    <w:rsid w:val="00226182"/>
    <w:rsid w:val="00235703"/>
    <w:rsid w:val="00237AAD"/>
    <w:rsid w:val="00243A85"/>
    <w:rsid w:val="00251A37"/>
    <w:rsid w:val="002574A5"/>
    <w:rsid w:val="00261357"/>
    <w:rsid w:val="00285D10"/>
    <w:rsid w:val="00287AFD"/>
    <w:rsid w:val="00290BED"/>
    <w:rsid w:val="00291267"/>
    <w:rsid w:val="002A009D"/>
    <w:rsid w:val="002A6336"/>
    <w:rsid w:val="002A79E5"/>
    <w:rsid w:val="002B1914"/>
    <w:rsid w:val="002C2129"/>
    <w:rsid w:val="002C4B11"/>
    <w:rsid w:val="002C60CC"/>
    <w:rsid w:val="002D1061"/>
    <w:rsid w:val="002D3434"/>
    <w:rsid w:val="002D45CB"/>
    <w:rsid w:val="002D480E"/>
    <w:rsid w:val="002E235B"/>
    <w:rsid w:val="002E56BA"/>
    <w:rsid w:val="002F45D8"/>
    <w:rsid w:val="002F61F0"/>
    <w:rsid w:val="00300F22"/>
    <w:rsid w:val="00311220"/>
    <w:rsid w:val="00312310"/>
    <w:rsid w:val="00324C11"/>
    <w:rsid w:val="003323BE"/>
    <w:rsid w:val="003327CD"/>
    <w:rsid w:val="00347A92"/>
    <w:rsid w:val="0035130E"/>
    <w:rsid w:val="00354332"/>
    <w:rsid w:val="003549C2"/>
    <w:rsid w:val="00356F98"/>
    <w:rsid w:val="00362426"/>
    <w:rsid w:val="00366597"/>
    <w:rsid w:val="00371995"/>
    <w:rsid w:val="00376C6E"/>
    <w:rsid w:val="003904A9"/>
    <w:rsid w:val="00392877"/>
    <w:rsid w:val="003A1914"/>
    <w:rsid w:val="003B2040"/>
    <w:rsid w:val="003B7E11"/>
    <w:rsid w:val="003C289C"/>
    <w:rsid w:val="003D610D"/>
    <w:rsid w:val="003E4190"/>
    <w:rsid w:val="003E651B"/>
    <w:rsid w:val="003F49EF"/>
    <w:rsid w:val="003F56FB"/>
    <w:rsid w:val="003F6195"/>
    <w:rsid w:val="0040087A"/>
    <w:rsid w:val="00403992"/>
    <w:rsid w:val="00403A2A"/>
    <w:rsid w:val="00405CAD"/>
    <w:rsid w:val="00412CD7"/>
    <w:rsid w:val="004208B0"/>
    <w:rsid w:val="00422A23"/>
    <w:rsid w:val="004250F6"/>
    <w:rsid w:val="0042629F"/>
    <w:rsid w:val="0043238E"/>
    <w:rsid w:val="004372C3"/>
    <w:rsid w:val="0044062B"/>
    <w:rsid w:val="00441882"/>
    <w:rsid w:val="00444499"/>
    <w:rsid w:val="00445B9A"/>
    <w:rsid w:val="004472E9"/>
    <w:rsid w:val="004515FE"/>
    <w:rsid w:val="004538C9"/>
    <w:rsid w:val="004616F8"/>
    <w:rsid w:val="00462892"/>
    <w:rsid w:val="00467CAC"/>
    <w:rsid w:val="004750E7"/>
    <w:rsid w:val="00487523"/>
    <w:rsid w:val="00491B49"/>
    <w:rsid w:val="00497233"/>
    <w:rsid w:val="004974F0"/>
    <w:rsid w:val="00497FEE"/>
    <w:rsid w:val="004A3B9B"/>
    <w:rsid w:val="004A5856"/>
    <w:rsid w:val="004B27F6"/>
    <w:rsid w:val="004B3D40"/>
    <w:rsid w:val="004B4502"/>
    <w:rsid w:val="004C2E62"/>
    <w:rsid w:val="004D1073"/>
    <w:rsid w:val="004E19F5"/>
    <w:rsid w:val="004E2DAB"/>
    <w:rsid w:val="004E4753"/>
    <w:rsid w:val="004F18EF"/>
    <w:rsid w:val="004F7313"/>
    <w:rsid w:val="005019A9"/>
    <w:rsid w:val="00514D34"/>
    <w:rsid w:val="005276F8"/>
    <w:rsid w:val="00546D87"/>
    <w:rsid w:val="00547A97"/>
    <w:rsid w:val="005529B6"/>
    <w:rsid w:val="00560896"/>
    <w:rsid w:val="005612C3"/>
    <w:rsid w:val="0056212C"/>
    <w:rsid w:val="005641F8"/>
    <w:rsid w:val="005658A4"/>
    <w:rsid w:val="005665E0"/>
    <w:rsid w:val="0056690B"/>
    <w:rsid w:val="005746B6"/>
    <w:rsid w:val="00575560"/>
    <w:rsid w:val="00584343"/>
    <w:rsid w:val="00593EE1"/>
    <w:rsid w:val="005B1576"/>
    <w:rsid w:val="005B695F"/>
    <w:rsid w:val="005C56CA"/>
    <w:rsid w:val="005C5C68"/>
    <w:rsid w:val="005C6B17"/>
    <w:rsid w:val="005D375B"/>
    <w:rsid w:val="005D4739"/>
    <w:rsid w:val="005D4C6F"/>
    <w:rsid w:val="005D6B4A"/>
    <w:rsid w:val="005D6DEB"/>
    <w:rsid w:val="005E02A2"/>
    <w:rsid w:val="005F26B9"/>
    <w:rsid w:val="005F4841"/>
    <w:rsid w:val="0060020B"/>
    <w:rsid w:val="006054DC"/>
    <w:rsid w:val="00607DED"/>
    <w:rsid w:val="00611869"/>
    <w:rsid w:val="0062462B"/>
    <w:rsid w:val="006318D6"/>
    <w:rsid w:val="00632BF3"/>
    <w:rsid w:val="00642837"/>
    <w:rsid w:val="006514C9"/>
    <w:rsid w:val="0065464F"/>
    <w:rsid w:val="00656289"/>
    <w:rsid w:val="006573CC"/>
    <w:rsid w:val="006675C0"/>
    <w:rsid w:val="0067170D"/>
    <w:rsid w:val="00676ED1"/>
    <w:rsid w:val="00684B76"/>
    <w:rsid w:val="00684D0A"/>
    <w:rsid w:val="0069574B"/>
    <w:rsid w:val="00695AF4"/>
    <w:rsid w:val="006A1D29"/>
    <w:rsid w:val="006A2369"/>
    <w:rsid w:val="006A5781"/>
    <w:rsid w:val="006B7DAF"/>
    <w:rsid w:val="006C0542"/>
    <w:rsid w:val="006C1435"/>
    <w:rsid w:val="006C1805"/>
    <w:rsid w:val="006D6EA9"/>
    <w:rsid w:val="006E1207"/>
    <w:rsid w:val="006E45EB"/>
    <w:rsid w:val="006E4CCE"/>
    <w:rsid w:val="006E50C8"/>
    <w:rsid w:val="006E5F5A"/>
    <w:rsid w:val="006E602D"/>
    <w:rsid w:val="006F2D8F"/>
    <w:rsid w:val="0070200D"/>
    <w:rsid w:val="007032F2"/>
    <w:rsid w:val="00704D8B"/>
    <w:rsid w:val="00706E00"/>
    <w:rsid w:val="007150C2"/>
    <w:rsid w:val="007241B8"/>
    <w:rsid w:val="007351A4"/>
    <w:rsid w:val="00735D8C"/>
    <w:rsid w:val="00736341"/>
    <w:rsid w:val="007402AB"/>
    <w:rsid w:val="007410B7"/>
    <w:rsid w:val="007411EF"/>
    <w:rsid w:val="00743596"/>
    <w:rsid w:val="0074440C"/>
    <w:rsid w:val="00752057"/>
    <w:rsid w:val="00752232"/>
    <w:rsid w:val="0075371E"/>
    <w:rsid w:val="00756203"/>
    <w:rsid w:val="00764486"/>
    <w:rsid w:val="0076481A"/>
    <w:rsid w:val="00767F40"/>
    <w:rsid w:val="0078046A"/>
    <w:rsid w:val="00790B5D"/>
    <w:rsid w:val="007932C4"/>
    <w:rsid w:val="007965CB"/>
    <w:rsid w:val="007A3BB8"/>
    <w:rsid w:val="007A5EF9"/>
    <w:rsid w:val="007A72A5"/>
    <w:rsid w:val="007B25CD"/>
    <w:rsid w:val="007B387B"/>
    <w:rsid w:val="007B5229"/>
    <w:rsid w:val="007C1F13"/>
    <w:rsid w:val="007D122C"/>
    <w:rsid w:val="007D1DC7"/>
    <w:rsid w:val="007D5362"/>
    <w:rsid w:val="007D789E"/>
    <w:rsid w:val="007E01ED"/>
    <w:rsid w:val="007F415F"/>
    <w:rsid w:val="007F4231"/>
    <w:rsid w:val="007F5FD4"/>
    <w:rsid w:val="007F7D0D"/>
    <w:rsid w:val="00800273"/>
    <w:rsid w:val="008038C7"/>
    <w:rsid w:val="0081320F"/>
    <w:rsid w:val="00816CB8"/>
    <w:rsid w:val="0082056C"/>
    <w:rsid w:val="0082089E"/>
    <w:rsid w:val="00822C37"/>
    <w:rsid w:val="00822DBA"/>
    <w:rsid w:val="00823AE2"/>
    <w:rsid w:val="008247E2"/>
    <w:rsid w:val="0082605B"/>
    <w:rsid w:val="00827F50"/>
    <w:rsid w:val="00832D97"/>
    <w:rsid w:val="00840357"/>
    <w:rsid w:val="008469AF"/>
    <w:rsid w:val="00853579"/>
    <w:rsid w:val="00857BA7"/>
    <w:rsid w:val="00862188"/>
    <w:rsid w:val="008638B1"/>
    <w:rsid w:val="00867DA7"/>
    <w:rsid w:val="008724E6"/>
    <w:rsid w:val="00876B78"/>
    <w:rsid w:val="00885FF5"/>
    <w:rsid w:val="008913D6"/>
    <w:rsid w:val="008929D8"/>
    <w:rsid w:val="008947F3"/>
    <w:rsid w:val="008A21BD"/>
    <w:rsid w:val="008A2733"/>
    <w:rsid w:val="008A399E"/>
    <w:rsid w:val="008A4AAA"/>
    <w:rsid w:val="008A5A0E"/>
    <w:rsid w:val="008A61D4"/>
    <w:rsid w:val="008A6EEF"/>
    <w:rsid w:val="008A7593"/>
    <w:rsid w:val="008B74F8"/>
    <w:rsid w:val="008B76B2"/>
    <w:rsid w:val="008C210C"/>
    <w:rsid w:val="008D083B"/>
    <w:rsid w:val="008D1127"/>
    <w:rsid w:val="008E59F8"/>
    <w:rsid w:val="008E6D16"/>
    <w:rsid w:val="008F09D9"/>
    <w:rsid w:val="008F3873"/>
    <w:rsid w:val="008F3BE0"/>
    <w:rsid w:val="008F3CE2"/>
    <w:rsid w:val="008F4A28"/>
    <w:rsid w:val="0090170F"/>
    <w:rsid w:val="009108A2"/>
    <w:rsid w:val="009170C7"/>
    <w:rsid w:val="00923199"/>
    <w:rsid w:val="00923D62"/>
    <w:rsid w:val="00926F3F"/>
    <w:rsid w:val="009371B5"/>
    <w:rsid w:val="00942F4E"/>
    <w:rsid w:val="00943E19"/>
    <w:rsid w:val="00961B5F"/>
    <w:rsid w:val="00961FA4"/>
    <w:rsid w:val="009621B7"/>
    <w:rsid w:val="00973044"/>
    <w:rsid w:val="00976344"/>
    <w:rsid w:val="0097688B"/>
    <w:rsid w:val="00981C3F"/>
    <w:rsid w:val="009846F8"/>
    <w:rsid w:val="0098470E"/>
    <w:rsid w:val="00985C48"/>
    <w:rsid w:val="009869AF"/>
    <w:rsid w:val="00990B2C"/>
    <w:rsid w:val="009957DE"/>
    <w:rsid w:val="009A12A1"/>
    <w:rsid w:val="009A3E4C"/>
    <w:rsid w:val="009A4534"/>
    <w:rsid w:val="009A57FA"/>
    <w:rsid w:val="009B4ACA"/>
    <w:rsid w:val="009C10F2"/>
    <w:rsid w:val="009C1682"/>
    <w:rsid w:val="009C17BD"/>
    <w:rsid w:val="009C2919"/>
    <w:rsid w:val="009C3B6C"/>
    <w:rsid w:val="009C675A"/>
    <w:rsid w:val="009C67A3"/>
    <w:rsid w:val="009E17DE"/>
    <w:rsid w:val="009E773A"/>
    <w:rsid w:val="009F1346"/>
    <w:rsid w:val="00A03C7C"/>
    <w:rsid w:val="00A05911"/>
    <w:rsid w:val="00A10AF8"/>
    <w:rsid w:val="00A137DB"/>
    <w:rsid w:val="00A145CB"/>
    <w:rsid w:val="00A2479D"/>
    <w:rsid w:val="00A24B72"/>
    <w:rsid w:val="00A33A11"/>
    <w:rsid w:val="00A3516F"/>
    <w:rsid w:val="00A36E0E"/>
    <w:rsid w:val="00A40164"/>
    <w:rsid w:val="00A40C21"/>
    <w:rsid w:val="00A413BA"/>
    <w:rsid w:val="00A41C28"/>
    <w:rsid w:val="00A45105"/>
    <w:rsid w:val="00A52926"/>
    <w:rsid w:val="00A5765F"/>
    <w:rsid w:val="00A57C82"/>
    <w:rsid w:val="00A625DD"/>
    <w:rsid w:val="00A62E04"/>
    <w:rsid w:val="00A71239"/>
    <w:rsid w:val="00A81149"/>
    <w:rsid w:val="00A81B43"/>
    <w:rsid w:val="00A834A9"/>
    <w:rsid w:val="00AA1BC6"/>
    <w:rsid w:val="00AA3816"/>
    <w:rsid w:val="00AA5F6F"/>
    <w:rsid w:val="00AA662E"/>
    <w:rsid w:val="00AA69C9"/>
    <w:rsid w:val="00AB16E5"/>
    <w:rsid w:val="00AB29A4"/>
    <w:rsid w:val="00AD0D63"/>
    <w:rsid w:val="00AD0E4E"/>
    <w:rsid w:val="00AD306B"/>
    <w:rsid w:val="00AD308B"/>
    <w:rsid w:val="00AE415C"/>
    <w:rsid w:val="00AF1DF7"/>
    <w:rsid w:val="00AF3777"/>
    <w:rsid w:val="00AF6342"/>
    <w:rsid w:val="00AF755C"/>
    <w:rsid w:val="00B03A60"/>
    <w:rsid w:val="00B170D8"/>
    <w:rsid w:val="00B30E03"/>
    <w:rsid w:val="00B33BEC"/>
    <w:rsid w:val="00B43F90"/>
    <w:rsid w:val="00B44950"/>
    <w:rsid w:val="00B45DDA"/>
    <w:rsid w:val="00B536B4"/>
    <w:rsid w:val="00B53E02"/>
    <w:rsid w:val="00B55BF7"/>
    <w:rsid w:val="00B57AB5"/>
    <w:rsid w:val="00B635C8"/>
    <w:rsid w:val="00B72CB0"/>
    <w:rsid w:val="00B860C1"/>
    <w:rsid w:val="00B86E1B"/>
    <w:rsid w:val="00B86FB8"/>
    <w:rsid w:val="00BA5EE5"/>
    <w:rsid w:val="00BA627E"/>
    <w:rsid w:val="00BB0BB5"/>
    <w:rsid w:val="00BB31DB"/>
    <w:rsid w:val="00BB4187"/>
    <w:rsid w:val="00BC1280"/>
    <w:rsid w:val="00BC737C"/>
    <w:rsid w:val="00BD0698"/>
    <w:rsid w:val="00BD0BD1"/>
    <w:rsid w:val="00BE0FF3"/>
    <w:rsid w:val="00BE680D"/>
    <w:rsid w:val="00BF3B25"/>
    <w:rsid w:val="00BF42B9"/>
    <w:rsid w:val="00C05D7E"/>
    <w:rsid w:val="00C14E59"/>
    <w:rsid w:val="00C16F4B"/>
    <w:rsid w:val="00C1733F"/>
    <w:rsid w:val="00C20509"/>
    <w:rsid w:val="00C278AB"/>
    <w:rsid w:val="00C34FDD"/>
    <w:rsid w:val="00C36010"/>
    <w:rsid w:val="00C408BD"/>
    <w:rsid w:val="00C418CD"/>
    <w:rsid w:val="00C42EEE"/>
    <w:rsid w:val="00C60A38"/>
    <w:rsid w:val="00C63B30"/>
    <w:rsid w:val="00C63C6E"/>
    <w:rsid w:val="00C666EE"/>
    <w:rsid w:val="00C74549"/>
    <w:rsid w:val="00C92B7D"/>
    <w:rsid w:val="00C92C71"/>
    <w:rsid w:val="00C95BE8"/>
    <w:rsid w:val="00CA0A34"/>
    <w:rsid w:val="00CA15FE"/>
    <w:rsid w:val="00CA46D9"/>
    <w:rsid w:val="00CA4A5C"/>
    <w:rsid w:val="00CA691D"/>
    <w:rsid w:val="00CB2878"/>
    <w:rsid w:val="00CB46AF"/>
    <w:rsid w:val="00CB61C8"/>
    <w:rsid w:val="00CC3265"/>
    <w:rsid w:val="00CC356C"/>
    <w:rsid w:val="00CD0F8B"/>
    <w:rsid w:val="00CD33DB"/>
    <w:rsid w:val="00CD3995"/>
    <w:rsid w:val="00CD4FE2"/>
    <w:rsid w:val="00CD51DE"/>
    <w:rsid w:val="00CD753A"/>
    <w:rsid w:val="00CE21D9"/>
    <w:rsid w:val="00CE3A39"/>
    <w:rsid w:val="00CF6628"/>
    <w:rsid w:val="00CF6AB6"/>
    <w:rsid w:val="00D1746D"/>
    <w:rsid w:val="00D203F2"/>
    <w:rsid w:val="00D2399E"/>
    <w:rsid w:val="00D245FF"/>
    <w:rsid w:val="00D26432"/>
    <w:rsid w:val="00D30A37"/>
    <w:rsid w:val="00D34A5F"/>
    <w:rsid w:val="00D3696B"/>
    <w:rsid w:val="00D41B59"/>
    <w:rsid w:val="00D444DD"/>
    <w:rsid w:val="00D4707B"/>
    <w:rsid w:val="00D474AC"/>
    <w:rsid w:val="00D500D2"/>
    <w:rsid w:val="00D5397C"/>
    <w:rsid w:val="00D541EB"/>
    <w:rsid w:val="00D6157F"/>
    <w:rsid w:val="00D63C34"/>
    <w:rsid w:val="00D64EF5"/>
    <w:rsid w:val="00D6585C"/>
    <w:rsid w:val="00D66AFB"/>
    <w:rsid w:val="00D71761"/>
    <w:rsid w:val="00D7432F"/>
    <w:rsid w:val="00D80598"/>
    <w:rsid w:val="00D810A5"/>
    <w:rsid w:val="00D8273C"/>
    <w:rsid w:val="00D84DC8"/>
    <w:rsid w:val="00DA0087"/>
    <w:rsid w:val="00DA0F41"/>
    <w:rsid w:val="00DA3253"/>
    <w:rsid w:val="00DA7A6B"/>
    <w:rsid w:val="00DB16CE"/>
    <w:rsid w:val="00DB6164"/>
    <w:rsid w:val="00DC2029"/>
    <w:rsid w:val="00DD16E7"/>
    <w:rsid w:val="00DD4169"/>
    <w:rsid w:val="00DD4A95"/>
    <w:rsid w:val="00DE16E7"/>
    <w:rsid w:val="00DE194B"/>
    <w:rsid w:val="00DE3A3A"/>
    <w:rsid w:val="00DE4FE6"/>
    <w:rsid w:val="00DF20DD"/>
    <w:rsid w:val="00DF2A5D"/>
    <w:rsid w:val="00DF7BFE"/>
    <w:rsid w:val="00E01277"/>
    <w:rsid w:val="00E1739E"/>
    <w:rsid w:val="00E22B8D"/>
    <w:rsid w:val="00E23B55"/>
    <w:rsid w:val="00E23E0C"/>
    <w:rsid w:val="00E25059"/>
    <w:rsid w:val="00E31CBD"/>
    <w:rsid w:val="00E32647"/>
    <w:rsid w:val="00E3558D"/>
    <w:rsid w:val="00E356D2"/>
    <w:rsid w:val="00E36B54"/>
    <w:rsid w:val="00E36EA8"/>
    <w:rsid w:val="00E37994"/>
    <w:rsid w:val="00E37F99"/>
    <w:rsid w:val="00E419C5"/>
    <w:rsid w:val="00E5655A"/>
    <w:rsid w:val="00E6162F"/>
    <w:rsid w:val="00E62F8B"/>
    <w:rsid w:val="00E63B75"/>
    <w:rsid w:val="00E83F81"/>
    <w:rsid w:val="00E8584D"/>
    <w:rsid w:val="00E85990"/>
    <w:rsid w:val="00E8757C"/>
    <w:rsid w:val="00EA08BD"/>
    <w:rsid w:val="00EA14F8"/>
    <w:rsid w:val="00EA2697"/>
    <w:rsid w:val="00EA3512"/>
    <w:rsid w:val="00EA4575"/>
    <w:rsid w:val="00EA54FE"/>
    <w:rsid w:val="00EB1067"/>
    <w:rsid w:val="00EB33ED"/>
    <w:rsid w:val="00EC08A5"/>
    <w:rsid w:val="00EC421F"/>
    <w:rsid w:val="00EC72E2"/>
    <w:rsid w:val="00EC781C"/>
    <w:rsid w:val="00EE1EA6"/>
    <w:rsid w:val="00EE5B6B"/>
    <w:rsid w:val="00EF496C"/>
    <w:rsid w:val="00EF66FA"/>
    <w:rsid w:val="00F000E2"/>
    <w:rsid w:val="00F00434"/>
    <w:rsid w:val="00F04778"/>
    <w:rsid w:val="00F060CC"/>
    <w:rsid w:val="00F15598"/>
    <w:rsid w:val="00F32670"/>
    <w:rsid w:val="00F3339A"/>
    <w:rsid w:val="00F3709A"/>
    <w:rsid w:val="00F4026D"/>
    <w:rsid w:val="00F43933"/>
    <w:rsid w:val="00F52F42"/>
    <w:rsid w:val="00F60408"/>
    <w:rsid w:val="00F61129"/>
    <w:rsid w:val="00F6555B"/>
    <w:rsid w:val="00F70822"/>
    <w:rsid w:val="00F70907"/>
    <w:rsid w:val="00F72FDA"/>
    <w:rsid w:val="00F733DD"/>
    <w:rsid w:val="00F73E52"/>
    <w:rsid w:val="00F82B2F"/>
    <w:rsid w:val="00F83966"/>
    <w:rsid w:val="00F942B3"/>
    <w:rsid w:val="00F960B4"/>
    <w:rsid w:val="00FA10D5"/>
    <w:rsid w:val="00FB5129"/>
    <w:rsid w:val="00FB6280"/>
    <w:rsid w:val="00FC072B"/>
    <w:rsid w:val="00FC1361"/>
    <w:rsid w:val="00FD21E4"/>
    <w:rsid w:val="00FE0695"/>
    <w:rsid w:val="00FE16CA"/>
    <w:rsid w:val="00FE6DFD"/>
    <w:rsid w:val="00FF5BBB"/>
    <w:rsid w:val="DF3F72D3"/>
    <w:rsid w:val="F3FBD12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kern w:val="2"/>
      <w:sz w:val="24"/>
      <w:szCs w:val="22"/>
      <w:lang w:val="en-AU" w:eastAsia="en-US" w:bidi="ar-SA"/>
      <w14:ligatures w14:val="standardContextual"/>
    </w:rPr>
  </w:style>
  <w:style w:type="paragraph" w:styleId="2">
    <w:name w:val="heading 1"/>
    <w:basedOn w:val="1"/>
    <w:next w:val="1"/>
    <w:link w:val="18"/>
    <w:qFormat/>
    <w:uiPriority w:val="9"/>
    <w:pPr>
      <w:keepNext/>
      <w:keepLines/>
      <w:spacing w:before="240" w:after="0"/>
      <w:outlineLvl w:val="0"/>
    </w:pPr>
    <w:rPr>
      <w:rFonts w:eastAsiaTheme="majorEastAsia" w:cstheme="majorBidi"/>
      <w:b/>
      <w:szCs w:val="32"/>
    </w:rPr>
  </w:style>
  <w:style w:type="paragraph" w:styleId="3">
    <w:name w:val="heading 2"/>
    <w:basedOn w:val="1"/>
    <w:next w:val="1"/>
    <w:link w:val="20"/>
    <w:unhideWhenUsed/>
    <w:qFormat/>
    <w:uiPriority w:val="9"/>
    <w:pPr>
      <w:keepNext/>
      <w:keepLines/>
      <w:spacing w:before="40" w:after="0"/>
      <w:outlineLvl w:val="1"/>
    </w:pPr>
    <w:rPr>
      <w:rFonts w:eastAsiaTheme="majorEastAsia" w:cstheme="majorBidi"/>
      <w:b/>
      <w:szCs w:val="26"/>
    </w:rPr>
  </w:style>
  <w:style w:type="paragraph" w:styleId="4">
    <w:name w:val="heading 3"/>
    <w:basedOn w:val="1"/>
    <w:next w:val="1"/>
    <w:link w:val="25"/>
    <w:unhideWhenUsed/>
    <w:qFormat/>
    <w:uiPriority w:val="9"/>
    <w:pPr>
      <w:keepNext/>
      <w:keepLines/>
      <w:spacing w:before="40" w:after="0"/>
      <w:outlineLvl w:val="2"/>
    </w:pPr>
    <w:rPr>
      <w:rFonts w:eastAsiaTheme="majorEastAsia" w:cstheme="majorBidi"/>
      <w:b/>
      <w:i/>
      <w:szCs w:val="24"/>
    </w:rPr>
  </w:style>
  <w:style w:type="paragraph" w:styleId="5">
    <w:name w:val="heading 4"/>
    <w:basedOn w:val="1"/>
    <w:next w:val="1"/>
    <w:link w:val="26"/>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character" w:styleId="8">
    <w:name w:val="Emphasis"/>
    <w:basedOn w:val="6"/>
    <w:qFormat/>
    <w:uiPriority w:val="20"/>
    <w:rPr>
      <w:i/>
      <w:iCs/>
    </w:rPr>
  </w:style>
  <w:style w:type="paragraph" w:styleId="9">
    <w:name w:val="footer"/>
    <w:basedOn w:val="1"/>
    <w:link w:val="28"/>
    <w:unhideWhenUsed/>
    <w:uiPriority w:val="99"/>
    <w:pPr>
      <w:tabs>
        <w:tab w:val="center" w:pos="4513"/>
        <w:tab w:val="right" w:pos="9026"/>
      </w:tabs>
      <w:spacing w:after="0" w:line="240" w:lineRule="auto"/>
    </w:pPr>
  </w:style>
  <w:style w:type="paragraph" w:styleId="10">
    <w:name w:val="header"/>
    <w:basedOn w:val="1"/>
    <w:link w:val="27"/>
    <w:unhideWhenUsed/>
    <w:uiPriority w:val="99"/>
    <w:pPr>
      <w:tabs>
        <w:tab w:val="center" w:pos="4513"/>
        <w:tab w:val="right" w:pos="9026"/>
      </w:tabs>
      <w:spacing w:after="0" w:line="240" w:lineRule="auto"/>
    </w:pPr>
  </w:style>
  <w:style w:type="character" w:styleId="11">
    <w:name w:val="Hyperlink"/>
    <w:basedOn w:val="6"/>
    <w:unhideWhenUsed/>
    <w:uiPriority w:val="99"/>
    <w:rPr>
      <w:color w:val="0563C1" w:themeColor="hyperlink"/>
      <w:u w:val="single"/>
      <w14:textFill>
        <w14:solidFill>
          <w14:schemeClr w14:val="hlink"/>
        </w14:solidFill>
      </w14:textFill>
    </w:rPr>
  </w:style>
  <w:style w:type="paragraph" w:styleId="12">
    <w:name w:val="Normal (Web)"/>
    <w:basedOn w:val="1"/>
    <w:unhideWhenUsed/>
    <w:uiPriority w:val="99"/>
    <w:pPr>
      <w:spacing w:before="100" w:beforeAutospacing="1" w:after="100" w:afterAutospacing="1" w:line="240" w:lineRule="auto"/>
    </w:pPr>
    <w:rPr>
      <w:rFonts w:eastAsia="Times New Roman" w:cs="Times New Roman"/>
      <w:kern w:val="0"/>
      <w:szCs w:val="24"/>
      <w:lang w:val="en-IN" w:eastAsia="en-IN"/>
      <w14:ligatures w14:val="none"/>
    </w:rPr>
  </w:style>
  <w:style w:type="character" w:styleId="13">
    <w:name w:val="Strong"/>
    <w:basedOn w:val="6"/>
    <w:qFormat/>
    <w:uiPriority w:val="22"/>
    <w:rPr>
      <w:b/>
      <w:bCs/>
    </w:rPr>
  </w:style>
  <w:style w:type="table" w:styleId="14">
    <w:name w:val="Table Grid"/>
    <w:basedOn w:val="7"/>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toc 1"/>
    <w:basedOn w:val="1"/>
    <w:next w:val="1"/>
    <w:autoRedefine/>
    <w:unhideWhenUsed/>
    <w:uiPriority w:val="39"/>
    <w:pPr>
      <w:spacing w:after="100"/>
    </w:pPr>
  </w:style>
  <w:style w:type="paragraph" w:styleId="16">
    <w:name w:val="toc 2"/>
    <w:basedOn w:val="1"/>
    <w:next w:val="1"/>
    <w:autoRedefine/>
    <w:unhideWhenUsed/>
    <w:uiPriority w:val="39"/>
    <w:pPr>
      <w:spacing w:after="100"/>
      <w:ind w:left="240"/>
    </w:pPr>
  </w:style>
  <w:style w:type="paragraph" w:styleId="17">
    <w:name w:val="toc 3"/>
    <w:basedOn w:val="1"/>
    <w:next w:val="1"/>
    <w:autoRedefine/>
    <w:unhideWhenUsed/>
    <w:uiPriority w:val="39"/>
    <w:pPr>
      <w:spacing w:after="100"/>
      <w:ind w:left="480"/>
    </w:pPr>
  </w:style>
  <w:style w:type="character" w:customStyle="1" w:styleId="18">
    <w:name w:val="Heading 1 Char"/>
    <w:basedOn w:val="6"/>
    <w:link w:val="2"/>
    <w:uiPriority w:val="9"/>
    <w:rPr>
      <w:rFonts w:ascii="Times New Roman" w:hAnsi="Times New Roman" w:eastAsiaTheme="majorEastAsia" w:cstheme="majorBidi"/>
      <w:b/>
      <w:sz w:val="24"/>
      <w:szCs w:val="32"/>
      <w:lang w:val="en-AU"/>
    </w:rPr>
  </w:style>
  <w:style w:type="character" w:customStyle="1" w:styleId="19">
    <w:name w:val="url"/>
    <w:basedOn w:val="6"/>
    <w:uiPriority w:val="0"/>
  </w:style>
  <w:style w:type="character" w:customStyle="1" w:styleId="20">
    <w:name w:val="Heading 2 Char"/>
    <w:basedOn w:val="6"/>
    <w:link w:val="3"/>
    <w:uiPriority w:val="9"/>
    <w:rPr>
      <w:rFonts w:ascii="Times New Roman" w:hAnsi="Times New Roman" w:eastAsiaTheme="majorEastAsia" w:cstheme="majorBidi"/>
      <w:b/>
      <w:sz w:val="24"/>
      <w:szCs w:val="26"/>
      <w:lang w:val="en-AU"/>
    </w:rPr>
  </w:style>
  <w:style w:type="paragraph" w:customStyle="1" w:styleId="21">
    <w:name w:val="TOC Heading"/>
    <w:basedOn w:val="2"/>
    <w:next w:val="1"/>
    <w:unhideWhenUsed/>
    <w:qFormat/>
    <w:uiPriority w:val="39"/>
    <w:pPr>
      <w:spacing w:line="259" w:lineRule="auto"/>
      <w:jc w:val="left"/>
      <w:outlineLvl w:val="9"/>
    </w:pPr>
    <w:rPr>
      <w:rFonts w:asciiTheme="majorHAnsi" w:hAnsiTheme="majorHAnsi"/>
      <w:b w:val="0"/>
      <w:color w:val="2F5597" w:themeColor="accent1" w:themeShade="BF"/>
      <w:kern w:val="0"/>
      <w:sz w:val="32"/>
      <w:lang w:val="en-US"/>
      <w14:ligatures w14:val="none"/>
    </w:rPr>
  </w:style>
  <w:style w:type="table" w:customStyle="1" w:styleId="22">
    <w:name w:val="Plain Table 1"/>
    <w:basedOn w:val="7"/>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paragraph" w:styleId="23">
    <w:name w:val="List Paragraph"/>
    <w:basedOn w:val="1"/>
    <w:qFormat/>
    <w:uiPriority w:val="34"/>
    <w:pPr>
      <w:ind w:left="720"/>
      <w:contextualSpacing/>
    </w:pPr>
  </w:style>
  <w:style w:type="character" w:customStyle="1" w:styleId="24">
    <w:name w:val="Unresolved Mention"/>
    <w:basedOn w:val="6"/>
    <w:semiHidden/>
    <w:unhideWhenUsed/>
    <w:uiPriority w:val="99"/>
    <w:rPr>
      <w:color w:val="605E5C"/>
      <w:shd w:val="clear" w:color="auto" w:fill="E1DFDD"/>
    </w:rPr>
  </w:style>
  <w:style w:type="character" w:customStyle="1" w:styleId="25">
    <w:name w:val="Heading 3 Char"/>
    <w:basedOn w:val="6"/>
    <w:link w:val="4"/>
    <w:uiPriority w:val="9"/>
    <w:rPr>
      <w:rFonts w:ascii="Times New Roman" w:hAnsi="Times New Roman" w:eastAsiaTheme="majorEastAsia" w:cstheme="majorBidi"/>
      <w:b/>
      <w:i/>
      <w:sz w:val="24"/>
      <w:szCs w:val="24"/>
      <w:lang w:val="en-AU"/>
    </w:rPr>
  </w:style>
  <w:style w:type="character" w:customStyle="1" w:styleId="26">
    <w:name w:val="Heading 4 Char"/>
    <w:basedOn w:val="6"/>
    <w:link w:val="5"/>
    <w:semiHidden/>
    <w:uiPriority w:val="9"/>
    <w:rPr>
      <w:rFonts w:asciiTheme="majorHAnsi" w:hAnsiTheme="majorHAnsi" w:eastAsiaTheme="majorEastAsia" w:cstheme="majorBidi"/>
      <w:i/>
      <w:iCs/>
      <w:color w:val="2F5597" w:themeColor="accent1" w:themeShade="BF"/>
      <w:sz w:val="24"/>
      <w:lang w:val="en-AU"/>
    </w:rPr>
  </w:style>
  <w:style w:type="character" w:customStyle="1" w:styleId="27">
    <w:name w:val="Header Char"/>
    <w:basedOn w:val="6"/>
    <w:link w:val="10"/>
    <w:uiPriority w:val="99"/>
    <w:rPr>
      <w:rFonts w:ascii="Times New Roman" w:hAnsi="Times New Roman"/>
      <w:sz w:val="24"/>
      <w:lang w:val="en-NZ"/>
    </w:rPr>
  </w:style>
  <w:style w:type="character" w:customStyle="1" w:styleId="28">
    <w:name w:val="Footer Char"/>
    <w:basedOn w:val="6"/>
    <w:link w:val="9"/>
    <w:uiPriority w:val="99"/>
    <w:rPr>
      <w:rFonts w:ascii="Times New Roman" w:hAnsi="Times New Roman"/>
      <w:sz w:val="24"/>
      <w:lang w:val="en-NZ"/>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71B631AF-F9C1-43D3-817F-B89F5D385EC6}">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2881</Words>
  <Characters>16427</Characters>
  <Lines>136</Lines>
  <Paragraphs>38</Paragraphs>
  <TotalTime>6</TotalTime>
  <ScaleCrop>false</ScaleCrop>
  <LinksUpToDate>false</LinksUpToDate>
  <CharactersWithSpaces>19270</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2025-05-01T19:24:00Z</dcterms:created>
  <dc:creator>Writer</dc:creator>
  <cp:lastModifiedBy>KumarAjay</cp:lastModifiedBy>
  <dcterms:modified xsi:type="dcterms:W3CDTF">2025-05-05T22:56:10Z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AA5C4B794636CD7FEA2519688D1F40BD_43</vt:lpwstr>
  </property>
</Properties>
</file>