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8FF4C5" w14:textId="77777777" w:rsidR="005A1319" w:rsidRPr="00F0373C" w:rsidRDefault="005A1319" w:rsidP="005A1319">
      <w:pPr>
        <w:rPr>
          <w:rFonts w:ascii="Calibri" w:hAnsi="Calibri" w:cs="Calibri"/>
          <w:szCs w:val="24"/>
          <w:lang w:val="en-US"/>
        </w:rPr>
      </w:pPr>
      <w:r w:rsidRPr="00F0373C">
        <w:rPr>
          <w:rFonts w:ascii="Calibri" w:hAnsi="Calibri" w:cs="Calibri"/>
          <w:noProof/>
          <w:szCs w:val="24"/>
          <w:lang w:val="en-US"/>
        </w:rPr>
        <w:drawing>
          <wp:anchor distT="0" distB="0" distL="114300" distR="114300" simplePos="0" relativeHeight="251659264" behindDoc="1" locked="0" layoutInCell="1" allowOverlap="1" wp14:anchorId="64DAA56A" wp14:editId="3308B118">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2ADE1EA" w14:textId="77777777" w:rsidR="005A1319" w:rsidRPr="00F0373C" w:rsidRDefault="005A1319" w:rsidP="005A1319">
      <w:pPr>
        <w:rPr>
          <w:rFonts w:ascii="Calibri" w:hAnsi="Calibri" w:cs="Calibri"/>
          <w:szCs w:val="24"/>
          <w:lang w:val="en-US"/>
        </w:rPr>
      </w:pPr>
      <w:r w:rsidRPr="00F0373C">
        <w:rPr>
          <w:rFonts w:ascii="Calibri" w:hAnsi="Calibri" w:cs="Calibri"/>
          <w:szCs w:val="24"/>
          <w:lang w:val="en-US"/>
        </w:rPr>
        <w:t>Tourism Law and Legislation</w:t>
      </w:r>
    </w:p>
    <w:p w14:paraId="23C09844" w14:textId="77777777" w:rsidR="005A1319" w:rsidRPr="00F0373C" w:rsidRDefault="005A1319" w:rsidP="005A1319">
      <w:pPr>
        <w:rPr>
          <w:rFonts w:ascii="Calibri" w:hAnsi="Calibri" w:cs="Calibri"/>
          <w:szCs w:val="24"/>
          <w:lang w:val="en-US"/>
        </w:rPr>
      </w:pPr>
      <w:r w:rsidRPr="00F0373C">
        <w:rPr>
          <w:rFonts w:ascii="Calibri" w:hAnsi="Calibri" w:cs="Calibri"/>
          <w:szCs w:val="24"/>
          <w:lang w:val="en-US"/>
        </w:rPr>
        <w:t>Assignment 9</w:t>
      </w:r>
    </w:p>
    <w:p w14:paraId="2E9E1C68" w14:textId="77777777" w:rsidR="005A1319" w:rsidRPr="00F0373C" w:rsidRDefault="005A1319" w:rsidP="005A1319">
      <w:pPr>
        <w:rPr>
          <w:rFonts w:ascii="Calibri" w:hAnsi="Calibri" w:cs="Calibri"/>
          <w:szCs w:val="24"/>
          <w:lang w:val="en-US"/>
        </w:rPr>
      </w:pPr>
      <w:r w:rsidRPr="00F0373C">
        <w:rPr>
          <w:rFonts w:ascii="Calibri" w:hAnsi="Calibri" w:cs="Calibri"/>
          <w:szCs w:val="24"/>
          <w:lang w:val="en-US"/>
        </w:rPr>
        <w:t>25.02.2026</w:t>
      </w:r>
    </w:p>
    <w:p w14:paraId="02B48200" w14:textId="77777777" w:rsidR="005A1319" w:rsidRPr="00F0373C" w:rsidRDefault="005A1319" w:rsidP="005A1319">
      <w:pPr>
        <w:rPr>
          <w:rFonts w:ascii="Calibri" w:hAnsi="Calibri" w:cs="Calibri"/>
          <w:szCs w:val="24"/>
        </w:rPr>
      </w:pPr>
    </w:p>
    <w:p w14:paraId="61EBE0A9" w14:textId="77777777" w:rsidR="005A1319" w:rsidRPr="00F0373C" w:rsidRDefault="005A1319" w:rsidP="005A1319">
      <w:pPr>
        <w:rPr>
          <w:rFonts w:ascii="Calibri" w:hAnsi="Calibri" w:cs="Calibri"/>
          <w:szCs w:val="24"/>
        </w:rPr>
      </w:pPr>
    </w:p>
    <w:p w14:paraId="375D9FC2" w14:textId="77777777" w:rsidR="005A1319" w:rsidRPr="00F0373C" w:rsidRDefault="005A1319" w:rsidP="005A1319">
      <w:pPr>
        <w:rPr>
          <w:rFonts w:ascii="Calibri" w:hAnsi="Calibri" w:cs="Calibri"/>
          <w:szCs w:val="24"/>
        </w:rPr>
      </w:pPr>
    </w:p>
    <w:p w14:paraId="1DC6B8AF" w14:textId="77777777" w:rsidR="005A1319" w:rsidRPr="00F0373C" w:rsidRDefault="005A1319" w:rsidP="005A1319">
      <w:pPr>
        <w:rPr>
          <w:rFonts w:ascii="Calibri" w:hAnsi="Calibri" w:cs="Calibri"/>
          <w:szCs w:val="24"/>
        </w:rPr>
      </w:pPr>
    </w:p>
    <w:p w14:paraId="6BA7D7EE" w14:textId="77777777" w:rsidR="005A1319" w:rsidRPr="00F0373C" w:rsidRDefault="005A1319" w:rsidP="005A1319">
      <w:pPr>
        <w:spacing w:line="276" w:lineRule="auto"/>
        <w:rPr>
          <w:rFonts w:ascii="Calibri" w:hAnsi="Calibri" w:cs="Calibri"/>
          <w:szCs w:val="24"/>
          <w:lang w:val="en-US"/>
        </w:rPr>
      </w:pPr>
      <w:r w:rsidRPr="00F0373C">
        <w:rPr>
          <w:rFonts w:ascii="Calibri" w:hAnsi="Calibri" w:cs="Calibri"/>
          <w:szCs w:val="24"/>
          <w:lang w:val="en-US"/>
        </w:rPr>
        <w:t>In no more than 1000 words, each explain and 2-4 references:</w:t>
      </w:r>
    </w:p>
    <w:p w14:paraId="4741EFB1" w14:textId="77777777" w:rsidR="005A1319" w:rsidRPr="00F0373C" w:rsidRDefault="005A1319" w:rsidP="005A1319">
      <w:pPr>
        <w:spacing w:line="276" w:lineRule="auto"/>
        <w:rPr>
          <w:rFonts w:ascii="Calibri" w:hAnsi="Calibri" w:cs="Calibri"/>
          <w:szCs w:val="24"/>
          <w:lang w:val="en-US"/>
        </w:rPr>
      </w:pPr>
    </w:p>
    <w:p w14:paraId="47953E14" w14:textId="77777777" w:rsidR="005A1319" w:rsidRPr="00F0373C" w:rsidRDefault="005A1319" w:rsidP="005A1319">
      <w:pPr>
        <w:spacing w:line="276" w:lineRule="auto"/>
        <w:rPr>
          <w:rFonts w:ascii="Calibri" w:hAnsi="Calibri" w:cs="Calibri"/>
          <w:szCs w:val="24"/>
          <w:lang w:val="en-US"/>
        </w:rPr>
      </w:pPr>
      <w:r w:rsidRPr="00F0373C">
        <w:rPr>
          <w:rFonts w:ascii="Calibri" w:hAnsi="Calibri" w:cs="Calibri"/>
          <w:szCs w:val="24"/>
          <w:lang w:val="en-US"/>
        </w:rPr>
        <w:t>1- Define an accommodation contract. What are the essential legal elements required for its validity?</w:t>
      </w:r>
    </w:p>
    <w:p w14:paraId="437B6ADE" w14:textId="77777777" w:rsidR="005A1319" w:rsidRPr="00F0373C" w:rsidRDefault="005A1319" w:rsidP="005A1319">
      <w:pPr>
        <w:spacing w:line="276" w:lineRule="auto"/>
        <w:rPr>
          <w:rFonts w:ascii="Calibri" w:hAnsi="Calibri" w:cs="Calibri"/>
          <w:szCs w:val="24"/>
          <w:lang w:val="en-US"/>
        </w:rPr>
      </w:pPr>
    </w:p>
    <w:p w14:paraId="70BFAC2C" w14:textId="77777777" w:rsidR="005A1319" w:rsidRPr="00F0373C" w:rsidRDefault="005A1319" w:rsidP="005A1319">
      <w:pPr>
        <w:spacing w:line="276" w:lineRule="auto"/>
        <w:rPr>
          <w:rFonts w:ascii="Calibri" w:hAnsi="Calibri" w:cs="Calibri"/>
          <w:szCs w:val="24"/>
          <w:lang w:val="en-US"/>
        </w:rPr>
      </w:pPr>
      <w:r w:rsidRPr="00F0373C">
        <w:rPr>
          <w:rFonts w:ascii="Calibri" w:hAnsi="Calibri" w:cs="Calibri"/>
          <w:szCs w:val="24"/>
          <w:lang w:val="en-US"/>
        </w:rPr>
        <w:t>2- Identify and explain the main parties involved in:</w:t>
      </w:r>
    </w:p>
    <w:p w14:paraId="043D18E9" w14:textId="77777777" w:rsidR="005A1319" w:rsidRPr="00F0373C" w:rsidRDefault="005A1319" w:rsidP="005A1319">
      <w:pPr>
        <w:pStyle w:val="ListParagraph"/>
        <w:numPr>
          <w:ilvl w:val="0"/>
          <w:numId w:val="2"/>
        </w:numPr>
        <w:spacing w:after="0" w:line="276" w:lineRule="auto"/>
        <w:rPr>
          <w:rFonts w:ascii="Calibri" w:hAnsi="Calibri" w:cs="Calibri"/>
          <w:szCs w:val="24"/>
          <w:lang w:val="en-US"/>
        </w:rPr>
      </w:pPr>
      <w:r w:rsidRPr="00F0373C">
        <w:rPr>
          <w:rFonts w:ascii="Calibri" w:hAnsi="Calibri" w:cs="Calibri"/>
          <w:szCs w:val="24"/>
          <w:lang w:val="en-US"/>
        </w:rPr>
        <w:t>Direct hotel booking</w:t>
      </w:r>
    </w:p>
    <w:p w14:paraId="36F15F1D" w14:textId="77777777" w:rsidR="005A1319" w:rsidRPr="00F0373C" w:rsidRDefault="005A1319" w:rsidP="005A1319">
      <w:pPr>
        <w:pStyle w:val="ListParagraph"/>
        <w:numPr>
          <w:ilvl w:val="0"/>
          <w:numId w:val="2"/>
        </w:numPr>
        <w:spacing w:after="0" w:line="276" w:lineRule="auto"/>
        <w:rPr>
          <w:rFonts w:ascii="Calibri" w:hAnsi="Calibri" w:cs="Calibri"/>
          <w:szCs w:val="24"/>
        </w:rPr>
      </w:pPr>
      <w:r w:rsidRPr="00F0373C">
        <w:rPr>
          <w:rFonts w:ascii="Calibri" w:hAnsi="Calibri" w:cs="Calibri"/>
          <w:szCs w:val="24"/>
          <w:lang w:val="en-US"/>
        </w:rPr>
        <w:t>Booking through an online platform</w:t>
      </w:r>
    </w:p>
    <w:p w14:paraId="23D86A1B" w14:textId="77777777" w:rsidR="005A1319" w:rsidRPr="00F0373C" w:rsidRDefault="005A1319" w:rsidP="005A1319">
      <w:pPr>
        <w:pStyle w:val="ListParagraph"/>
        <w:spacing w:after="0" w:line="276" w:lineRule="auto"/>
        <w:rPr>
          <w:rFonts w:ascii="Calibri" w:hAnsi="Calibri" w:cs="Calibri"/>
          <w:szCs w:val="24"/>
          <w:lang w:val="en-US"/>
        </w:rPr>
      </w:pPr>
    </w:p>
    <w:p w14:paraId="6E69770B" w14:textId="77777777" w:rsidR="005A1319" w:rsidRPr="00F0373C" w:rsidRDefault="005A1319" w:rsidP="005A1319">
      <w:pPr>
        <w:pStyle w:val="ListParagraph"/>
        <w:spacing w:after="0" w:line="276" w:lineRule="auto"/>
        <w:rPr>
          <w:rFonts w:ascii="Calibri" w:hAnsi="Calibri" w:cs="Calibri"/>
          <w:szCs w:val="24"/>
          <w:lang w:val="en-US"/>
        </w:rPr>
      </w:pPr>
    </w:p>
    <w:p w14:paraId="6E3946CC" w14:textId="77777777" w:rsidR="005A1319" w:rsidRPr="00F0373C" w:rsidRDefault="005A1319" w:rsidP="005A1319">
      <w:pPr>
        <w:pStyle w:val="ListParagraph"/>
        <w:spacing w:after="0" w:line="276" w:lineRule="auto"/>
        <w:rPr>
          <w:rFonts w:ascii="Calibri" w:hAnsi="Calibri" w:cs="Calibri"/>
          <w:szCs w:val="24"/>
          <w:lang w:val="en-US"/>
        </w:rPr>
      </w:pPr>
    </w:p>
    <w:p w14:paraId="7E6178D7" w14:textId="77777777" w:rsidR="005A1319" w:rsidRPr="00F0373C" w:rsidRDefault="005A1319" w:rsidP="005A1319">
      <w:pPr>
        <w:pStyle w:val="ListParagraph"/>
        <w:spacing w:after="0" w:line="276" w:lineRule="auto"/>
        <w:rPr>
          <w:rFonts w:ascii="Calibri" w:hAnsi="Calibri" w:cs="Calibri"/>
          <w:szCs w:val="24"/>
          <w:lang w:val="en-US"/>
        </w:rPr>
      </w:pPr>
    </w:p>
    <w:p w14:paraId="66CA717B" w14:textId="77777777" w:rsidR="005A1319" w:rsidRPr="00F0373C" w:rsidRDefault="005A1319" w:rsidP="005A1319">
      <w:pPr>
        <w:pStyle w:val="ListParagraph"/>
        <w:spacing w:after="0" w:line="276" w:lineRule="auto"/>
        <w:rPr>
          <w:rFonts w:ascii="Calibri" w:hAnsi="Calibri" w:cs="Calibri"/>
          <w:szCs w:val="24"/>
          <w:lang w:val="en-US"/>
        </w:rPr>
      </w:pPr>
    </w:p>
    <w:p w14:paraId="140C41AA" w14:textId="77777777" w:rsidR="005A1319" w:rsidRPr="00F0373C" w:rsidRDefault="005A1319" w:rsidP="005A1319">
      <w:pPr>
        <w:pStyle w:val="ListParagraph"/>
        <w:spacing w:after="0" w:line="276" w:lineRule="auto"/>
        <w:rPr>
          <w:rFonts w:ascii="Calibri" w:hAnsi="Calibri" w:cs="Calibri"/>
          <w:szCs w:val="24"/>
          <w:lang w:val="en-US"/>
        </w:rPr>
      </w:pPr>
    </w:p>
    <w:p w14:paraId="6CC51FE1" w14:textId="77777777" w:rsidR="005A1319" w:rsidRPr="00F0373C" w:rsidRDefault="005A1319" w:rsidP="005A1319">
      <w:pPr>
        <w:pStyle w:val="ListParagraph"/>
        <w:spacing w:after="0" w:line="276" w:lineRule="auto"/>
        <w:rPr>
          <w:rFonts w:ascii="Calibri" w:hAnsi="Calibri" w:cs="Calibri"/>
          <w:szCs w:val="24"/>
          <w:lang w:val="en-US"/>
        </w:rPr>
      </w:pPr>
    </w:p>
    <w:p w14:paraId="7669AA6C" w14:textId="77777777" w:rsidR="005A1319" w:rsidRPr="00F0373C" w:rsidRDefault="005A1319" w:rsidP="005A1319">
      <w:pPr>
        <w:pStyle w:val="ListParagraph"/>
        <w:spacing w:after="0" w:line="276" w:lineRule="auto"/>
        <w:rPr>
          <w:rFonts w:ascii="Calibri" w:hAnsi="Calibri" w:cs="Calibri"/>
          <w:szCs w:val="24"/>
          <w:lang w:val="en-US"/>
        </w:rPr>
      </w:pPr>
    </w:p>
    <w:p w14:paraId="175033B9" w14:textId="77777777" w:rsidR="005A1319" w:rsidRPr="00F0373C" w:rsidRDefault="005A1319" w:rsidP="005A1319">
      <w:pPr>
        <w:pStyle w:val="ListParagraph"/>
        <w:spacing w:after="0" w:line="276" w:lineRule="auto"/>
        <w:rPr>
          <w:rFonts w:ascii="Calibri" w:hAnsi="Calibri" w:cs="Calibri"/>
          <w:szCs w:val="24"/>
          <w:lang w:val="en-US"/>
        </w:rPr>
      </w:pPr>
    </w:p>
    <w:p w14:paraId="0888FD3E" w14:textId="77777777" w:rsidR="005A1319" w:rsidRPr="00F0373C" w:rsidRDefault="005A1319" w:rsidP="005A1319">
      <w:pPr>
        <w:pStyle w:val="ListParagraph"/>
        <w:spacing w:after="0" w:line="276" w:lineRule="auto"/>
        <w:rPr>
          <w:rFonts w:ascii="Calibri" w:hAnsi="Calibri" w:cs="Calibri"/>
          <w:szCs w:val="24"/>
          <w:lang w:val="en-US"/>
        </w:rPr>
      </w:pPr>
    </w:p>
    <w:p w14:paraId="4FC7F4A7" w14:textId="77777777" w:rsidR="005A1319" w:rsidRPr="00F0373C" w:rsidRDefault="005A1319" w:rsidP="005A1319">
      <w:pPr>
        <w:pStyle w:val="ListParagraph"/>
        <w:spacing w:after="0" w:line="276" w:lineRule="auto"/>
        <w:rPr>
          <w:rFonts w:ascii="Calibri" w:hAnsi="Calibri" w:cs="Calibri"/>
          <w:szCs w:val="24"/>
          <w:lang w:val="en-US"/>
        </w:rPr>
      </w:pPr>
    </w:p>
    <w:p w14:paraId="728B01A3" w14:textId="77777777" w:rsidR="005A1319" w:rsidRPr="00F0373C" w:rsidRDefault="005A1319" w:rsidP="005A1319">
      <w:pPr>
        <w:pStyle w:val="ListParagraph"/>
        <w:spacing w:after="0" w:line="276" w:lineRule="auto"/>
        <w:rPr>
          <w:rFonts w:ascii="Calibri" w:hAnsi="Calibri" w:cs="Calibri"/>
          <w:szCs w:val="24"/>
          <w:lang w:val="en-US"/>
        </w:rPr>
      </w:pPr>
    </w:p>
    <w:p w14:paraId="504364F8" w14:textId="77777777" w:rsidR="005A1319" w:rsidRPr="00F0373C" w:rsidRDefault="005A1319" w:rsidP="005A1319">
      <w:pPr>
        <w:pStyle w:val="ListParagraph"/>
        <w:spacing w:after="0" w:line="276" w:lineRule="auto"/>
        <w:rPr>
          <w:rFonts w:ascii="Calibri" w:hAnsi="Calibri" w:cs="Calibri"/>
          <w:szCs w:val="24"/>
          <w:lang w:val="en-US"/>
        </w:rPr>
      </w:pPr>
    </w:p>
    <w:p w14:paraId="68282B2B" w14:textId="77777777" w:rsidR="005A1319" w:rsidRPr="00F0373C" w:rsidRDefault="005A1319" w:rsidP="005A1319">
      <w:pPr>
        <w:pStyle w:val="ListParagraph"/>
        <w:spacing w:after="0" w:line="276" w:lineRule="auto"/>
        <w:rPr>
          <w:rFonts w:ascii="Calibri" w:hAnsi="Calibri" w:cs="Calibri"/>
          <w:szCs w:val="24"/>
          <w:lang w:val="en-US"/>
        </w:rPr>
      </w:pPr>
    </w:p>
    <w:p w14:paraId="57F50434" w14:textId="77777777" w:rsidR="005A1319" w:rsidRPr="00F0373C" w:rsidRDefault="005A1319" w:rsidP="005A1319">
      <w:pPr>
        <w:pStyle w:val="ListParagraph"/>
        <w:spacing w:after="0" w:line="276" w:lineRule="auto"/>
        <w:rPr>
          <w:rFonts w:ascii="Calibri" w:hAnsi="Calibri" w:cs="Calibri"/>
          <w:szCs w:val="24"/>
        </w:rPr>
      </w:pPr>
    </w:p>
    <w:p w14:paraId="769A9C47" w14:textId="77777777" w:rsidR="004F3A99" w:rsidRPr="00F0373C" w:rsidRDefault="004F3A99" w:rsidP="005A1319">
      <w:pPr>
        <w:pStyle w:val="ListParagraph"/>
        <w:spacing w:after="0" w:line="276" w:lineRule="auto"/>
        <w:rPr>
          <w:rFonts w:ascii="Calibri" w:hAnsi="Calibri" w:cs="Calibri"/>
          <w:szCs w:val="24"/>
        </w:rPr>
      </w:pPr>
    </w:p>
    <w:p w14:paraId="52CB2F46" w14:textId="77777777" w:rsidR="005A1319" w:rsidRPr="00F0373C" w:rsidRDefault="005A1319" w:rsidP="009F311C">
      <w:pPr>
        <w:rPr>
          <w:rFonts w:ascii="Calibri" w:hAnsi="Calibri" w:cs="Calibri"/>
          <w:szCs w:val="24"/>
        </w:rPr>
      </w:pPr>
    </w:p>
    <w:p w14:paraId="7C1B9D3A" w14:textId="77777777" w:rsidR="005A1319" w:rsidRPr="00F0373C" w:rsidRDefault="005A1319" w:rsidP="009F311C">
      <w:pPr>
        <w:rPr>
          <w:rFonts w:ascii="Calibri" w:hAnsi="Calibri" w:cs="Calibri"/>
          <w:szCs w:val="24"/>
        </w:rPr>
      </w:pPr>
    </w:p>
    <w:p w14:paraId="7F93CE19" w14:textId="77777777" w:rsidR="00950B6A" w:rsidRPr="00950B6A" w:rsidRDefault="00950B6A" w:rsidP="00950B6A">
      <w:pPr>
        <w:rPr>
          <w:rFonts w:ascii="Calibri" w:hAnsi="Calibri" w:cs="Calibri"/>
          <w:szCs w:val="24"/>
        </w:rPr>
      </w:pPr>
      <w:r w:rsidRPr="00950B6A">
        <w:rPr>
          <w:rFonts w:ascii="Calibri" w:hAnsi="Calibri" w:cs="Calibri"/>
          <w:szCs w:val="24"/>
        </w:rPr>
        <w:t>Accommodation Contracts and the Legal Relationships in Hotel Bookings</w:t>
      </w:r>
    </w:p>
    <w:p w14:paraId="64569C1A" w14:textId="77777777" w:rsidR="00950B6A" w:rsidRPr="00950B6A" w:rsidRDefault="00950B6A" w:rsidP="00950B6A">
      <w:pPr>
        <w:rPr>
          <w:rFonts w:ascii="Calibri" w:hAnsi="Calibri" w:cs="Calibri"/>
          <w:szCs w:val="24"/>
        </w:rPr>
      </w:pPr>
      <w:r w:rsidRPr="00950B6A">
        <w:rPr>
          <w:rFonts w:ascii="Calibri" w:hAnsi="Calibri" w:cs="Calibri"/>
          <w:szCs w:val="24"/>
        </w:rPr>
        <w:t>1. Definition of an Accommodation Contract and Its Essential Legal Elements</w:t>
      </w:r>
    </w:p>
    <w:p w14:paraId="69AF7792" w14:textId="77777777" w:rsidR="00950B6A" w:rsidRPr="00950B6A" w:rsidRDefault="00950B6A" w:rsidP="00950B6A">
      <w:pPr>
        <w:rPr>
          <w:rFonts w:ascii="Calibri" w:hAnsi="Calibri" w:cs="Calibri"/>
          <w:szCs w:val="24"/>
        </w:rPr>
      </w:pPr>
      <w:r w:rsidRPr="00950B6A">
        <w:rPr>
          <w:rFonts w:ascii="Calibri" w:hAnsi="Calibri" w:cs="Calibri"/>
          <w:szCs w:val="24"/>
        </w:rPr>
        <w:t>An accommodation contract is a legally binding agreement between a hospitality provider and a guest under which the provider agrees to supply temporary lodging and related services in exchange for payment. This agreement regulates the rights and obligations of both parties, including the duration of stay, price, cancellation policy, and standards of service. Although accommodation contracts are commonly formed through online systems and standardized terms, they remain governed by fundamental principles of contract law.</w:t>
      </w:r>
    </w:p>
    <w:p w14:paraId="0B8B0BFC" w14:textId="77777777" w:rsidR="00950B6A" w:rsidRPr="00950B6A" w:rsidRDefault="00950B6A" w:rsidP="00950B6A">
      <w:pPr>
        <w:rPr>
          <w:rFonts w:ascii="Calibri" w:hAnsi="Calibri" w:cs="Calibri"/>
          <w:szCs w:val="24"/>
        </w:rPr>
      </w:pPr>
      <w:r w:rsidRPr="00950B6A">
        <w:rPr>
          <w:rFonts w:ascii="Calibri" w:hAnsi="Calibri" w:cs="Calibri"/>
          <w:szCs w:val="24"/>
        </w:rPr>
        <w:t>From a legal perspective, a hotel accommodation agreement is typically classified as a contract for services rather than a lease of property. A lease grants exclusive possession of property for a fixed term, whereas a hotel guest receives only a temporary license to occupy a room under the control of the hotel. The hotel retains rights of access for housekeeping, maintenance, and safety purposes. This distinction is significant because it affects the remedies available in the event of breach and confirms that landlord–tenant law generally does not apply to hotel guests (Wilkinson, 2018).</w:t>
      </w:r>
    </w:p>
    <w:p w14:paraId="70578442" w14:textId="77777777" w:rsidR="00950B6A" w:rsidRPr="00950B6A" w:rsidRDefault="00950B6A" w:rsidP="00950B6A">
      <w:pPr>
        <w:rPr>
          <w:rFonts w:ascii="Calibri" w:hAnsi="Calibri" w:cs="Calibri"/>
          <w:szCs w:val="24"/>
        </w:rPr>
      </w:pPr>
      <w:r w:rsidRPr="00950B6A">
        <w:rPr>
          <w:rFonts w:ascii="Calibri" w:hAnsi="Calibri" w:cs="Calibri"/>
          <w:szCs w:val="24"/>
        </w:rPr>
        <w:t>For an accommodation contract to be valid, several essential elements must be present.</w:t>
      </w:r>
    </w:p>
    <w:p w14:paraId="6879BD47" w14:textId="77777777" w:rsidR="00950B6A" w:rsidRPr="00950B6A" w:rsidRDefault="00950B6A" w:rsidP="00950B6A">
      <w:pPr>
        <w:rPr>
          <w:rFonts w:ascii="Calibri" w:hAnsi="Calibri" w:cs="Calibri"/>
          <w:szCs w:val="24"/>
        </w:rPr>
      </w:pPr>
      <w:r w:rsidRPr="00950B6A">
        <w:rPr>
          <w:rFonts w:ascii="Calibri" w:hAnsi="Calibri" w:cs="Calibri"/>
          <w:szCs w:val="24"/>
        </w:rPr>
        <w:t>Offer</w:t>
      </w:r>
    </w:p>
    <w:p w14:paraId="215F3CD0" w14:textId="77777777" w:rsidR="00950B6A" w:rsidRPr="00950B6A" w:rsidRDefault="00950B6A" w:rsidP="00950B6A">
      <w:pPr>
        <w:rPr>
          <w:rFonts w:ascii="Calibri" w:hAnsi="Calibri" w:cs="Calibri"/>
          <w:szCs w:val="24"/>
        </w:rPr>
      </w:pPr>
      <w:r w:rsidRPr="00950B6A">
        <w:rPr>
          <w:rFonts w:ascii="Calibri" w:hAnsi="Calibri" w:cs="Calibri"/>
          <w:szCs w:val="24"/>
        </w:rPr>
        <w:t>An offer is a definite promise to be bound on specified terms once accepted. In the hospitality industry, advertisements listing room rates are generally considered invitations to treat rather than legal offers. The legal offer is usually made when the guest submits a reservation request specifying dates, room category, and payment details. Alternatively, depending on the booking process, the hotel’s confirmation may constitute the formal offer. The key requirement is clarity and certainty of terms (Cartwright, 2020).</w:t>
      </w:r>
    </w:p>
    <w:p w14:paraId="5DACC03E" w14:textId="77777777" w:rsidR="00950B6A" w:rsidRPr="00950B6A" w:rsidRDefault="00950B6A" w:rsidP="00950B6A">
      <w:pPr>
        <w:rPr>
          <w:rFonts w:ascii="Calibri" w:hAnsi="Calibri" w:cs="Calibri"/>
          <w:szCs w:val="24"/>
        </w:rPr>
      </w:pPr>
      <w:r w:rsidRPr="00950B6A">
        <w:rPr>
          <w:rFonts w:ascii="Calibri" w:hAnsi="Calibri" w:cs="Calibri"/>
          <w:szCs w:val="24"/>
        </w:rPr>
        <w:t>Acceptance</w:t>
      </w:r>
    </w:p>
    <w:p w14:paraId="4757EBB5" w14:textId="77777777" w:rsidR="00950B6A" w:rsidRPr="00950B6A" w:rsidRDefault="00950B6A" w:rsidP="00950B6A">
      <w:pPr>
        <w:rPr>
          <w:rFonts w:ascii="Calibri" w:hAnsi="Calibri" w:cs="Calibri"/>
          <w:szCs w:val="24"/>
        </w:rPr>
      </w:pPr>
      <w:r w:rsidRPr="00950B6A">
        <w:rPr>
          <w:rFonts w:ascii="Calibri" w:hAnsi="Calibri" w:cs="Calibri"/>
          <w:szCs w:val="24"/>
        </w:rPr>
        <w:t>Acceptance occurs when the offeree unconditionally agrees to the terms of the offer. In accommodation contracts, acceptance is typically completed when the hotel confirms the reservation by email or booking reference number, or when the guest successfully processes payment under the stated conditions. Acceptance must mirror the offer; any change in terms may amount to a counteroffer. Electronic confirmations are legally recognized as valid forms of acceptance in modern commercial transactions (Cartwright, 2020).</w:t>
      </w:r>
    </w:p>
    <w:p w14:paraId="12FA48C9" w14:textId="77777777" w:rsidR="00950B6A" w:rsidRPr="00950B6A" w:rsidRDefault="00950B6A" w:rsidP="00950B6A">
      <w:pPr>
        <w:rPr>
          <w:rFonts w:ascii="Calibri" w:hAnsi="Calibri" w:cs="Calibri"/>
          <w:szCs w:val="24"/>
        </w:rPr>
      </w:pPr>
      <w:r w:rsidRPr="00950B6A">
        <w:rPr>
          <w:rFonts w:ascii="Calibri" w:hAnsi="Calibri" w:cs="Calibri"/>
          <w:szCs w:val="24"/>
        </w:rPr>
        <w:t>Consideration</w:t>
      </w:r>
    </w:p>
    <w:p w14:paraId="26C70C2E" w14:textId="77777777" w:rsidR="00950B6A" w:rsidRPr="00950B6A" w:rsidRDefault="00950B6A" w:rsidP="00950B6A">
      <w:pPr>
        <w:rPr>
          <w:rFonts w:ascii="Calibri" w:hAnsi="Calibri" w:cs="Calibri"/>
          <w:szCs w:val="24"/>
        </w:rPr>
      </w:pPr>
      <w:r w:rsidRPr="00950B6A">
        <w:rPr>
          <w:rFonts w:ascii="Calibri" w:hAnsi="Calibri" w:cs="Calibri"/>
          <w:szCs w:val="24"/>
        </w:rPr>
        <w:lastRenderedPageBreak/>
        <w:t>Consideration refers to something of value exchanged between the parties. In hotel agreements, the guest provides payment or a legally binding promise to pay, and the hotel provides lodging and associated services such as utilities, housekeeping, and access to facilities. The exchange of consideration distinguishes enforceable contracts from voluntary or gratuitous arrangements. Without consideration, the agreement would generally lack legal enforceability (McKendrick, 2023).</w:t>
      </w:r>
    </w:p>
    <w:p w14:paraId="3D2B0D4A" w14:textId="77777777" w:rsidR="00950B6A" w:rsidRPr="00950B6A" w:rsidRDefault="00950B6A" w:rsidP="00950B6A">
      <w:pPr>
        <w:rPr>
          <w:rFonts w:ascii="Calibri" w:hAnsi="Calibri" w:cs="Calibri"/>
          <w:szCs w:val="24"/>
        </w:rPr>
      </w:pPr>
      <w:r w:rsidRPr="00950B6A">
        <w:rPr>
          <w:rFonts w:ascii="Calibri" w:hAnsi="Calibri" w:cs="Calibri"/>
          <w:szCs w:val="24"/>
        </w:rPr>
        <w:t>Intention to Create Legal Relations</w:t>
      </w:r>
    </w:p>
    <w:p w14:paraId="37A99BC9" w14:textId="77777777" w:rsidR="00950B6A" w:rsidRPr="00950B6A" w:rsidRDefault="00950B6A" w:rsidP="00950B6A">
      <w:pPr>
        <w:rPr>
          <w:rFonts w:ascii="Calibri" w:hAnsi="Calibri" w:cs="Calibri"/>
          <w:szCs w:val="24"/>
        </w:rPr>
      </w:pPr>
      <w:r w:rsidRPr="00950B6A">
        <w:rPr>
          <w:rFonts w:ascii="Calibri" w:hAnsi="Calibri" w:cs="Calibri"/>
          <w:szCs w:val="24"/>
        </w:rPr>
        <w:t>A valid contract requires that both parties intend to create legal obligations. In commercial agreements, including hotel bookings, the law presumes such intention. When a hotel confirms a reservation and a guest agrees to pay for accommodation, both parties clearly expect the arrangement to be legally binding (Wilkinson, 2018).</w:t>
      </w:r>
    </w:p>
    <w:p w14:paraId="00CA47F0" w14:textId="77777777" w:rsidR="00950B6A" w:rsidRPr="00950B6A" w:rsidRDefault="00950B6A" w:rsidP="00950B6A">
      <w:pPr>
        <w:rPr>
          <w:rFonts w:ascii="Calibri" w:hAnsi="Calibri" w:cs="Calibri"/>
          <w:szCs w:val="24"/>
        </w:rPr>
      </w:pPr>
      <w:r w:rsidRPr="00950B6A">
        <w:rPr>
          <w:rFonts w:ascii="Calibri" w:hAnsi="Calibri" w:cs="Calibri"/>
          <w:szCs w:val="24"/>
        </w:rPr>
        <w:t>Capacity</w:t>
      </w:r>
    </w:p>
    <w:p w14:paraId="6B367476" w14:textId="77777777" w:rsidR="00950B6A" w:rsidRPr="00950B6A" w:rsidRDefault="00950B6A" w:rsidP="00950B6A">
      <w:pPr>
        <w:rPr>
          <w:rFonts w:ascii="Calibri" w:hAnsi="Calibri" w:cs="Calibri"/>
          <w:szCs w:val="24"/>
        </w:rPr>
      </w:pPr>
      <w:r w:rsidRPr="00950B6A">
        <w:rPr>
          <w:rFonts w:ascii="Calibri" w:hAnsi="Calibri" w:cs="Calibri"/>
          <w:szCs w:val="24"/>
        </w:rPr>
        <w:t xml:space="preserve">The parties must have legal capacity to </w:t>
      </w:r>
      <w:proofErr w:type="gramStart"/>
      <w:r w:rsidRPr="00950B6A">
        <w:rPr>
          <w:rFonts w:ascii="Calibri" w:hAnsi="Calibri" w:cs="Calibri"/>
          <w:szCs w:val="24"/>
        </w:rPr>
        <w:t>enter into</w:t>
      </w:r>
      <w:proofErr w:type="gramEnd"/>
      <w:r w:rsidRPr="00950B6A">
        <w:rPr>
          <w:rFonts w:ascii="Calibri" w:hAnsi="Calibri" w:cs="Calibri"/>
          <w:szCs w:val="24"/>
        </w:rPr>
        <w:t xml:space="preserve"> a contract. This typically means they must be of legal age and possess sound mental capacity. Contracts </w:t>
      </w:r>
      <w:proofErr w:type="gramStart"/>
      <w:r w:rsidRPr="00950B6A">
        <w:rPr>
          <w:rFonts w:ascii="Calibri" w:hAnsi="Calibri" w:cs="Calibri"/>
          <w:szCs w:val="24"/>
        </w:rPr>
        <w:t>entered into</w:t>
      </w:r>
      <w:proofErr w:type="gramEnd"/>
      <w:r w:rsidRPr="00950B6A">
        <w:rPr>
          <w:rFonts w:ascii="Calibri" w:hAnsi="Calibri" w:cs="Calibri"/>
          <w:szCs w:val="24"/>
        </w:rPr>
        <w:t xml:space="preserve"> by minors may be voidable unless they involve necessities. In some jurisdictions, temporary lodging may qualify as a necessity depending on the circumstances. Hotels must also comply with equality and non-discrimination laws when accepting or refusing bookings.</w:t>
      </w:r>
    </w:p>
    <w:p w14:paraId="231ECE81" w14:textId="77777777" w:rsidR="00950B6A" w:rsidRPr="00950B6A" w:rsidRDefault="00950B6A" w:rsidP="00950B6A">
      <w:pPr>
        <w:rPr>
          <w:rFonts w:ascii="Calibri" w:hAnsi="Calibri" w:cs="Calibri"/>
          <w:szCs w:val="24"/>
        </w:rPr>
      </w:pPr>
      <w:r w:rsidRPr="00950B6A">
        <w:rPr>
          <w:rFonts w:ascii="Calibri" w:hAnsi="Calibri" w:cs="Calibri"/>
          <w:szCs w:val="24"/>
        </w:rPr>
        <w:t>Certainty and Legality</w:t>
      </w:r>
    </w:p>
    <w:p w14:paraId="6FE4DEA3" w14:textId="77777777" w:rsidR="00950B6A" w:rsidRPr="00950B6A" w:rsidRDefault="00950B6A" w:rsidP="00950B6A">
      <w:pPr>
        <w:rPr>
          <w:rFonts w:ascii="Calibri" w:hAnsi="Calibri" w:cs="Calibri"/>
          <w:szCs w:val="24"/>
        </w:rPr>
      </w:pPr>
      <w:r w:rsidRPr="00950B6A">
        <w:rPr>
          <w:rFonts w:ascii="Calibri" w:hAnsi="Calibri" w:cs="Calibri"/>
          <w:szCs w:val="24"/>
        </w:rPr>
        <w:t>The contractual terms must be sufficiently certain to be enforceable. Essential elements include the dates of stay, price, type of room, cancellation conditions, and payment method. Additionally, the agreement must be lawful in purpose. Contracts formed for illegal purposes are void. Consumer protection legislation further requires transparency in pricing and fairness in standard form contracts, particularly where consumers have limited bargaining power (</w:t>
      </w:r>
      <w:proofErr w:type="spellStart"/>
      <w:r w:rsidRPr="00950B6A">
        <w:rPr>
          <w:rFonts w:ascii="Calibri" w:hAnsi="Calibri" w:cs="Calibri"/>
          <w:szCs w:val="24"/>
        </w:rPr>
        <w:t>Durovic</w:t>
      </w:r>
      <w:proofErr w:type="spellEnd"/>
      <w:r w:rsidRPr="00950B6A">
        <w:rPr>
          <w:rFonts w:ascii="Calibri" w:hAnsi="Calibri" w:cs="Calibri"/>
          <w:szCs w:val="24"/>
        </w:rPr>
        <w:t xml:space="preserve"> &amp; </w:t>
      </w:r>
      <w:proofErr w:type="spellStart"/>
      <w:r w:rsidRPr="00950B6A">
        <w:rPr>
          <w:rFonts w:ascii="Calibri" w:hAnsi="Calibri" w:cs="Calibri"/>
          <w:szCs w:val="24"/>
        </w:rPr>
        <w:t>Micklitz</w:t>
      </w:r>
      <w:proofErr w:type="spellEnd"/>
      <w:r w:rsidRPr="00950B6A">
        <w:rPr>
          <w:rFonts w:ascii="Calibri" w:hAnsi="Calibri" w:cs="Calibri"/>
          <w:szCs w:val="24"/>
        </w:rPr>
        <w:t>, 2017).</w:t>
      </w:r>
    </w:p>
    <w:p w14:paraId="3A3E00C3" w14:textId="18A9C54E" w:rsidR="00950B6A" w:rsidRPr="00950B6A" w:rsidRDefault="00950B6A" w:rsidP="00950B6A">
      <w:pPr>
        <w:rPr>
          <w:rFonts w:ascii="Calibri" w:hAnsi="Calibri" w:cs="Calibri"/>
          <w:szCs w:val="24"/>
        </w:rPr>
      </w:pPr>
    </w:p>
    <w:p w14:paraId="77B001E4" w14:textId="77777777" w:rsidR="00950B6A" w:rsidRPr="00950B6A" w:rsidRDefault="00950B6A" w:rsidP="00950B6A">
      <w:pPr>
        <w:rPr>
          <w:rFonts w:ascii="Calibri" w:hAnsi="Calibri" w:cs="Calibri"/>
          <w:szCs w:val="24"/>
        </w:rPr>
      </w:pPr>
      <w:r w:rsidRPr="00950B6A">
        <w:rPr>
          <w:rFonts w:ascii="Calibri" w:hAnsi="Calibri" w:cs="Calibri"/>
          <w:szCs w:val="24"/>
        </w:rPr>
        <w:t>2. Main Parties Involved in Hotel Bookings</w:t>
      </w:r>
    </w:p>
    <w:p w14:paraId="36458BDA" w14:textId="77777777" w:rsidR="00950B6A" w:rsidRPr="00950B6A" w:rsidRDefault="00950B6A" w:rsidP="00950B6A">
      <w:pPr>
        <w:rPr>
          <w:rFonts w:ascii="Calibri" w:hAnsi="Calibri" w:cs="Calibri"/>
          <w:szCs w:val="24"/>
        </w:rPr>
      </w:pPr>
      <w:r w:rsidRPr="00950B6A">
        <w:rPr>
          <w:rFonts w:ascii="Calibri" w:hAnsi="Calibri" w:cs="Calibri"/>
          <w:szCs w:val="24"/>
        </w:rPr>
        <w:t>The legal relationships involved in hotel bookings depend on whether the reservation is made directly with the hotel or through an online platform.</w:t>
      </w:r>
    </w:p>
    <w:p w14:paraId="25130622" w14:textId="0FB7C914" w:rsidR="00950B6A" w:rsidRPr="00950B6A" w:rsidRDefault="00950B6A" w:rsidP="00950B6A">
      <w:pPr>
        <w:rPr>
          <w:rFonts w:ascii="Calibri" w:hAnsi="Calibri" w:cs="Calibri"/>
          <w:szCs w:val="24"/>
        </w:rPr>
      </w:pPr>
    </w:p>
    <w:p w14:paraId="65DF1B51" w14:textId="77777777" w:rsidR="00950B6A" w:rsidRPr="00950B6A" w:rsidRDefault="00950B6A" w:rsidP="00950B6A">
      <w:pPr>
        <w:rPr>
          <w:rFonts w:ascii="Calibri" w:hAnsi="Calibri" w:cs="Calibri"/>
          <w:szCs w:val="24"/>
        </w:rPr>
      </w:pPr>
      <w:r w:rsidRPr="00950B6A">
        <w:rPr>
          <w:rFonts w:ascii="Calibri" w:hAnsi="Calibri" w:cs="Calibri"/>
          <w:szCs w:val="24"/>
        </w:rPr>
        <w:t>A. Direct Hotel Booking</w:t>
      </w:r>
    </w:p>
    <w:p w14:paraId="3B27F1E1" w14:textId="77777777" w:rsidR="00950B6A" w:rsidRPr="00950B6A" w:rsidRDefault="00950B6A" w:rsidP="00950B6A">
      <w:pPr>
        <w:rPr>
          <w:rFonts w:ascii="Calibri" w:hAnsi="Calibri" w:cs="Calibri"/>
          <w:szCs w:val="24"/>
        </w:rPr>
      </w:pPr>
      <w:r w:rsidRPr="00950B6A">
        <w:rPr>
          <w:rFonts w:ascii="Calibri" w:hAnsi="Calibri" w:cs="Calibri"/>
          <w:szCs w:val="24"/>
        </w:rPr>
        <w:t>In a direct booking, two principal parties are involved:</w:t>
      </w:r>
    </w:p>
    <w:p w14:paraId="06771D75" w14:textId="77777777" w:rsidR="00950B6A" w:rsidRPr="00950B6A" w:rsidRDefault="00950B6A" w:rsidP="00950B6A">
      <w:pPr>
        <w:rPr>
          <w:rFonts w:ascii="Calibri" w:hAnsi="Calibri" w:cs="Calibri"/>
          <w:szCs w:val="24"/>
        </w:rPr>
      </w:pPr>
      <w:r w:rsidRPr="00950B6A">
        <w:rPr>
          <w:rFonts w:ascii="Calibri" w:hAnsi="Calibri" w:cs="Calibri"/>
          <w:szCs w:val="24"/>
        </w:rPr>
        <w:t>(1) The Hotel (Accommodation Provider)</w:t>
      </w:r>
    </w:p>
    <w:p w14:paraId="22B1C761" w14:textId="77777777" w:rsidR="00950B6A" w:rsidRPr="00950B6A" w:rsidRDefault="00950B6A" w:rsidP="00950B6A">
      <w:pPr>
        <w:rPr>
          <w:rFonts w:ascii="Calibri" w:hAnsi="Calibri" w:cs="Calibri"/>
          <w:szCs w:val="24"/>
        </w:rPr>
      </w:pPr>
      <w:r w:rsidRPr="00950B6A">
        <w:rPr>
          <w:rFonts w:ascii="Calibri" w:hAnsi="Calibri" w:cs="Calibri"/>
          <w:szCs w:val="24"/>
        </w:rPr>
        <w:lastRenderedPageBreak/>
        <w:t xml:space="preserve">The hotel acts as the contractual promisor. It agrees to provide accommodation and related services in exchange for payment. The hotel must deliver the room as described and exercise reasonable care in providing services. If the hotel fails to </w:t>
      </w:r>
      <w:proofErr w:type="spellStart"/>
      <w:r w:rsidRPr="00950B6A">
        <w:rPr>
          <w:rFonts w:ascii="Calibri" w:hAnsi="Calibri" w:cs="Calibri"/>
          <w:szCs w:val="24"/>
        </w:rPr>
        <w:t>honor</w:t>
      </w:r>
      <w:proofErr w:type="spellEnd"/>
      <w:r w:rsidRPr="00950B6A">
        <w:rPr>
          <w:rFonts w:ascii="Calibri" w:hAnsi="Calibri" w:cs="Calibri"/>
          <w:szCs w:val="24"/>
        </w:rPr>
        <w:t xml:space="preserve"> a confirmed reservation—for example, due to overbooking—it may be liable for breach of contract (Cartwright, 2020).</w:t>
      </w:r>
    </w:p>
    <w:p w14:paraId="193A9EB8" w14:textId="77777777" w:rsidR="00950B6A" w:rsidRPr="00950B6A" w:rsidRDefault="00950B6A" w:rsidP="00950B6A">
      <w:pPr>
        <w:rPr>
          <w:rFonts w:ascii="Calibri" w:hAnsi="Calibri" w:cs="Calibri"/>
          <w:szCs w:val="24"/>
        </w:rPr>
      </w:pPr>
      <w:r w:rsidRPr="00950B6A">
        <w:rPr>
          <w:rFonts w:ascii="Calibri" w:hAnsi="Calibri" w:cs="Calibri"/>
          <w:szCs w:val="24"/>
        </w:rPr>
        <w:t>Hotels also establish contractual terms such as cancellation policies, check-in times, and liability clauses. Provided these terms are communicated clearly before the contract is concluded, they form part of the binding agreement.</w:t>
      </w:r>
    </w:p>
    <w:p w14:paraId="78E7C172" w14:textId="77777777" w:rsidR="00950B6A" w:rsidRPr="00950B6A" w:rsidRDefault="00950B6A" w:rsidP="00950B6A">
      <w:pPr>
        <w:rPr>
          <w:rFonts w:ascii="Calibri" w:hAnsi="Calibri" w:cs="Calibri"/>
          <w:szCs w:val="24"/>
        </w:rPr>
      </w:pPr>
      <w:r w:rsidRPr="00950B6A">
        <w:rPr>
          <w:rFonts w:ascii="Calibri" w:hAnsi="Calibri" w:cs="Calibri"/>
          <w:szCs w:val="24"/>
        </w:rPr>
        <w:t>(2) The Guest (Customer)</w:t>
      </w:r>
    </w:p>
    <w:p w14:paraId="6DF532FD" w14:textId="77777777" w:rsidR="00950B6A" w:rsidRPr="00950B6A" w:rsidRDefault="00950B6A" w:rsidP="00950B6A">
      <w:pPr>
        <w:rPr>
          <w:rFonts w:ascii="Calibri" w:hAnsi="Calibri" w:cs="Calibri"/>
          <w:szCs w:val="24"/>
        </w:rPr>
      </w:pPr>
      <w:r w:rsidRPr="00950B6A">
        <w:rPr>
          <w:rFonts w:ascii="Calibri" w:hAnsi="Calibri" w:cs="Calibri"/>
          <w:szCs w:val="24"/>
        </w:rPr>
        <w:t xml:space="preserve">The guest agrees to pay the agreed price and comply with hotel rules and policies. The guest’s obligations include payment, lawful </w:t>
      </w:r>
      <w:proofErr w:type="spellStart"/>
      <w:r w:rsidRPr="00950B6A">
        <w:rPr>
          <w:rFonts w:ascii="Calibri" w:hAnsi="Calibri" w:cs="Calibri"/>
          <w:szCs w:val="24"/>
        </w:rPr>
        <w:t>behavior</w:t>
      </w:r>
      <w:proofErr w:type="spellEnd"/>
      <w:r w:rsidRPr="00950B6A">
        <w:rPr>
          <w:rFonts w:ascii="Calibri" w:hAnsi="Calibri" w:cs="Calibri"/>
          <w:szCs w:val="24"/>
        </w:rPr>
        <w:t>, and responsibility for any damage caused to property. If a guest cancels outside the permitted timeframe, the hotel may impose cancellation fees in accordance with the contract terms (McKendrick, 2023).</w:t>
      </w:r>
    </w:p>
    <w:p w14:paraId="72B2086C" w14:textId="77777777" w:rsidR="00950B6A" w:rsidRPr="00950B6A" w:rsidRDefault="00950B6A" w:rsidP="00950B6A">
      <w:pPr>
        <w:rPr>
          <w:rFonts w:ascii="Calibri" w:hAnsi="Calibri" w:cs="Calibri"/>
          <w:szCs w:val="24"/>
        </w:rPr>
      </w:pPr>
      <w:r w:rsidRPr="00950B6A">
        <w:rPr>
          <w:rFonts w:ascii="Calibri" w:hAnsi="Calibri" w:cs="Calibri"/>
          <w:szCs w:val="24"/>
        </w:rPr>
        <w:t>In direct bookings, the contractual relationship exists solely between the hotel and the guest. Disputes concerning refunds, service quality, or cancellation penalties are resolved directly between these two parties.</w:t>
      </w:r>
    </w:p>
    <w:p w14:paraId="32FA0275" w14:textId="455CAF24" w:rsidR="00950B6A" w:rsidRPr="00950B6A" w:rsidRDefault="00950B6A" w:rsidP="00950B6A">
      <w:pPr>
        <w:rPr>
          <w:rFonts w:ascii="Calibri" w:hAnsi="Calibri" w:cs="Calibri"/>
          <w:szCs w:val="24"/>
        </w:rPr>
      </w:pPr>
    </w:p>
    <w:p w14:paraId="3C3D19A5" w14:textId="77777777" w:rsidR="00950B6A" w:rsidRPr="00950B6A" w:rsidRDefault="00950B6A" w:rsidP="00950B6A">
      <w:pPr>
        <w:rPr>
          <w:rFonts w:ascii="Calibri" w:hAnsi="Calibri" w:cs="Calibri"/>
          <w:szCs w:val="24"/>
        </w:rPr>
      </w:pPr>
      <w:r w:rsidRPr="00950B6A">
        <w:rPr>
          <w:rFonts w:ascii="Calibri" w:hAnsi="Calibri" w:cs="Calibri"/>
          <w:szCs w:val="24"/>
        </w:rPr>
        <w:t>B. Booking Through an Online Platform</w:t>
      </w:r>
    </w:p>
    <w:p w14:paraId="0F0DB24D" w14:textId="77777777" w:rsidR="00950B6A" w:rsidRPr="00950B6A" w:rsidRDefault="00950B6A" w:rsidP="00950B6A">
      <w:pPr>
        <w:rPr>
          <w:rFonts w:ascii="Calibri" w:hAnsi="Calibri" w:cs="Calibri"/>
          <w:szCs w:val="24"/>
        </w:rPr>
      </w:pPr>
      <w:r w:rsidRPr="00950B6A">
        <w:rPr>
          <w:rFonts w:ascii="Calibri" w:hAnsi="Calibri" w:cs="Calibri"/>
          <w:szCs w:val="24"/>
        </w:rPr>
        <w:t>Online Travel Agencies (OTAs) such as Expedia or Booking.com have introduced additional legal complexity into accommodation contracts. When a guest books through an online platform, multiple contractual relationships may arise.</w:t>
      </w:r>
    </w:p>
    <w:p w14:paraId="1B7DE1E8" w14:textId="77777777" w:rsidR="00950B6A" w:rsidRPr="00950B6A" w:rsidRDefault="00950B6A" w:rsidP="00950B6A">
      <w:pPr>
        <w:rPr>
          <w:rFonts w:ascii="Calibri" w:hAnsi="Calibri" w:cs="Calibri"/>
          <w:szCs w:val="24"/>
        </w:rPr>
      </w:pPr>
      <w:r w:rsidRPr="00950B6A">
        <w:rPr>
          <w:rFonts w:ascii="Calibri" w:hAnsi="Calibri" w:cs="Calibri"/>
          <w:szCs w:val="24"/>
        </w:rPr>
        <w:t>(1) The Guest</w:t>
      </w:r>
    </w:p>
    <w:p w14:paraId="47504205" w14:textId="77777777" w:rsidR="00950B6A" w:rsidRPr="00950B6A" w:rsidRDefault="00950B6A" w:rsidP="00950B6A">
      <w:pPr>
        <w:rPr>
          <w:rFonts w:ascii="Calibri" w:hAnsi="Calibri" w:cs="Calibri"/>
          <w:szCs w:val="24"/>
        </w:rPr>
      </w:pPr>
      <w:r w:rsidRPr="00950B6A">
        <w:rPr>
          <w:rFonts w:ascii="Calibri" w:hAnsi="Calibri" w:cs="Calibri"/>
          <w:szCs w:val="24"/>
        </w:rPr>
        <w:t xml:space="preserve">The guest agrees to the platform’s terms of service when making the reservation. This creates a contractual relationship between the guest and the platform governing website use, payment processing, and dispute handling. Simultaneously, the guest </w:t>
      </w:r>
      <w:proofErr w:type="gramStart"/>
      <w:r w:rsidRPr="00950B6A">
        <w:rPr>
          <w:rFonts w:ascii="Calibri" w:hAnsi="Calibri" w:cs="Calibri"/>
          <w:szCs w:val="24"/>
        </w:rPr>
        <w:t>enters into</w:t>
      </w:r>
      <w:proofErr w:type="gramEnd"/>
      <w:r w:rsidRPr="00950B6A">
        <w:rPr>
          <w:rFonts w:ascii="Calibri" w:hAnsi="Calibri" w:cs="Calibri"/>
          <w:szCs w:val="24"/>
        </w:rPr>
        <w:t xml:space="preserve"> an accommodation contract with the hotel for the actual stay (</w:t>
      </w:r>
      <w:proofErr w:type="spellStart"/>
      <w:r w:rsidRPr="00950B6A">
        <w:rPr>
          <w:rFonts w:ascii="Calibri" w:hAnsi="Calibri" w:cs="Calibri"/>
          <w:szCs w:val="24"/>
        </w:rPr>
        <w:t>Durovic</w:t>
      </w:r>
      <w:proofErr w:type="spellEnd"/>
      <w:r w:rsidRPr="00950B6A">
        <w:rPr>
          <w:rFonts w:ascii="Calibri" w:hAnsi="Calibri" w:cs="Calibri"/>
          <w:szCs w:val="24"/>
        </w:rPr>
        <w:t xml:space="preserve"> &amp; </w:t>
      </w:r>
      <w:proofErr w:type="spellStart"/>
      <w:r w:rsidRPr="00950B6A">
        <w:rPr>
          <w:rFonts w:ascii="Calibri" w:hAnsi="Calibri" w:cs="Calibri"/>
          <w:szCs w:val="24"/>
        </w:rPr>
        <w:t>Micklitz</w:t>
      </w:r>
      <w:proofErr w:type="spellEnd"/>
      <w:r w:rsidRPr="00950B6A">
        <w:rPr>
          <w:rFonts w:ascii="Calibri" w:hAnsi="Calibri" w:cs="Calibri"/>
          <w:szCs w:val="24"/>
        </w:rPr>
        <w:t>, 2017).</w:t>
      </w:r>
    </w:p>
    <w:p w14:paraId="6D019141" w14:textId="77777777" w:rsidR="00950B6A" w:rsidRPr="00950B6A" w:rsidRDefault="00950B6A" w:rsidP="00950B6A">
      <w:pPr>
        <w:rPr>
          <w:rFonts w:ascii="Calibri" w:hAnsi="Calibri" w:cs="Calibri"/>
          <w:szCs w:val="24"/>
        </w:rPr>
      </w:pPr>
      <w:r w:rsidRPr="00950B6A">
        <w:rPr>
          <w:rFonts w:ascii="Calibri" w:hAnsi="Calibri" w:cs="Calibri"/>
          <w:szCs w:val="24"/>
        </w:rPr>
        <w:t>(2) The Hotel</w:t>
      </w:r>
    </w:p>
    <w:p w14:paraId="702E69D7" w14:textId="77777777" w:rsidR="00950B6A" w:rsidRPr="00950B6A" w:rsidRDefault="00950B6A" w:rsidP="00950B6A">
      <w:pPr>
        <w:rPr>
          <w:rFonts w:ascii="Calibri" w:hAnsi="Calibri" w:cs="Calibri"/>
          <w:szCs w:val="24"/>
        </w:rPr>
      </w:pPr>
      <w:r w:rsidRPr="00950B6A">
        <w:rPr>
          <w:rFonts w:ascii="Calibri" w:hAnsi="Calibri" w:cs="Calibri"/>
          <w:szCs w:val="24"/>
        </w:rPr>
        <w:t>The hotel lists its rooms on the platform under a separate commercial agreement. Although the booking is facilitated by the intermediary, the hotel remains responsible for providing the accommodation service itself. In most cases, the core accommodation contract is formed between the hotel and the guest rather than between the guest and the platform.</w:t>
      </w:r>
    </w:p>
    <w:p w14:paraId="3F9F476E" w14:textId="77777777" w:rsidR="00950B6A" w:rsidRPr="00950B6A" w:rsidRDefault="00950B6A" w:rsidP="00950B6A">
      <w:pPr>
        <w:rPr>
          <w:rFonts w:ascii="Calibri" w:hAnsi="Calibri" w:cs="Calibri"/>
          <w:szCs w:val="24"/>
        </w:rPr>
      </w:pPr>
      <w:r w:rsidRPr="00950B6A">
        <w:rPr>
          <w:rFonts w:ascii="Calibri" w:hAnsi="Calibri" w:cs="Calibri"/>
          <w:szCs w:val="24"/>
        </w:rPr>
        <w:t>(3) The Online Platform (Intermediary)</w:t>
      </w:r>
    </w:p>
    <w:p w14:paraId="5C841735" w14:textId="77777777" w:rsidR="00950B6A" w:rsidRPr="00950B6A" w:rsidRDefault="00950B6A" w:rsidP="00950B6A">
      <w:pPr>
        <w:rPr>
          <w:rFonts w:ascii="Calibri" w:hAnsi="Calibri" w:cs="Calibri"/>
          <w:szCs w:val="24"/>
        </w:rPr>
      </w:pPr>
      <w:r w:rsidRPr="00950B6A">
        <w:rPr>
          <w:rFonts w:ascii="Calibri" w:hAnsi="Calibri" w:cs="Calibri"/>
          <w:szCs w:val="24"/>
        </w:rPr>
        <w:lastRenderedPageBreak/>
        <w:t>The online platform typically acts as an intermediary or agent, connecting guests and accommodation providers. It earns a commission from the hotel for each booking. Depending on the business model, the platform may also process payments or assume additional responsibilities. The legal liability of the platform depends on whether it acts purely as an agent or as a principal in the transaction (Wilkinson, 2018).</w:t>
      </w:r>
    </w:p>
    <w:p w14:paraId="527B3AB3" w14:textId="77777777" w:rsidR="00950B6A" w:rsidRPr="00950B6A" w:rsidRDefault="00950B6A" w:rsidP="00950B6A">
      <w:pPr>
        <w:rPr>
          <w:rFonts w:ascii="Calibri" w:hAnsi="Calibri" w:cs="Calibri"/>
          <w:szCs w:val="24"/>
        </w:rPr>
      </w:pPr>
      <w:r w:rsidRPr="00950B6A">
        <w:rPr>
          <w:rFonts w:ascii="Calibri" w:hAnsi="Calibri" w:cs="Calibri"/>
          <w:szCs w:val="24"/>
        </w:rPr>
        <w:t>In OTA bookings, three legal relationships generally exist:</w:t>
      </w:r>
    </w:p>
    <w:p w14:paraId="5C87B4D3" w14:textId="77777777" w:rsidR="00950B6A" w:rsidRPr="00950B6A" w:rsidRDefault="00950B6A" w:rsidP="00950B6A">
      <w:pPr>
        <w:numPr>
          <w:ilvl w:val="0"/>
          <w:numId w:val="3"/>
        </w:numPr>
        <w:rPr>
          <w:rFonts w:ascii="Calibri" w:hAnsi="Calibri" w:cs="Calibri"/>
          <w:szCs w:val="24"/>
        </w:rPr>
      </w:pPr>
      <w:r w:rsidRPr="00950B6A">
        <w:rPr>
          <w:rFonts w:ascii="Calibri" w:hAnsi="Calibri" w:cs="Calibri"/>
          <w:szCs w:val="24"/>
        </w:rPr>
        <w:t>Guest ↔ Platform (terms of website use)</w:t>
      </w:r>
    </w:p>
    <w:p w14:paraId="5D30EDA6" w14:textId="77777777" w:rsidR="00950B6A" w:rsidRPr="00950B6A" w:rsidRDefault="00950B6A" w:rsidP="00950B6A">
      <w:pPr>
        <w:numPr>
          <w:ilvl w:val="0"/>
          <w:numId w:val="3"/>
        </w:numPr>
        <w:rPr>
          <w:rFonts w:ascii="Calibri" w:hAnsi="Calibri" w:cs="Calibri"/>
          <w:szCs w:val="24"/>
        </w:rPr>
      </w:pPr>
      <w:r w:rsidRPr="00950B6A">
        <w:rPr>
          <w:rFonts w:ascii="Calibri" w:hAnsi="Calibri" w:cs="Calibri"/>
          <w:szCs w:val="24"/>
        </w:rPr>
        <w:t>Guest ↔ Hotel (accommodation contract)</w:t>
      </w:r>
    </w:p>
    <w:p w14:paraId="3919E1D5" w14:textId="77777777" w:rsidR="00950B6A" w:rsidRPr="00950B6A" w:rsidRDefault="00950B6A" w:rsidP="00950B6A">
      <w:pPr>
        <w:numPr>
          <w:ilvl w:val="0"/>
          <w:numId w:val="3"/>
        </w:numPr>
        <w:rPr>
          <w:rFonts w:ascii="Calibri" w:hAnsi="Calibri" w:cs="Calibri"/>
          <w:szCs w:val="24"/>
        </w:rPr>
      </w:pPr>
      <w:r w:rsidRPr="00950B6A">
        <w:rPr>
          <w:rFonts w:ascii="Calibri" w:hAnsi="Calibri" w:cs="Calibri"/>
          <w:szCs w:val="24"/>
        </w:rPr>
        <w:t>Hotel ↔ Platform (commercial distribution agreement)</w:t>
      </w:r>
    </w:p>
    <w:p w14:paraId="30F96AC4" w14:textId="77777777" w:rsidR="00950B6A" w:rsidRPr="00950B6A" w:rsidRDefault="00950B6A" w:rsidP="00950B6A">
      <w:pPr>
        <w:rPr>
          <w:rFonts w:ascii="Calibri" w:hAnsi="Calibri" w:cs="Calibri"/>
          <w:szCs w:val="24"/>
        </w:rPr>
      </w:pPr>
      <w:r w:rsidRPr="00950B6A">
        <w:rPr>
          <w:rFonts w:ascii="Calibri" w:hAnsi="Calibri" w:cs="Calibri"/>
          <w:szCs w:val="24"/>
        </w:rPr>
        <w:t>This tripartite arrangement can complicate liability issues, particularly in disputes concerning cancellations, misrepresentation, or refunds. Courts examine the specific contractual wording to determine which party bears responsibility.</w:t>
      </w:r>
    </w:p>
    <w:p w14:paraId="6B81B87E" w14:textId="143A543B" w:rsidR="00950B6A" w:rsidRPr="00950B6A" w:rsidRDefault="00950B6A" w:rsidP="00950B6A">
      <w:pPr>
        <w:rPr>
          <w:rFonts w:ascii="Calibri" w:hAnsi="Calibri" w:cs="Calibri"/>
          <w:szCs w:val="24"/>
        </w:rPr>
      </w:pPr>
    </w:p>
    <w:p w14:paraId="6A8FAB10" w14:textId="77777777" w:rsidR="00950B6A" w:rsidRPr="00950B6A" w:rsidRDefault="00950B6A" w:rsidP="00950B6A">
      <w:pPr>
        <w:rPr>
          <w:rFonts w:ascii="Calibri" w:hAnsi="Calibri" w:cs="Calibri"/>
          <w:szCs w:val="24"/>
        </w:rPr>
      </w:pPr>
      <w:r w:rsidRPr="00950B6A">
        <w:rPr>
          <w:rFonts w:ascii="Calibri" w:hAnsi="Calibri" w:cs="Calibri"/>
          <w:szCs w:val="24"/>
        </w:rPr>
        <w:t>Conclusion</w:t>
      </w:r>
    </w:p>
    <w:p w14:paraId="24A2773B" w14:textId="77777777" w:rsidR="00950B6A" w:rsidRPr="00950B6A" w:rsidRDefault="00950B6A" w:rsidP="00950B6A">
      <w:pPr>
        <w:rPr>
          <w:rFonts w:ascii="Calibri" w:hAnsi="Calibri" w:cs="Calibri"/>
          <w:szCs w:val="24"/>
        </w:rPr>
      </w:pPr>
      <w:r w:rsidRPr="00950B6A">
        <w:rPr>
          <w:rFonts w:ascii="Calibri" w:hAnsi="Calibri" w:cs="Calibri"/>
          <w:szCs w:val="24"/>
        </w:rPr>
        <w:t>An accommodation contract is a legally binding agreement for temporary lodging and related services. Its validity depends upon fundamental elements of contract law: offer, acceptance, consideration, intention to create legal relations, capacity, certainty, and legality. Although rooted in traditional legal doctrine, accommodation contracts are increasingly formed through digital systems and standardized terms.</w:t>
      </w:r>
    </w:p>
    <w:p w14:paraId="07C4D3ED" w14:textId="77777777" w:rsidR="00950B6A" w:rsidRPr="00950B6A" w:rsidRDefault="00950B6A" w:rsidP="00950B6A">
      <w:pPr>
        <w:rPr>
          <w:rFonts w:ascii="Calibri" w:hAnsi="Calibri" w:cs="Calibri"/>
          <w:szCs w:val="24"/>
        </w:rPr>
      </w:pPr>
      <w:r w:rsidRPr="00950B6A">
        <w:rPr>
          <w:rFonts w:ascii="Calibri" w:hAnsi="Calibri" w:cs="Calibri"/>
          <w:szCs w:val="24"/>
        </w:rPr>
        <w:t>In direct bookings, the legal relationship exists solely between the hotel and the guest. However, bookings made through online platforms create a more complex structure involving an intermediary. Understanding these legal distinctions is essential for determining rights, obligations, and liability within the modern hospitality industry.</w:t>
      </w:r>
    </w:p>
    <w:p w14:paraId="2502D522" w14:textId="1CBE234B" w:rsidR="00950B6A" w:rsidRPr="00950B6A" w:rsidRDefault="00950B6A" w:rsidP="00950B6A">
      <w:pPr>
        <w:rPr>
          <w:rFonts w:ascii="Calibri" w:hAnsi="Calibri" w:cs="Calibri"/>
          <w:szCs w:val="24"/>
        </w:rPr>
      </w:pPr>
    </w:p>
    <w:p w14:paraId="78B74F5E" w14:textId="77777777" w:rsidR="00950B6A" w:rsidRPr="00950B6A" w:rsidRDefault="00950B6A" w:rsidP="00950B6A">
      <w:pPr>
        <w:rPr>
          <w:rFonts w:ascii="Calibri" w:hAnsi="Calibri" w:cs="Calibri"/>
          <w:szCs w:val="24"/>
        </w:rPr>
      </w:pPr>
      <w:r w:rsidRPr="00950B6A">
        <w:rPr>
          <w:rFonts w:ascii="Calibri" w:hAnsi="Calibri" w:cs="Calibri"/>
          <w:szCs w:val="24"/>
        </w:rPr>
        <w:t>References</w:t>
      </w:r>
    </w:p>
    <w:p w14:paraId="2B6CB712" w14:textId="77777777" w:rsidR="00950B6A" w:rsidRPr="00950B6A" w:rsidRDefault="00950B6A" w:rsidP="00950B6A">
      <w:pPr>
        <w:rPr>
          <w:rFonts w:ascii="Calibri" w:hAnsi="Calibri" w:cs="Calibri"/>
          <w:szCs w:val="24"/>
        </w:rPr>
      </w:pPr>
      <w:r w:rsidRPr="00950B6A">
        <w:rPr>
          <w:rFonts w:ascii="Calibri" w:hAnsi="Calibri" w:cs="Calibri"/>
          <w:szCs w:val="24"/>
        </w:rPr>
        <w:t xml:space="preserve">Cartwright, J. (2020). </w:t>
      </w:r>
      <w:r w:rsidRPr="00950B6A">
        <w:rPr>
          <w:rFonts w:ascii="Calibri" w:hAnsi="Calibri" w:cs="Calibri"/>
          <w:i/>
          <w:iCs/>
          <w:szCs w:val="24"/>
        </w:rPr>
        <w:t>Contract law: An introduction to the English law of contract for the civil lawyer</w:t>
      </w:r>
      <w:r w:rsidRPr="00950B6A">
        <w:rPr>
          <w:rFonts w:ascii="Calibri" w:hAnsi="Calibri" w:cs="Calibri"/>
          <w:szCs w:val="24"/>
        </w:rPr>
        <w:t xml:space="preserve"> (3rd ed.). Hart Publishing.</w:t>
      </w:r>
    </w:p>
    <w:p w14:paraId="04B7F300" w14:textId="77777777" w:rsidR="00950B6A" w:rsidRPr="00950B6A" w:rsidRDefault="00950B6A" w:rsidP="00950B6A">
      <w:pPr>
        <w:rPr>
          <w:rFonts w:ascii="Calibri" w:hAnsi="Calibri" w:cs="Calibri"/>
          <w:szCs w:val="24"/>
        </w:rPr>
      </w:pPr>
      <w:proofErr w:type="spellStart"/>
      <w:r w:rsidRPr="00950B6A">
        <w:rPr>
          <w:rFonts w:ascii="Calibri" w:hAnsi="Calibri" w:cs="Calibri"/>
          <w:szCs w:val="24"/>
        </w:rPr>
        <w:t>Durovic</w:t>
      </w:r>
      <w:proofErr w:type="spellEnd"/>
      <w:r w:rsidRPr="00950B6A">
        <w:rPr>
          <w:rFonts w:ascii="Calibri" w:hAnsi="Calibri" w:cs="Calibri"/>
          <w:szCs w:val="24"/>
        </w:rPr>
        <w:t xml:space="preserve">, M., &amp; </w:t>
      </w:r>
      <w:proofErr w:type="spellStart"/>
      <w:r w:rsidRPr="00950B6A">
        <w:rPr>
          <w:rFonts w:ascii="Calibri" w:hAnsi="Calibri" w:cs="Calibri"/>
          <w:szCs w:val="24"/>
        </w:rPr>
        <w:t>Micklitz</w:t>
      </w:r>
      <w:proofErr w:type="spellEnd"/>
      <w:r w:rsidRPr="00950B6A">
        <w:rPr>
          <w:rFonts w:ascii="Calibri" w:hAnsi="Calibri" w:cs="Calibri"/>
          <w:szCs w:val="24"/>
        </w:rPr>
        <w:t xml:space="preserve">, H.-W. (2017). Internationalization of consumer law: A game changer. </w:t>
      </w:r>
      <w:r w:rsidRPr="00950B6A">
        <w:rPr>
          <w:rFonts w:ascii="Calibri" w:hAnsi="Calibri" w:cs="Calibri"/>
          <w:i/>
          <w:iCs/>
          <w:szCs w:val="24"/>
        </w:rPr>
        <w:t>Journal of Consumer Policy, 40</w:t>
      </w:r>
      <w:r w:rsidRPr="00950B6A">
        <w:rPr>
          <w:rFonts w:ascii="Calibri" w:hAnsi="Calibri" w:cs="Calibri"/>
          <w:szCs w:val="24"/>
        </w:rPr>
        <w:t>(2), 141–160. https://doi.org/10.1007/s10603-017-9347-3</w:t>
      </w:r>
    </w:p>
    <w:p w14:paraId="1FF20917" w14:textId="77777777" w:rsidR="00950B6A" w:rsidRPr="00950B6A" w:rsidRDefault="00950B6A" w:rsidP="00950B6A">
      <w:pPr>
        <w:rPr>
          <w:rFonts w:ascii="Calibri" w:hAnsi="Calibri" w:cs="Calibri"/>
          <w:szCs w:val="24"/>
        </w:rPr>
      </w:pPr>
      <w:r w:rsidRPr="00950B6A">
        <w:rPr>
          <w:rFonts w:ascii="Calibri" w:hAnsi="Calibri" w:cs="Calibri"/>
          <w:szCs w:val="24"/>
        </w:rPr>
        <w:t xml:space="preserve">McKendrick, E. (2023). </w:t>
      </w:r>
      <w:r w:rsidRPr="00950B6A">
        <w:rPr>
          <w:rFonts w:ascii="Calibri" w:hAnsi="Calibri" w:cs="Calibri"/>
          <w:i/>
          <w:iCs/>
          <w:szCs w:val="24"/>
        </w:rPr>
        <w:t>Contract law: Text, cases, and materials</w:t>
      </w:r>
      <w:r w:rsidRPr="00950B6A">
        <w:rPr>
          <w:rFonts w:ascii="Calibri" w:hAnsi="Calibri" w:cs="Calibri"/>
          <w:szCs w:val="24"/>
        </w:rPr>
        <w:t xml:space="preserve"> (9th ed.). Oxford University Press.</w:t>
      </w:r>
    </w:p>
    <w:p w14:paraId="235372C7" w14:textId="77777777" w:rsidR="00950B6A" w:rsidRPr="00950B6A" w:rsidRDefault="00950B6A" w:rsidP="00950B6A">
      <w:pPr>
        <w:rPr>
          <w:rFonts w:ascii="Calibri" w:hAnsi="Calibri" w:cs="Calibri"/>
          <w:szCs w:val="24"/>
        </w:rPr>
      </w:pPr>
      <w:r w:rsidRPr="00950B6A">
        <w:rPr>
          <w:rFonts w:ascii="Calibri" w:hAnsi="Calibri" w:cs="Calibri"/>
          <w:szCs w:val="24"/>
        </w:rPr>
        <w:lastRenderedPageBreak/>
        <w:t xml:space="preserve">Wilkinson, J. (2018). Hospitality law: Managing legal issues in the hospitality industry. </w:t>
      </w:r>
      <w:r w:rsidRPr="00950B6A">
        <w:rPr>
          <w:rFonts w:ascii="Calibri" w:hAnsi="Calibri" w:cs="Calibri"/>
          <w:i/>
          <w:iCs/>
          <w:szCs w:val="24"/>
        </w:rPr>
        <w:t>International Journal of Contemporary Hospitality Management, 30</w:t>
      </w:r>
      <w:r w:rsidRPr="00950B6A">
        <w:rPr>
          <w:rFonts w:ascii="Calibri" w:hAnsi="Calibri" w:cs="Calibri"/>
          <w:szCs w:val="24"/>
        </w:rPr>
        <w:t>(5), 2145–2160. https://doi.org/10.1108/IJCHM-10-2016-0554</w:t>
      </w:r>
    </w:p>
    <w:p w14:paraId="35A1084B" w14:textId="77777777" w:rsidR="009F311C" w:rsidRPr="00F0373C" w:rsidRDefault="009F311C" w:rsidP="00950B6A">
      <w:pPr>
        <w:rPr>
          <w:rFonts w:ascii="Calibri" w:hAnsi="Calibri" w:cs="Calibri"/>
          <w:szCs w:val="24"/>
        </w:rPr>
      </w:pPr>
    </w:p>
    <w:sectPr w:rsidR="009F311C" w:rsidRPr="00F0373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E564BB"/>
    <w:multiLevelType w:val="multilevel"/>
    <w:tmpl w:val="39C24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056E43"/>
    <w:multiLevelType w:val="hybridMultilevel"/>
    <w:tmpl w:val="8FBE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6A14F16"/>
    <w:multiLevelType w:val="multilevel"/>
    <w:tmpl w:val="7C204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8653246">
    <w:abstractNumId w:val="2"/>
  </w:num>
  <w:num w:numId="2" w16cid:durableId="1225875604">
    <w:abstractNumId w:val="1"/>
  </w:num>
  <w:num w:numId="3" w16cid:durableId="1615407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11C"/>
    <w:rsid w:val="003569AB"/>
    <w:rsid w:val="004016C3"/>
    <w:rsid w:val="004F3A99"/>
    <w:rsid w:val="005A1319"/>
    <w:rsid w:val="00950B6A"/>
    <w:rsid w:val="009F311C"/>
    <w:rsid w:val="00B34990"/>
    <w:rsid w:val="00F0373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F275D"/>
  <w15:chartTrackingRefBased/>
  <w15:docId w15:val="{66E0F657-30EA-47FA-B593-5955F087B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311C"/>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9F311C"/>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9F311C"/>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9F31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31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31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31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31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31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11C"/>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9F311C"/>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9F311C"/>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9F31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31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31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31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31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311C"/>
    <w:rPr>
      <w:rFonts w:eastAsiaTheme="majorEastAsia" w:cstheme="majorBidi"/>
      <w:color w:val="272727" w:themeColor="text1" w:themeTint="D8"/>
    </w:rPr>
  </w:style>
  <w:style w:type="paragraph" w:styleId="Title">
    <w:name w:val="Title"/>
    <w:basedOn w:val="Normal"/>
    <w:next w:val="Normal"/>
    <w:link w:val="TitleChar"/>
    <w:uiPriority w:val="10"/>
    <w:qFormat/>
    <w:rsid w:val="009F311C"/>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9F311C"/>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9F311C"/>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9F311C"/>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9F311C"/>
    <w:pPr>
      <w:spacing w:before="160"/>
      <w:jc w:val="center"/>
    </w:pPr>
    <w:rPr>
      <w:i/>
      <w:iCs/>
      <w:color w:val="404040" w:themeColor="text1" w:themeTint="BF"/>
    </w:rPr>
  </w:style>
  <w:style w:type="character" w:customStyle="1" w:styleId="QuoteChar">
    <w:name w:val="Quote Char"/>
    <w:basedOn w:val="DefaultParagraphFont"/>
    <w:link w:val="Quote"/>
    <w:uiPriority w:val="29"/>
    <w:rsid w:val="009F311C"/>
    <w:rPr>
      <w:i/>
      <w:iCs/>
      <w:color w:val="404040" w:themeColor="text1" w:themeTint="BF"/>
    </w:rPr>
  </w:style>
  <w:style w:type="paragraph" w:styleId="ListParagraph">
    <w:name w:val="List Paragraph"/>
    <w:basedOn w:val="Normal"/>
    <w:uiPriority w:val="34"/>
    <w:qFormat/>
    <w:rsid w:val="009F311C"/>
    <w:pPr>
      <w:ind w:left="720"/>
      <w:contextualSpacing/>
    </w:pPr>
  </w:style>
  <w:style w:type="character" w:styleId="IntenseEmphasis">
    <w:name w:val="Intense Emphasis"/>
    <w:basedOn w:val="DefaultParagraphFont"/>
    <w:uiPriority w:val="21"/>
    <w:qFormat/>
    <w:rsid w:val="009F311C"/>
    <w:rPr>
      <w:i/>
      <w:iCs/>
      <w:color w:val="0F4761" w:themeColor="accent1" w:themeShade="BF"/>
    </w:rPr>
  </w:style>
  <w:style w:type="paragraph" w:styleId="IntenseQuote">
    <w:name w:val="Intense Quote"/>
    <w:basedOn w:val="Normal"/>
    <w:next w:val="Normal"/>
    <w:link w:val="IntenseQuoteChar"/>
    <w:uiPriority w:val="30"/>
    <w:qFormat/>
    <w:rsid w:val="009F31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311C"/>
    <w:rPr>
      <w:i/>
      <w:iCs/>
      <w:color w:val="0F4761" w:themeColor="accent1" w:themeShade="BF"/>
    </w:rPr>
  </w:style>
  <w:style w:type="character" w:styleId="IntenseReference">
    <w:name w:val="Intense Reference"/>
    <w:basedOn w:val="DefaultParagraphFont"/>
    <w:uiPriority w:val="32"/>
    <w:qFormat/>
    <w:rsid w:val="009F311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1395</Words>
  <Characters>7958</Characters>
  <Application>Microsoft Office Word</Application>
  <DocSecurity>0</DocSecurity>
  <Lines>66</Lines>
  <Paragraphs>18</Paragraphs>
  <ScaleCrop>false</ScaleCrop>
  <Company/>
  <LinksUpToDate>false</LinksUpToDate>
  <CharactersWithSpaces>9335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2026-03-03T05:35:00Z</dcterms:created>
  <dcterms:modified xsi:type="dcterms:W3CDTF">2026-03-03T05:35:00Z</dcterms:modified>
</cp:coreProperties>
</file>