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C9F41" w14:textId="77777777"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67AAC" w14:textId="77777777" w:rsidR="000E68B1" w:rsidRDefault="000E68B1" w:rsidP="000E68B1">
      <w:pPr>
        <w:rPr>
          <w:b/>
          <w:bCs/>
          <w:lang w:val="en-US"/>
        </w:rPr>
      </w:pPr>
    </w:p>
    <w:p w14:paraId="4B0CEE47" w14:textId="77777777"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14:paraId="4A1DF2CF" w14:textId="77777777"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23DDB">
        <w:rPr>
          <w:lang w:val="en-US"/>
        </w:rPr>
        <w:t>10</w:t>
      </w:r>
    </w:p>
    <w:p w14:paraId="79F8C0F1" w14:textId="77777777" w:rsidR="000E68B1" w:rsidRPr="0019504D" w:rsidRDefault="003C006E" w:rsidP="000E68B1">
      <w:pPr>
        <w:rPr>
          <w:lang w:val="en-US"/>
        </w:rPr>
      </w:pPr>
      <w:r>
        <w:rPr>
          <w:lang w:val="en-US"/>
        </w:rPr>
        <w:t>1</w:t>
      </w:r>
      <w:r w:rsidR="00223DDB">
        <w:rPr>
          <w:lang w:val="en-US"/>
        </w:rPr>
        <w:t>7</w:t>
      </w:r>
      <w:r w:rsidR="000E68B1">
        <w:rPr>
          <w:lang w:val="en-US"/>
        </w:rPr>
        <w:t>.0</w:t>
      </w:r>
      <w:r w:rsidR="001674E1">
        <w:rPr>
          <w:lang w:val="en-US"/>
        </w:rPr>
        <w:t>6</w:t>
      </w:r>
      <w:r w:rsidR="000E68B1">
        <w:rPr>
          <w:lang w:val="en-US"/>
        </w:rPr>
        <w:t>.2026</w:t>
      </w:r>
    </w:p>
    <w:p w14:paraId="570EE445" w14:textId="77777777" w:rsidR="00426865" w:rsidRDefault="00426865"/>
    <w:p w14:paraId="71581BAE" w14:textId="77777777" w:rsidR="000E68B1" w:rsidRDefault="000E68B1"/>
    <w:p w14:paraId="5C2AE2A3" w14:textId="77777777" w:rsidR="000E68B1" w:rsidRDefault="000E68B1"/>
    <w:p w14:paraId="74456DF0" w14:textId="77777777" w:rsidR="000E68B1" w:rsidRDefault="000E68B1"/>
    <w:p w14:paraId="26979184" w14:textId="77777777" w:rsidR="000E68B1" w:rsidRDefault="000E68B1"/>
    <w:p w14:paraId="1FB63C36" w14:textId="77777777" w:rsidR="000E68B1" w:rsidRDefault="000E68B1"/>
    <w:p w14:paraId="2D30B37E" w14:textId="77777777" w:rsidR="000E68B1" w:rsidRDefault="000E68B1"/>
    <w:p w14:paraId="4062B460" w14:textId="77777777" w:rsidR="000E68B1" w:rsidRDefault="000E68B1"/>
    <w:p w14:paraId="25AEAB48" w14:textId="77777777" w:rsidR="000E68B1" w:rsidRDefault="000E68B1"/>
    <w:p w14:paraId="38EDABEB" w14:textId="77777777" w:rsidR="000E68B1" w:rsidRDefault="000E68B1"/>
    <w:p w14:paraId="10E92A25" w14:textId="77777777" w:rsidR="000E68B1" w:rsidRDefault="000E68B1"/>
    <w:p w14:paraId="5C0283C3" w14:textId="77777777" w:rsidR="003C006E" w:rsidRPr="00223DDB" w:rsidRDefault="003C006E" w:rsidP="00223DDB">
      <w:pPr>
        <w:spacing w:line="276" w:lineRule="auto"/>
        <w:rPr>
          <w:lang w:val="en-US"/>
        </w:rPr>
      </w:pPr>
      <w:r w:rsidRPr="00223DDB">
        <w:rPr>
          <w:lang w:val="en-US"/>
        </w:rPr>
        <w:t xml:space="preserve">1- </w:t>
      </w:r>
      <w:r w:rsidR="00223DDB" w:rsidRPr="00223DDB">
        <w:rPr>
          <w:lang w:val="en-US"/>
        </w:rPr>
        <w:t>Explain how guest expectations affect their overall experience.</w:t>
      </w:r>
    </w:p>
    <w:p w14:paraId="6785C420" w14:textId="77777777" w:rsidR="003C006E" w:rsidRDefault="003C006E" w:rsidP="003C006E">
      <w:pPr>
        <w:spacing w:line="276" w:lineRule="auto"/>
        <w:rPr>
          <w:lang w:val="en-US"/>
        </w:rPr>
      </w:pPr>
    </w:p>
    <w:p w14:paraId="11C1FC3C" w14:textId="77777777" w:rsidR="003C006E" w:rsidRPr="003C006E" w:rsidRDefault="003C006E" w:rsidP="003C006E">
      <w:pPr>
        <w:spacing w:line="276" w:lineRule="auto"/>
        <w:rPr>
          <w:lang w:val="en-US"/>
        </w:rPr>
      </w:pPr>
    </w:p>
    <w:p w14:paraId="59F63FE5" w14:textId="77777777" w:rsidR="00223DDB" w:rsidRPr="00223DDB" w:rsidRDefault="003C006E" w:rsidP="00223DDB">
      <w:pPr>
        <w:spacing w:line="276" w:lineRule="auto"/>
        <w:rPr>
          <w:lang w:val="en-US"/>
        </w:rPr>
      </w:pPr>
      <w:r w:rsidRPr="00223DDB">
        <w:rPr>
          <w:lang w:val="en-US"/>
        </w:rPr>
        <w:t xml:space="preserve">2- </w:t>
      </w:r>
      <w:r w:rsidR="00223DDB" w:rsidRPr="00223DDB">
        <w:rPr>
          <w:lang w:val="en-US"/>
        </w:rPr>
        <w:t>A guest arrives at a hotel after a long international flight. The front desk staff is slow, unfriendly, and unable to answer basic questions.</w:t>
      </w:r>
    </w:p>
    <w:p w14:paraId="56FE1393" w14:textId="77777777" w:rsidR="00223DDB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Which components of the guest experience were negatively affected?</w:t>
      </w:r>
    </w:p>
    <w:p w14:paraId="6C41D101" w14:textId="77777777" w:rsidR="00223DDB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How might this experience influence the guest's perception of the hotel?</w:t>
      </w:r>
    </w:p>
    <w:p w14:paraId="135665A9" w14:textId="517B76DC" w:rsidR="00927A25" w:rsidRDefault="00223DDB" w:rsidP="00927A25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What actions could management take to improve the situation?</w:t>
      </w:r>
    </w:p>
    <w:p w14:paraId="1703890C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0E89F8DE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A84FE5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785E3175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720E30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747DA012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568D9CEA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7FF45A3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4B554F00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95905E8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37F4A399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D7BF924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AF6671E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4557F555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AB6F5E3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AE4BF1E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0057538A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2FD8BC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4264A60A" w14:textId="77777777" w:rsidR="00240E46" w:rsidRDefault="00240E46" w:rsidP="00240E46">
      <w:pPr>
        <w:pStyle w:val="ListParagraph"/>
        <w:spacing w:line="276" w:lineRule="auto"/>
        <w:rPr>
          <w:lang w:val="en-US"/>
        </w:rPr>
      </w:pPr>
    </w:p>
    <w:p w14:paraId="4BD417DF" w14:textId="15C1AF09" w:rsidR="00240E46" w:rsidRPr="00240E46" w:rsidRDefault="00240E46" w:rsidP="00240E46">
      <w:pPr>
        <w:pStyle w:val="ListParagraph"/>
        <w:spacing w:line="276" w:lineRule="auto"/>
        <w:rPr>
          <w:b/>
          <w:bCs/>
          <w:lang w:val="en-GB"/>
        </w:rPr>
      </w:pPr>
      <w:r w:rsidRPr="00240E46">
        <w:rPr>
          <w:b/>
          <w:bCs/>
          <w:lang w:val="en-GB"/>
        </w:rPr>
        <w:lastRenderedPageBreak/>
        <w:t>Part 1: The Impact of Guest Expectations on the Hospitality Experience</w:t>
      </w:r>
    </w:p>
    <w:p w14:paraId="22A4961D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 xml:space="preserve">In the hospitality industry, customer expectations function as a baseline standard against which actual service encounters are measured. This phenomenon is largely governed by the </w:t>
      </w:r>
      <w:r w:rsidRPr="00240E46">
        <w:rPr>
          <w:b/>
          <w:bCs/>
          <w:lang w:val="en-GB"/>
        </w:rPr>
        <w:t>Confirmation/Disconfirmation Paradigm</w:t>
      </w:r>
      <w:r w:rsidRPr="00240E46">
        <w:rPr>
          <w:lang w:val="en-GB"/>
        </w:rPr>
        <w:t xml:space="preserve"> (</w:t>
      </w:r>
      <w:proofErr w:type="spellStart"/>
      <w:r w:rsidRPr="00240E46">
        <w:rPr>
          <w:lang w:val="en-GB"/>
        </w:rPr>
        <w:t>Olshavsky</w:t>
      </w:r>
      <w:proofErr w:type="spellEnd"/>
      <w:r w:rsidRPr="00240E46">
        <w:rPr>
          <w:lang w:val="en-GB"/>
        </w:rPr>
        <w:t xml:space="preserve"> &amp; Miller, 1972). Before setting foot on a property, a guest establishes a cognitive framework of what they should receive. These pre-purchase expectations are shaped by implicit cues (such as room rates and hotel star ratings) and explicit promises (including digital marketing campaigns and online reviews).</w:t>
      </w:r>
    </w:p>
    <w:p w14:paraId="1F1F90AF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 xml:space="preserve">When a service encounter takes place, the guest evaluates the experience through this preconceived lens. If the performance matches their expectations, confirmation occurs, resulting in a neutral or standard level of satisfaction. However, if the hotel goes above and beyond, </w:t>
      </w:r>
      <w:r w:rsidRPr="00240E46">
        <w:rPr>
          <w:b/>
          <w:bCs/>
          <w:lang w:val="en-GB"/>
        </w:rPr>
        <w:t>positive disconfirmation</w:t>
      </w:r>
      <w:r w:rsidRPr="00240E46">
        <w:rPr>
          <w:lang w:val="en-GB"/>
        </w:rPr>
        <w:t xml:space="preserve"> takes place, triggering intense emotional delight and cultivating long-term brand loyalty.</w:t>
      </w:r>
    </w:p>
    <w:p w14:paraId="18FE3B41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 xml:space="preserve">Conversely, </w:t>
      </w:r>
      <w:r w:rsidRPr="00240E46">
        <w:rPr>
          <w:b/>
          <w:bCs/>
          <w:lang w:val="en-GB"/>
        </w:rPr>
        <w:t>negative disconfirmation</w:t>
      </w:r>
      <w:r w:rsidRPr="00240E46">
        <w:rPr>
          <w:lang w:val="en-GB"/>
        </w:rPr>
        <w:t xml:space="preserve"> occurs when the service fails to meet the baseline expectation, resulting in immediate dissatisfaction. Because hospitality services are fundamentally experiential and intangible, expectations create a highly sensitive psychological filter. A minor delay that might be tolerated in a budget motel can be perceived as an egregious operational failure at a luxury resort, demonstrating that guest expectations dictate the final interpretation of service quality.</w:t>
      </w:r>
    </w:p>
    <w:p w14:paraId="6C33F07F" w14:textId="77777777" w:rsidR="00240E46" w:rsidRPr="00240E46" w:rsidRDefault="00240E46" w:rsidP="00240E46">
      <w:pPr>
        <w:pStyle w:val="ListParagraph"/>
        <w:spacing w:line="276" w:lineRule="auto"/>
        <w:rPr>
          <w:b/>
          <w:bCs/>
          <w:lang w:val="en-GB"/>
        </w:rPr>
      </w:pPr>
      <w:r w:rsidRPr="00240E46">
        <w:rPr>
          <w:b/>
          <w:bCs/>
          <w:lang w:val="en-GB"/>
        </w:rPr>
        <w:t>Part 2: Case Study Analysis – The Front Desk Encounter</w:t>
      </w:r>
    </w:p>
    <w:p w14:paraId="1F9E27B5" w14:textId="77777777" w:rsidR="00240E46" w:rsidRPr="00240E46" w:rsidRDefault="00240E46" w:rsidP="00240E46">
      <w:pPr>
        <w:pStyle w:val="ListParagraph"/>
        <w:spacing w:line="276" w:lineRule="auto"/>
        <w:rPr>
          <w:b/>
          <w:bCs/>
          <w:lang w:val="en-GB"/>
        </w:rPr>
      </w:pPr>
      <w:r w:rsidRPr="00240E46">
        <w:rPr>
          <w:b/>
          <w:bCs/>
          <w:lang w:val="en-GB"/>
        </w:rPr>
        <w:t>Components of the Guest Experience Negatively Affected</w:t>
      </w:r>
    </w:p>
    <w:p w14:paraId="11661011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>The scenario described in image_28947d.png highlights a multi-layered breakdown at the most critical touchpoint of the guest lifecycle. The specific elements compromised include:</w:t>
      </w:r>
    </w:p>
    <w:p w14:paraId="13831054" w14:textId="77777777" w:rsidR="00240E46" w:rsidRPr="00240E46" w:rsidRDefault="00240E46" w:rsidP="00240E46">
      <w:pPr>
        <w:pStyle w:val="ListParagraph"/>
        <w:numPr>
          <w:ilvl w:val="0"/>
          <w:numId w:val="22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The Procedural Dimension:</w:t>
      </w:r>
      <w:r w:rsidRPr="00240E46">
        <w:rPr>
          <w:lang w:val="en-GB"/>
        </w:rPr>
        <w:t xml:space="preserve"> The front desk staff's slowness represents a failure in operational efficiency. It demonstrates rigid or poorly optimized workflows that artificially extend a guest's waiting time.</w:t>
      </w:r>
    </w:p>
    <w:p w14:paraId="26162A2E" w14:textId="77777777" w:rsidR="00240E46" w:rsidRPr="00240E46" w:rsidRDefault="00240E46" w:rsidP="00240E46">
      <w:pPr>
        <w:pStyle w:val="ListParagraph"/>
        <w:numPr>
          <w:ilvl w:val="0"/>
          <w:numId w:val="22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The Interpersonal/Expressive Dimension:</w:t>
      </w:r>
      <w:r w:rsidRPr="00240E46">
        <w:rPr>
          <w:lang w:val="en-GB"/>
        </w:rPr>
        <w:t xml:space="preserve"> The staff's unfriendly </w:t>
      </w:r>
      <w:proofErr w:type="spellStart"/>
      <w:r w:rsidRPr="00240E46">
        <w:rPr>
          <w:lang w:val="en-GB"/>
        </w:rPr>
        <w:t>demeanor</w:t>
      </w:r>
      <w:proofErr w:type="spellEnd"/>
      <w:r w:rsidRPr="00240E46">
        <w:rPr>
          <w:lang w:val="en-GB"/>
        </w:rPr>
        <w:t xml:space="preserve"> completely strips away the hospitality aspect of the interaction. It fails to convey warmth, respect, or empathy, leaving the </w:t>
      </w:r>
      <w:proofErr w:type="spellStart"/>
      <w:r w:rsidRPr="00240E46">
        <w:rPr>
          <w:lang w:val="en-GB"/>
        </w:rPr>
        <w:t>traveler</w:t>
      </w:r>
      <w:proofErr w:type="spellEnd"/>
      <w:r w:rsidRPr="00240E46">
        <w:rPr>
          <w:lang w:val="en-GB"/>
        </w:rPr>
        <w:t xml:space="preserve"> feeling processed rather than hosted.</w:t>
      </w:r>
    </w:p>
    <w:p w14:paraId="3B5CDB03" w14:textId="77777777" w:rsidR="00240E46" w:rsidRPr="00240E46" w:rsidRDefault="00240E46" w:rsidP="00240E46">
      <w:pPr>
        <w:pStyle w:val="ListParagraph"/>
        <w:numPr>
          <w:ilvl w:val="0"/>
          <w:numId w:val="22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The Cognitive/Informational Dimension:</w:t>
      </w:r>
      <w:r w:rsidRPr="00240E46">
        <w:rPr>
          <w:lang w:val="en-GB"/>
        </w:rPr>
        <w:t xml:space="preserve"> Being unable to answer basic questions signals poor training and a lack of job competence. This destroys the guest’s psychological safety, as they lose confidence in the staff's ability to assist them during emergencies.</w:t>
      </w:r>
    </w:p>
    <w:p w14:paraId="744AD3AF" w14:textId="77777777" w:rsidR="00240E46" w:rsidRPr="00240E46" w:rsidRDefault="00240E46" w:rsidP="00240E46">
      <w:pPr>
        <w:pStyle w:val="ListParagraph"/>
        <w:spacing w:line="276" w:lineRule="auto"/>
        <w:rPr>
          <w:b/>
          <w:bCs/>
          <w:lang w:val="en-GB"/>
        </w:rPr>
      </w:pPr>
      <w:r w:rsidRPr="00240E46">
        <w:rPr>
          <w:b/>
          <w:bCs/>
          <w:lang w:val="en-GB"/>
        </w:rPr>
        <w:t>Influence on the Guest’s Perception of the Hotel</w:t>
      </w:r>
    </w:p>
    <w:p w14:paraId="75A7D95B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 xml:space="preserve">An exhausted international </w:t>
      </w:r>
      <w:proofErr w:type="spellStart"/>
      <w:r w:rsidRPr="00240E46">
        <w:rPr>
          <w:lang w:val="en-GB"/>
        </w:rPr>
        <w:t>traveler</w:t>
      </w:r>
      <w:proofErr w:type="spellEnd"/>
      <w:r w:rsidRPr="00240E46">
        <w:rPr>
          <w:lang w:val="en-GB"/>
        </w:rPr>
        <w:t xml:space="preserve"> is already under heightened physical and cognitive stress. According to the </w:t>
      </w:r>
      <w:r w:rsidRPr="00240E46">
        <w:rPr>
          <w:b/>
          <w:bCs/>
          <w:lang w:val="en-GB"/>
        </w:rPr>
        <w:t>Assimilation-Contrast Theory</w:t>
      </w:r>
      <w:r w:rsidRPr="00240E46">
        <w:rPr>
          <w:lang w:val="en-GB"/>
        </w:rPr>
        <w:t xml:space="preserve"> (Cardozo, 1965), when a service performance falls vastly below expectations, the consumer tends to </w:t>
      </w:r>
      <w:r w:rsidRPr="00240E46">
        <w:rPr>
          <w:lang w:val="en-GB"/>
        </w:rPr>
        <w:lastRenderedPageBreak/>
        <w:t>exaggerate the disparity, perceiving the entire hotel environment through a highly negative lens.</w:t>
      </w:r>
    </w:p>
    <w:p w14:paraId="434A70C5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 xml:space="preserve">This poor initial interaction triggers a negative </w:t>
      </w:r>
      <w:r w:rsidRPr="00240E46">
        <w:rPr>
          <w:b/>
          <w:bCs/>
          <w:lang w:val="en-GB"/>
        </w:rPr>
        <w:t>"First Impression Effect."</w:t>
      </w:r>
      <w:r w:rsidRPr="00240E46">
        <w:rPr>
          <w:lang w:val="en-GB"/>
        </w:rPr>
        <w:t xml:space="preserve"> The guest will likely internalize a belief that the property is poorly managed and unprofessional. Consequently, they will approach the remainder of their stay with hyper-vigilance, actively searching for other flaws (such as housekeeping issues or dining delays) that might otherwise have gone unnoticed. This heavily increases the likelihood of a permanent negative attitude toward the parent brand and drives severe negative word-of-mouth online.</w:t>
      </w:r>
    </w:p>
    <w:p w14:paraId="19D50106" w14:textId="77777777" w:rsidR="00240E46" w:rsidRPr="00240E46" w:rsidRDefault="00240E46" w:rsidP="00240E46">
      <w:pPr>
        <w:pStyle w:val="ListParagraph"/>
        <w:spacing w:line="276" w:lineRule="auto"/>
        <w:rPr>
          <w:b/>
          <w:bCs/>
          <w:lang w:val="en-GB"/>
        </w:rPr>
      </w:pPr>
      <w:r w:rsidRPr="00240E46">
        <w:rPr>
          <w:b/>
          <w:bCs/>
          <w:lang w:val="en-GB"/>
        </w:rPr>
        <w:t>Strategic Management Interventions</w:t>
      </w:r>
    </w:p>
    <w:p w14:paraId="1B94F349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lang w:val="en-GB"/>
        </w:rPr>
        <w:t>To remedy this specific scenario and prevent its systemic recurrence, management must execute a dual-layered intervention strategy:</w:t>
      </w:r>
    </w:p>
    <w:p w14:paraId="2775EAFC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4DEB15B4" w14:textId="3E2EE0E1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Immediate Service Recovery:</w:t>
      </w:r>
    </w:p>
    <w:p w14:paraId="4EAC6864" w14:textId="77777777" w:rsidR="00240E46" w:rsidRPr="00240E46" w:rsidRDefault="00240E46" w:rsidP="00240E46">
      <w:pPr>
        <w:pStyle w:val="ListParagraph"/>
        <w:numPr>
          <w:ilvl w:val="0"/>
          <w:numId w:val="23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Active Intermediation:</w:t>
      </w:r>
      <w:r w:rsidRPr="00240E46">
        <w:rPr>
          <w:lang w:val="en-GB"/>
        </w:rPr>
        <w:t xml:space="preserve"> A supervisor must step in immediately to assume control of the check-in, neutralizing the tension.</w:t>
      </w:r>
    </w:p>
    <w:p w14:paraId="472DA18A" w14:textId="77777777" w:rsidR="00240E46" w:rsidRPr="00240E46" w:rsidRDefault="00240E46" w:rsidP="00240E46">
      <w:pPr>
        <w:pStyle w:val="ListParagraph"/>
        <w:numPr>
          <w:ilvl w:val="0"/>
          <w:numId w:val="23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Symbolic Compensation:</w:t>
      </w:r>
      <w:r w:rsidRPr="00240E46">
        <w:rPr>
          <w:lang w:val="en-GB"/>
        </w:rPr>
        <w:t xml:space="preserve"> To offset the physical toll of a long flight coupled with a poor welcome, the guest should be offered an immediate token of goodwill, such as a complimentary lounge pass, room upgrade, or waived resort fees. This swift response can effectively recalibrate customer goodwill (Bitner, 1990).</w:t>
      </w:r>
    </w:p>
    <w:p w14:paraId="3C9B0379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Long-Term Systemic Fixes:</w:t>
      </w:r>
    </w:p>
    <w:p w14:paraId="21E118B8" w14:textId="77777777" w:rsidR="00240E46" w:rsidRPr="00240E46" w:rsidRDefault="00240E46" w:rsidP="00240E46">
      <w:pPr>
        <w:pStyle w:val="ListParagraph"/>
        <w:numPr>
          <w:ilvl w:val="0"/>
          <w:numId w:val="24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Competency and Cross-Training:</w:t>
      </w:r>
      <w:r w:rsidRPr="00240E46">
        <w:rPr>
          <w:lang w:val="en-GB"/>
        </w:rPr>
        <w:t xml:space="preserve"> Management must mandate comprehensive onboarding and refresher courses focusing on product knowledge, local area information, and emotional intelligence. Frontline workers should pass rigid competency checks before operating solo.</w:t>
      </w:r>
    </w:p>
    <w:p w14:paraId="537E0390" w14:textId="77777777" w:rsidR="00240E46" w:rsidRDefault="00240E46" w:rsidP="00240E46">
      <w:pPr>
        <w:pStyle w:val="ListParagraph"/>
        <w:numPr>
          <w:ilvl w:val="0"/>
          <w:numId w:val="24"/>
        </w:numPr>
        <w:spacing w:line="276" w:lineRule="auto"/>
        <w:rPr>
          <w:lang w:val="en-GB"/>
        </w:rPr>
      </w:pPr>
      <w:r w:rsidRPr="00240E46">
        <w:rPr>
          <w:b/>
          <w:bCs/>
          <w:lang w:val="en-GB"/>
        </w:rPr>
        <w:t>PMS-Integrated Scheduling:</w:t>
      </w:r>
      <w:r w:rsidRPr="00240E46">
        <w:rPr>
          <w:lang w:val="en-GB"/>
        </w:rPr>
        <w:t xml:space="preserve"> Front office managers must cross-reference historical property management system (PMS) arrival schedules with flight data to strategically increase staffing levels during heavy international check-in windows, preventing bottleneck delays.</w:t>
      </w:r>
    </w:p>
    <w:p w14:paraId="1E0117B3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6109EBEC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00AE2250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13F7D734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0F552D13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3E4D9437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30F9B2A0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07C5F0A4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4D865CB4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18FB6D12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49DBC06B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363197A3" w14:textId="77777777" w:rsid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50CAF910" w14:textId="77777777" w:rsidR="00240E46" w:rsidRPr="00240E46" w:rsidRDefault="00240E46" w:rsidP="00240E46">
      <w:pPr>
        <w:pStyle w:val="ListParagraph"/>
        <w:spacing w:line="276" w:lineRule="auto"/>
        <w:rPr>
          <w:lang w:val="en-GB"/>
        </w:rPr>
      </w:pPr>
    </w:p>
    <w:p w14:paraId="245B9869" w14:textId="77777777" w:rsidR="00240E46" w:rsidRPr="00240E46" w:rsidRDefault="00240E46" w:rsidP="00240E46">
      <w:pPr>
        <w:pStyle w:val="ListParagraph"/>
        <w:spacing w:line="276" w:lineRule="auto"/>
        <w:rPr>
          <w:b/>
          <w:bCs/>
          <w:lang w:val="en-GB"/>
        </w:rPr>
      </w:pPr>
      <w:r w:rsidRPr="00240E46">
        <w:rPr>
          <w:b/>
          <w:bCs/>
          <w:lang w:val="en-GB"/>
        </w:rPr>
        <w:t>References</w:t>
      </w:r>
    </w:p>
    <w:p w14:paraId="68F2B99A" w14:textId="77777777" w:rsidR="00240E46" w:rsidRPr="00240E46" w:rsidRDefault="00240E46" w:rsidP="00240E46">
      <w:pPr>
        <w:pStyle w:val="ListParagraph"/>
        <w:numPr>
          <w:ilvl w:val="0"/>
          <w:numId w:val="25"/>
        </w:numPr>
        <w:spacing w:line="276" w:lineRule="auto"/>
        <w:rPr>
          <w:lang w:val="en-GB"/>
        </w:rPr>
      </w:pPr>
      <w:r w:rsidRPr="00240E46">
        <w:rPr>
          <w:lang w:val="en-GB"/>
        </w:rPr>
        <w:t xml:space="preserve">Bitner, M. J. (1990). Evaluating service encounters: The effects of physical surroundings and employee responses. </w:t>
      </w:r>
      <w:r w:rsidRPr="00240E46">
        <w:rPr>
          <w:i/>
          <w:iCs/>
          <w:lang w:val="en-GB"/>
        </w:rPr>
        <w:t>Journal of Marketing</w:t>
      </w:r>
      <w:r w:rsidRPr="00240E46">
        <w:rPr>
          <w:lang w:val="en-GB"/>
        </w:rPr>
        <w:t xml:space="preserve">, 54(2), 69-82. </w:t>
      </w:r>
      <w:hyperlink r:id="rId6" w:tgtFrame="_blank" w:history="1">
        <w:r w:rsidRPr="00240E46">
          <w:rPr>
            <w:rStyle w:val="Hyperlink"/>
            <w:lang w:val="en-GB"/>
          </w:rPr>
          <w:t>https://doi.org/10.1177/002224299005400206</w:t>
        </w:r>
      </w:hyperlink>
    </w:p>
    <w:p w14:paraId="42C73165" w14:textId="77777777" w:rsidR="00240E46" w:rsidRPr="00240E46" w:rsidRDefault="00240E46" w:rsidP="00240E46">
      <w:pPr>
        <w:pStyle w:val="ListParagraph"/>
        <w:numPr>
          <w:ilvl w:val="0"/>
          <w:numId w:val="25"/>
        </w:numPr>
        <w:spacing w:line="276" w:lineRule="auto"/>
        <w:rPr>
          <w:lang w:val="en-GB"/>
        </w:rPr>
      </w:pPr>
      <w:r w:rsidRPr="00240E46">
        <w:rPr>
          <w:lang w:val="en-GB"/>
        </w:rPr>
        <w:t xml:space="preserve">Cardozo, R. N. (1965). An experimental study of customer effort, expectation, and satisfaction. </w:t>
      </w:r>
      <w:r w:rsidRPr="00240E46">
        <w:rPr>
          <w:i/>
          <w:iCs/>
          <w:lang w:val="en-GB"/>
        </w:rPr>
        <w:t>Journal of Marketing Research</w:t>
      </w:r>
      <w:r w:rsidRPr="00240E46">
        <w:rPr>
          <w:lang w:val="en-GB"/>
        </w:rPr>
        <w:t xml:space="preserve">, 2(3), 244-249. </w:t>
      </w:r>
      <w:hyperlink r:id="rId7" w:tgtFrame="_blank" w:history="1">
        <w:r w:rsidRPr="00240E46">
          <w:rPr>
            <w:rStyle w:val="Hyperlink"/>
            <w:lang w:val="en-GB"/>
          </w:rPr>
          <w:t>https://doi.org/10.1177/002224376500200303</w:t>
        </w:r>
      </w:hyperlink>
    </w:p>
    <w:p w14:paraId="6EBED178" w14:textId="77777777" w:rsidR="00240E46" w:rsidRPr="00240E46" w:rsidRDefault="00240E46" w:rsidP="00240E46">
      <w:pPr>
        <w:pStyle w:val="ListParagraph"/>
        <w:numPr>
          <w:ilvl w:val="0"/>
          <w:numId w:val="25"/>
        </w:numPr>
        <w:spacing w:line="276" w:lineRule="auto"/>
        <w:rPr>
          <w:lang w:val="en-GB"/>
        </w:rPr>
      </w:pPr>
      <w:r w:rsidRPr="00240E46">
        <w:rPr>
          <w:lang w:val="en-GB"/>
        </w:rPr>
        <w:t xml:space="preserve">Olshavsky, R. W., &amp; Miller, J. A. (1972). Consumer expectations, product performance, and perceived product quality. </w:t>
      </w:r>
      <w:r w:rsidRPr="00240E46">
        <w:rPr>
          <w:i/>
          <w:iCs/>
          <w:lang w:val="en-GB"/>
        </w:rPr>
        <w:t>Journal of Marketing Research</w:t>
      </w:r>
      <w:r w:rsidRPr="00240E46">
        <w:rPr>
          <w:lang w:val="en-GB"/>
        </w:rPr>
        <w:t xml:space="preserve">, 9(1), 19-21. </w:t>
      </w:r>
      <w:hyperlink r:id="rId8" w:tgtFrame="_blank" w:history="1">
        <w:r w:rsidRPr="00240E46">
          <w:rPr>
            <w:rStyle w:val="Hyperlink"/>
            <w:lang w:val="en-GB"/>
          </w:rPr>
          <w:t>https://doi.org/10.1177/002224377200900104</w:t>
        </w:r>
      </w:hyperlink>
    </w:p>
    <w:p w14:paraId="2976EA5F" w14:textId="77777777" w:rsidR="00240E46" w:rsidRPr="00240E46" w:rsidRDefault="00240E46" w:rsidP="00240E46">
      <w:pPr>
        <w:pStyle w:val="ListParagraph"/>
        <w:numPr>
          <w:ilvl w:val="0"/>
          <w:numId w:val="25"/>
        </w:numPr>
        <w:spacing w:line="276" w:lineRule="auto"/>
        <w:rPr>
          <w:lang w:val="en-GB"/>
        </w:rPr>
      </w:pPr>
      <w:r w:rsidRPr="00240E46">
        <w:rPr>
          <w:lang w:val="en-GB"/>
        </w:rPr>
        <w:t xml:space="preserve">Sparks, B. A., &amp; Browning, V. (2011). The impact of online reviews on hotel booking intentions and perception of trust. </w:t>
      </w:r>
      <w:r w:rsidRPr="00240E46">
        <w:rPr>
          <w:i/>
          <w:iCs/>
          <w:lang w:val="en-GB"/>
        </w:rPr>
        <w:t>Tourism Management</w:t>
      </w:r>
      <w:r w:rsidRPr="00240E46">
        <w:rPr>
          <w:lang w:val="en-GB"/>
        </w:rPr>
        <w:t xml:space="preserve">, 32(6), 1310-1323. </w:t>
      </w:r>
      <w:hyperlink r:id="rId9" w:tgtFrame="_blank" w:history="1">
        <w:r w:rsidRPr="00240E46">
          <w:rPr>
            <w:rStyle w:val="Hyperlink"/>
            <w:lang w:val="en-GB"/>
          </w:rPr>
          <w:t>https://doi.org/10.1016/j.tourman.2010.12.011</w:t>
        </w:r>
      </w:hyperlink>
    </w:p>
    <w:p w14:paraId="16E5C8F3" w14:textId="77777777" w:rsidR="00240E46" w:rsidRPr="00927A25" w:rsidRDefault="00240E46" w:rsidP="00927A25">
      <w:pPr>
        <w:pStyle w:val="ListParagraph"/>
        <w:spacing w:line="276" w:lineRule="auto"/>
        <w:ind w:left="0"/>
        <w:rPr>
          <w:lang w:val="en-US"/>
        </w:rPr>
      </w:pPr>
    </w:p>
    <w:sectPr w:rsidR="00240E46" w:rsidRPr="00927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491DD93-140A-4638-9739-9293D44840D7}"/>
    <w:embedBold r:id="rId2" w:fontKey="{70C884EE-C5A3-4EE1-AF8A-B0FED076036D}"/>
    <w:embedItalic r:id="rId3" w:fontKey="{9C6D78B3-CC66-4E58-9109-C3CA71B5B3D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8F80CBF-681D-48CD-AB3B-925FA0F27EC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DB86A0FA-7921-46C2-B9BE-A21162A5CE7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835CA8"/>
    <w:multiLevelType w:val="multilevel"/>
    <w:tmpl w:val="B3DA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F678B"/>
    <w:multiLevelType w:val="hybridMultilevel"/>
    <w:tmpl w:val="17B623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65F8F"/>
    <w:multiLevelType w:val="multilevel"/>
    <w:tmpl w:val="8506D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D132F"/>
    <w:multiLevelType w:val="hybridMultilevel"/>
    <w:tmpl w:val="696E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442B1"/>
    <w:multiLevelType w:val="multilevel"/>
    <w:tmpl w:val="67B0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7B0"/>
    <w:multiLevelType w:val="multilevel"/>
    <w:tmpl w:val="7B72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C73D4B"/>
    <w:multiLevelType w:val="hybridMultilevel"/>
    <w:tmpl w:val="52284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C2765"/>
    <w:multiLevelType w:val="multilevel"/>
    <w:tmpl w:val="04A2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93101C"/>
    <w:multiLevelType w:val="multilevel"/>
    <w:tmpl w:val="6BB0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A300A5"/>
    <w:multiLevelType w:val="multilevel"/>
    <w:tmpl w:val="C9DA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153FA9"/>
    <w:multiLevelType w:val="hybridMultilevel"/>
    <w:tmpl w:val="D67CD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975"/>
    <w:multiLevelType w:val="hybridMultilevel"/>
    <w:tmpl w:val="3B6C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568E8"/>
    <w:multiLevelType w:val="multilevel"/>
    <w:tmpl w:val="C51E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953F47"/>
    <w:multiLevelType w:val="hybridMultilevel"/>
    <w:tmpl w:val="9F96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81994"/>
    <w:multiLevelType w:val="hybridMultilevel"/>
    <w:tmpl w:val="FDE4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2C2E49"/>
    <w:multiLevelType w:val="multilevel"/>
    <w:tmpl w:val="DEC2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B14BA1"/>
    <w:multiLevelType w:val="hybridMultilevel"/>
    <w:tmpl w:val="30F47D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12"/>
  </w:num>
  <w:num w:numId="2" w16cid:durableId="1012683535">
    <w:abstractNumId w:val="2"/>
  </w:num>
  <w:num w:numId="3" w16cid:durableId="1882092387">
    <w:abstractNumId w:val="16"/>
  </w:num>
  <w:num w:numId="4" w16cid:durableId="1544052912">
    <w:abstractNumId w:val="0"/>
  </w:num>
  <w:num w:numId="5" w16cid:durableId="1976175921">
    <w:abstractNumId w:val="8"/>
  </w:num>
  <w:num w:numId="6" w16cid:durableId="1741564058">
    <w:abstractNumId w:val="11"/>
  </w:num>
  <w:num w:numId="7" w16cid:durableId="192623156">
    <w:abstractNumId w:val="5"/>
  </w:num>
  <w:num w:numId="8" w16cid:durableId="378478015">
    <w:abstractNumId w:val="24"/>
  </w:num>
  <w:num w:numId="9" w16cid:durableId="982736017">
    <w:abstractNumId w:val="18"/>
  </w:num>
  <w:num w:numId="10" w16cid:durableId="1321621996">
    <w:abstractNumId w:val="20"/>
  </w:num>
  <w:num w:numId="11" w16cid:durableId="646325083">
    <w:abstractNumId w:val="3"/>
  </w:num>
  <w:num w:numId="12" w16cid:durableId="1195771833">
    <w:abstractNumId w:val="23"/>
  </w:num>
  <w:num w:numId="13" w16cid:durableId="193731801">
    <w:abstractNumId w:val="21"/>
  </w:num>
  <w:num w:numId="14" w16cid:durableId="673266209">
    <w:abstractNumId w:val="6"/>
  </w:num>
  <w:num w:numId="15" w16cid:durableId="1781879228">
    <w:abstractNumId w:val="10"/>
  </w:num>
  <w:num w:numId="16" w16cid:durableId="1668093758">
    <w:abstractNumId w:val="17"/>
  </w:num>
  <w:num w:numId="17" w16cid:durableId="2083599249">
    <w:abstractNumId w:val="15"/>
  </w:num>
  <w:num w:numId="18" w16cid:durableId="42409511">
    <w:abstractNumId w:val="19"/>
  </w:num>
  <w:num w:numId="19" w16cid:durableId="1808430736">
    <w:abstractNumId w:val="1"/>
  </w:num>
  <w:num w:numId="20" w16cid:durableId="822887494">
    <w:abstractNumId w:val="9"/>
  </w:num>
  <w:num w:numId="21" w16cid:durableId="1835948545">
    <w:abstractNumId w:val="22"/>
  </w:num>
  <w:num w:numId="22" w16cid:durableId="2038575656">
    <w:abstractNumId w:val="14"/>
  </w:num>
  <w:num w:numId="23" w16cid:durableId="101071099">
    <w:abstractNumId w:val="13"/>
  </w:num>
  <w:num w:numId="24" w16cid:durableId="878476653">
    <w:abstractNumId w:val="7"/>
  </w:num>
  <w:num w:numId="25" w16cid:durableId="556018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674E1"/>
    <w:rsid w:val="001700EC"/>
    <w:rsid w:val="00174BB1"/>
    <w:rsid w:val="001E08D1"/>
    <w:rsid w:val="00223DDB"/>
    <w:rsid w:val="00224FD9"/>
    <w:rsid w:val="00240E46"/>
    <w:rsid w:val="002F4AE0"/>
    <w:rsid w:val="00384E8A"/>
    <w:rsid w:val="003C006E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27A25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  <w:rsid w:val="00FC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CC2A9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A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A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https%3A%2F%2Fdoi.org%2F10.1177%2F0022243772009001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https://doi.org/10.1177/0022243765002003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002224299005400206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https%3A%2F%2Fdoi.org%2F10.1016%2Fj.tourman.2010.12.011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943</Words>
  <Characters>5380</Characters>
  <Application>Microsoft Office Word</Application>
  <DocSecurity>0</DocSecurity>
  <Lines>44</Lines>
  <Paragraphs>12</Paragraphs>
  <ScaleCrop>false</ScaleCrop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2026-06-23T15:14:00Z</dcterms:created>
  <dcterms:modified xsi:type="dcterms:W3CDTF">2026-06-23T15:14:00Z</dcterms:modified>
</cp:coreProperties>
</file>