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7F2CD" w14:textId="77777777" w:rsidR="004A33E3" w:rsidRPr="000027A3" w:rsidRDefault="004A33E3" w:rsidP="004A33E3">
      <w:pPr>
        <w:rPr>
          <w:rFonts w:ascii="Arial Narrow" w:hAnsi="Arial Narrow" w:cs="Calibri"/>
          <w:lang w:val="en-US"/>
        </w:rPr>
      </w:pPr>
      <w:r w:rsidRPr="000027A3">
        <w:rPr>
          <w:rFonts w:ascii="Arial Narrow" w:hAnsi="Arial Narrow" w:cs="Calibri"/>
          <w:noProof/>
          <w:lang w:val="en-US"/>
        </w:rPr>
        <w:drawing>
          <wp:anchor distT="0" distB="0" distL="114300" distR="114300" simplePos="0" relativeHeight="251659264" behindDoc="1" locked="0" layoutInCell="1" allowOverlap="1" wp14:anchorId="3FB4EB88" wp14:editId="1ABCA7E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FCA5798" w14:textId="77777777" w:rsidR="004A33E3" w:rsidRPr="000027A3" w:rsidRDefault="004A33E3" w:rsidP="004A33E3">
      <w:pPr>
        <w:rPr>
          <w:rFonts w:ascii="Arial Narrow" w:hAnsi="Arial Narrow" w:cs="Calibri"/>
          <w:b/>
          <w:bCs/>
          <w:lang w:val="en-US"/>
        </w:rPr>
      </w:pPr>
      <w:r w:rsidRPr="000027A3">
        <w:rPr>
          <w:rFonts w:ascii="Arial Narrow" w:hAnsi="Arial Narrow" w:cs="Calibri"/>
          <w:b/>
          <w:bCs/>
          <w:lang w:val="en-US"/>
        </w:rPr>
        <w:t>Tourism Law and Legislation</w:t>
      </w:r>
    </w:p>
    <w:p w14:paraId="708F5A1A" w14:textId="77777777" w:rsidR="004A33E3" w:rsidRPr="000027A3" w:rsidRDefault="004A33E3" w:rsidP="004A33E3">
      <w:pPr>
        <w:rPr>
          <w:rFonts w:ascii="Arial Narrow" w:hAnsi="Arial Narrow" w:cs="Calibri"/>
          <w:lang w:val="en-US"/>
        </w:rPr>
      </w:pPr>
      <w:r w:rsidRPr="000027A3">
        <w:rPr>
          <w:rFonts w:ascii="Arial Narrow" w:hAnsi="Arial Narrow" w:cs="Calibri"/>
          <w:lang w:val="en-US"/>
        </w:rPr>
        <w:t>Assignment 9</w:t>
      </w:r>
    </w:p>
    <w:p w14:paraId="46808943" w14:textId="77777777" w:rsidR="004A33E3" w:rsidRPr="000027A3" w:rsidRDefault="004A33E3" w:rsidP="004A33E3">
      <w:pPr>
        <w:rPr>
          <w:rFonts w:ascii="Arial Narrow" w:hAnsi="Arial Narrow" w:cs="Calibri"/>
          <w:lang w:val="en-US"/>
        </w:rPr>
      </w:pPr>
      <w:r w:rsidRPr="000027A3">
        <w:rPr>
          <w:rFonts w:ascii="Arial Narrow" w:hAnsi="Arial Narrow" w:cs="Calibri"/>
          <w:lang w:val="en-US"/>
        </w:rPr>
        <w:t>25.02.2026</w:t>
      </w:r>
    </w:p>
    <w:p w14:paraId="4C1EA5E2" w14:textId="77777777" w:rsidR="004A33E3" w:rsidRPr="000027A3" w:rsidRDefault="004A33E3" w:rsidP="004A33E3">
      <w:pPr>
        <w:rPr>
          <w:rFonts w:ascii="Arial Narrow" w:hAnsi="Arial Narrow" w:cs="Calibri"/>
        </w:rPr>
      </w:pPr>
    </w:p>
    <w:p w14:paraId="4ECEA113" w14:textId="77777777" w:rsidR="004A33E3" w:rsidRPr="000027A3" w:rsidRDefault="004A33E3" w:rsidP="004A33E3">
      <w:pPr>
        <w:rPr>
          <w:rFonts w:ascii="Arial Narrow" w:hAnsi="Arial Narrow" w:cs="Calibri"/>
        </w:rPr>
      </w:pPr>
    </w:p>
    <w:p w14:paraId="680624CD" w14:textId="77777777" w:rsidR="004A33E3" w:rsidRPr="000027A3" w:rsidRDefault="004A33E3" w:rsidP="004A33E3">
      <w:pPr>
        <w:rPr>
          <w:rFonts w:ascii="Arial Narrow" w:hAnsi="Arial Narrow" w:cs="Calibri"/>
        </w:rPr>
      </w:pPr>
    </w:p>
    <w:p w14:paraId="4EBEB094" w14:textId="77777777" w:rsidR="004A33E3" w:rsidRPr="000027A3" w:rsidRDefault="004A33E3" w:rsidP="004A33E3">
      <w:pPr>
        <w:rPr>
          <w:rFonts w:ascii="Arial Narrow" w:hAnsi="Arial Narrow" w:cs="Calibri"/>
        </w:rPr>
      </w:pPr>
    </w:p>
    <w:p w14:paraId="0488EB05" w14:textId="77777777" w:rsidR="004A33E3" w:rsidRPr="000027A3" w:rsidRDefault="004A33E3" w:rsidP="004A33E3">
      <w:pPr>
        <w:rPr>
          <w:rFonts w:ascii="Arial Narrow" w:hAnsi="Arial Narrow" w:cs="Calibri"/>
        </w:rPr>
      </w:pPr>
    </w:p>
    <w:p w14:paraId="13ACDCB6" w14:textId="77777777" w:rsidR="004A33E3" w:rsidRPr="000027A3" w:rsidRDefault="004A33E3" w:rsidP="004A33E3">
      <w:pPr>
        <w:rPr>
          <w:rFonts w:ascii="Arial Narrow" w:hAnsi="Arial Narrow" w:cs="Calibri"/>
        </w:rPr>
      </w:pPr>
    </w:p>
    <w:p w14:paraId="699BE6F0" w14:textId="77777777" w:rsidR="004A33E3" w:rsidRPr="000027A3" w:rsidRDefault="004A33E3" w:rsidP="004A33E3">
      <w:pPr>
        <w:rPr>
          <w:rFonts w:ascii="Arial Narrow" w:hAnsi="Arial Narrow" w:cs="Calibri"/>
        </w:rPr>
      </w:pPr>
    </w:p>
    <w:p w14:paraId="1CF78791" w14:textId="77777777" w:rsidR="004A33E3" w:rsidRPr="000027A3" w:rsidRDefault="004A33E3" w:rsidP="004A33E3">
      <w:pPr>
        <w:rPr>
          <w:rFonts w:ascii="Arial Narrow" w:hAnsi="Arial Narrow" w:cs="Calibri"/>
        </w:rPr>
      </w:pPr>
    </w:p>
    <w:p w14:paraId="5F187B3F" w14:textId="77777777" w:rsidR="004A33E3" w:rsidRPr="000027A3" w:rsidRDefault="004A33E3" w:rsidP="004A33E3">
      <w:pPr>
        <w:rPr>
          <w:rFonts w:ascii="Arial Narrow" w:hAnsi="Arial Narrow" w:cs="Calibri"/>
        </w:rPr>
      </w:pPr>
    </w:p>
    <w:p w14:paraId="493D1B38" w14:textId="77777777" w:rsidR="004A33E3" w:rsidRPr="000027A3" w:rsidRDefault="004A33E3" w:rsidP="004A33E3">
      <w:pPr>
        <w:rPr>
          <w:rFonts w:ascii="Arial Narrow" w:hAnsi="Arial Narrow" w:cs="Calibri"/>
        </w:rPr>
      </w:pPr>
    </w:p>
    <w:p w14:paraId="484A0C6F" w14:textId="77777777" w:rsidR="004A33E3" w:rsidRPr="000027A3" w:rsidRDefault="004A33E3" w:rsidP="004A33E3">
      <w:pPr>
        <w:rPr>
          <w:rFonts w:ascii="Arial Narrow" w:hAnsi="Arial Narrow" w:cs="Calibri"/>
        </w:rPr>
      </w:pPr>
    </w:p>
    <w:p w14:paraId="5BCBD70A" w14:textId="77777777" w:rsidR="004A33E3" w:rsidRPr="000027A3" w:rsidRDefault="004A33E3" w:rsidP="004A33E3">
      <w:pPr>
        <w:rPr>
          <w:rFonts w:ascii="Arial Narrow" w:hAnsi="Arial Narrow" w:cs="Calibri"/>
        </w:rPr>
      </w:pPr>
    </w:p>
    <w:p w14:paraId="360576DF" w14:textId="77777777" w:rsidR="004A33E3" w:rsidRPr="000027A3" w:rsidRDefault="004A33E3" w:rsidP="004A33E3">
      <w:pPr>
        <w:rPr>
          <w:rFonts w:ascii="Arial Narrow" w:hAnsi="Arial Narrow" w:cs="Calibri"/>
        </w:rPr>
      </w:pPr>
    </w:p>
    <w:p w14:paraId="0AAE137E" w14:textId="77777777" w:rsidR="004A33E3" w:rsidRPr="000027A3" w:rsidRDefault="004A33E3" w:rsidP="004A33E3">
      <w:pPr>
        <w:spacing w:line="276" w:lineRule="auto"/>
        <w:rPr>
          <w:rFonts w:ascii="Arial Narrow" w:hAnsi="Arial Narrow" w:cs="Calibri"/>
          <w:b/>
          <w:bCs/>
          <w:lang w:val="en-US"/>
        </w:rPr>
      </w:pPr>
      <w:r w:rsidRPr="000027A3">
        <w:rPr>
          <w:rFonts w:ascii="Arial Narrow" w:hAnsi="Arial Narrow" w:cs="Calibri"/>
          <w:b/>
          <w:bCs/>
          <w:lang w:val="en-US"/>
        </w:rPr>
        <w:t>In no more than 1000 words, each explain and 2-4 references:</w:t>
      </w:r>
    </w:p>
    <w:p w14:paraId="532E9161" w14:textId="77777777" w:rsidR="004A33E3" w:rsidRPr="000027A3" w:rsidRDefault="004A33E3" w:rsidP="004A33E3">
      <w:pPr>
        <w:spacing w:line="276" w:lineRule="auto"/>
        <w:rPr>
          <w:rFonts w:ascii="Arial Narrow" w:hAnsi="Arial Narrow" w:cs="Calibri"/>
          <w:b/>
          <w:bCs/>
          <w:lang w:val="en-US"/>
        </w:rPr>
      </w:pPr>
    </w:p>
    <w:p w14:paraId="3C8C1074" w14:textId="77777777" w:rsidR="004A33E3" w:rsidRPr="000027A3" w:rsidRDefault="004A33E3" w:rsidP="004A33E3">
      <w:pPr>
        <w:spacing w:line="276" w:lineRule="auto"/>
        <w:rPr>
          <w:rFonts w:ascii="Arial Narrow" w:hAnsi="Arial Narrow" w:cs="Calibri"/>
          <w:b/>
          <w:bCs/>
          <w:lang w:val="en-US"/>
        </w:rPr>
      </w:pPr>
    </w:p>
    <w:p w14:paraId="6460004A" w14:textId="77777777" w:rsidR="004A33E3" w:rsidRPr="000027A3" w:rsidRDefault="004A33E3" w:rsidP="004A33E3">
      <w:pPr>
        <w:spacing w:line="276" w:lineRule="auto"/>
        <w:rPr>
          <w:rFonts w:ascii="Arial Narrow" w:hAnsi="Arial Narrow" w:cs="Calibri"/>
          <w:lang w:val="en-US"/>
        </w:rPr>
      </w:pPr>
    </w:p>
    <w:p w14:paraId="51F80208" w14:textId="77777777" w:rsidR="004A33E3" w:rsidRPr="000027A3" w:rsidRDefault="004A33E3" w:rsidP="004A33E3">
      <w:pPr>
        <w:spacing w:line="276" w:lineRule="auto"/>
        <w:rPr>
          <w:rFonts w:ascii="Arial Narrow" w:hAnsi="Arial Narrow" w:cs="Calibri"/>
          <w:lang w:val="en-US"/>
        </w:rPr>
      </w:pPr>
      <w:r w:rsidRPr="000027A3">
        <w:rPr>
          <w:rFonts w:ascii="Arial Narrow" w:hAnsi="Arial Narrow" w:cs="Calibri"/>
          <w:lang w:val="en-US"/>
        </w:rPr>
        <w:t>1- Define an accommodation contract. What are the essential legal elements required for its validity?</w:t>
      </w:r>
    </w:p>
    <w:p w14:paraId="3272BD01" w14:textId="77777777" w:rsidR="004A33E3" w:rsidRPr="000027A3" w:rsidRDefault="004A33E3" w:rsidP="004A33E3">
      <w:pPr>
        <w:spacing w:line="276" w:lineRule="auto"/>
        <w:rPr>
          <w:rFonts w:ascii="Arial Narrow" w:hAnsi="Arial Narrow" w:cs="Calibri"/>
          <w:lang w:val="en-US"/>
        </w:rPr>
      </w:pPr>
    </w:p>
    <w:p w14:paraId="76C9AFDE" w14:textId="77777777" w:rsidR="004A33E3" w:rsidRPr="000027A3" w:rsidRDefault="004A33E3" w:rsidP="004A33E3">
      <w:pPr>
        <w:spacing w:line="276" w:lineRule="auto"/>
        <w:rPr>
          <w:rFonts w:ascii="Arial Narrow" w:hAnsi="Arial Narrow" w:cs="Calibri"/>
          <w:lang w:val="en-US"/>
        </w:rPr>
      </w:pPr>
      <w:r w:rsidRPr="000027A3">
        <w:rPr>
          <w:rFonts w:ascii="Arial Narrow" w:hAnsi="Arial Narrow" w:cs="Calibri"/>
          <w:lang w:val="en-US"/>
        </w:rPr>
        <w:t>2- Identify and explain the main parties involved in:</w:t>
      </w:r>
    </w:p>
    <w:p w14:paraId="326CD60E" w14:textId="77777777" w:rsidR="004A33E3" w:rsidRPr="000027A3" w:rsidRDefault="004A33E3" w:rsidP="004A33E3">
      <w:pPr>
        <w:pStyle w:val="ListParagraph"/>
        <w:numPr>
          <w:ilvl w:val="0"/>
          <w:numId w:val="1"/>
        </w:numPr>
        <w:spacing w:line="276" w:lineRule="auto"/>
        <w:rPr>
          <w:rFonts w:ascii="Arial Narrow" w:hAnsi="Arial Narrow" w:cs="Calibri"/>
          <w:lang w:val="en-US"/>
        </w:rPr>
      </w:pPr>
      <w:r w:rsidRPr="000027A3">
        <w:rPr>
          <w:rFonts w:ascii="Arial Narrow" w:hAnsi="Arial Narrow" w:cs="Calibri"/>
          <w:lang w:val="en-US"/>
        </w:rPr>
        <w:t>Direct hotel booking</w:t>
      </w:r>
    </w:p>
    <w:p w14:paraId="145C9B0D" w14:textId="77777777" w:rsidR="004A33E3" w:rsidRPr="000027A3" w:rsidRDefault="004A33E3" w:rsidP="004A33E3">
      <w:pPr>
        <w:pStyle w:val="ListParagraph"/>
        <w:numPr>
          <w:ilvl w:val="0"/>
          <w:numId w:val="1"/>
        </w:numPr>
        <w:spacing w:line="276" w:lineRule="auto"/>
        <w:rPr>
          <w:rFonts w:ascii="Arial Narrow" w:hAnsi="Arial Narrow" w:cs="Calibri"/>
        </w:rPr>
      </w:pPr>
      <w:r w:rsidRPr="000027A3">
        <w:rPr>
          <w:rFonts w:ascii="Arial Narrow" w:hAnsi="Arial Narrow" w:cs="Calibri"/>
          <w:lang w:val="en-US"/>
        </w:rPr>
        <w:t>Booking through an online platform</w:t>
      </w:r>
    </w:p>
    <w:p w14:paraId="4440684A" w14:textId="77777777" w:rsidR="004A33E3" w:rsidRPr="000027A3" w:rsidRDefault="004A33E3">
      <w:pPr>
        <w:rPr>
          <w:rFonts w:ascii="Arial Narrow" w:hAnsi="Arial Narrow" w:cs="Calibri"/>
          <w:lang w:val="en-US"/>
        </w:rPr>
      </w:pPr>
    </w:p>
    <w:p w14:paraId="5A9DF312" w14:textId="77777777" w:rsidR="004A33E3" w:rsidRPr="000027A3" w:rsidRDefault="004A33E3">
      <w:pPr>
        <w:rPr>
          <w:rFonts w:ascii="Arial Narrow" w:hAnsi="Arial Narrow" w:cs="Calibri"/>
          <w:lang w:val="en-US"/>
        </w:rPr>
      </w:pPr>
    </w:p>
    <w:p w14:paraId="5038A7C9" w14:textId="77777777" w:rsidR="004A33E3" w:rsidRPr="000027A3" w:rsidRDefault="004A33E3">
      <w:pPr>
        <w:rPr>
          <w:rFonts w:ascii="Arial Narrow" w:hAnsi="Arial Narrow" w:cs="Calibri"/>
          <w:lang w:val="en-US"/>
        </w:rPr>
      </w:pPr>
    </w:p>
    <w:p w14:paraId="45096D74" w14:textId="77777777" w:rsidR="004A33E3" w:rsidRPr="000027A3" w:rsidRDefault="004A33E3">
      <w:pPr>
        <w:rPr>
          <w:rFonts w:ascii="Arial Narrow" w:hAnsi="Arial Narrow" w:cs="Calibri"/>
          <w:lang w:val="en-US"/>
        </w:rPr>
      </w:pPr>
    </w:p>
    <w:p w14:paraId="6F53ACE7" w14:textId="77777777" w:rsidR="004A33E3" w:rsidRPr="000027A3" w:rsidRDefault="004A33E3">
      <w:pPr>
        <w:rPr>
          <w:rFonts w:ascii="Arial Narrow" w:hAnsi="Arial Narrow" w:cs="Calibri"/>
          <w:lang w:val="en-US"/>
        </w:rPr>
      </w:pPr>
    </w:p>
    <w:p w14:paraId="0FC4E5E8" w14:textId="77777777" w:rsidR="004A33E3" w:rsidRPr="000027A3" w:rsidRDefault="004A33E3">
      <w:pPr>
        <w:rPr>
          <w:rFonts w:ascii="Arial Narrow" w:hAnsi="Arial Narrow" w:cs="Calibri"/>
          <w:lang w:val="en-US"/>
        </w:rPr>
      </w:pPr>
    </w:p>
    <w:p w14:paraId="2424C4D6" w14:textId="77777777" w:rsidR="004A33E3" w:rsidRPr="000027A3" w:rsidRDefault="004A33E3">
      <w:pPr>
        <w:rPr>
          <w:rFonts w:ascii="Arial Narrow" w:hAnsi="Arial Narrow" w:cs="Calibri"/>
          <w:lang w:val="en-US"/>
        </w:rPr>
      </w:pPr>
    </w:p>
    <w:p w14:paraId="63115507" w14:textId="77777777" w:rsidR="004A33E3" w:rsidRPr="000027A3" w:rsidRDefault="004A33E3">
      <w:pPr>
        <w:rPr>
          <w:rFonts w:ascii="Arial Narrow" w:hAnsi="Arial Narrow" w:cs="Calibri"/>
          <w:lang w:val="en-US"/>
        </w:rPr>
      </w:pPr>
    </w:p>
    <w:p w14:paraId="02D61C2B" w14:textId="77777777" w:rsidR="004A33E3" w:rsidRPr="000027A3" w:rsidRDefault="004A33E3">
      <w:pPr>
        <w:rPr>
          <w:rFonts w:ascii="Arial Narrow" w:hAnsi="Arial Narrow" w:cs="Calibri"/>
          <w:lang w:val="en-US"/>
        </w:rPr>
      </w:pPr>
    </w:p>
    <w:p w14:paraId="79733BF1" w14:textId="77777777" w:rsidR="004A33E3" w:rsidRPr="000027A3" w:rsidRDefault="004A33E3">
      <w:pPr>
        <w:rPr>
          <w:rFonts w:ascii="Arial Narrow" w:hAnsi="Arial Narrow" w:cs="Calibri"/>
          <w:lang w:val="en-US"/>
        </w:rPr>
      </w:pPr>
    </w:p>
    <w:p w14:paraId="39D6142C" w14:textId="77777777" w:rsidR="004A33E3" w:rsidRPr="000027A3" w:rsidRDefault="004A33E3">
      <w:pPr>
        <w:rPr>
          <w:rFonts w:ascii="Arial Narrow" w:hAnsi="Arial Narrow" w:cs="Calibri"/>
          <w:lang w:val="en-US"/>
        </w:rPr>
      </w:pPr>
    </w:p>
    <w:p w14:paraId="32A8F62F" w14:textId="77777777" w:rsidR="004A33E3" w:rsidRPr="000027A3" w:rsidRDefault="004A33E3">
      <w:pPr>
        <w:rPr>
          <w:rFonts w:ascii="Arial Narrow" w:hAnsi="Arial Narrow" w:cs="Calibri"/>
          <w:lang w:val="en-US"/>
        </w:rPr>
      </w:pPr>
    </w:p>
    <w:p w14:paraId="714156EE" w14:textId="77777777" w:rsidR="004A33E3" w:rsidRPr="000027A3" w:rsidRDefault="004A33E3">
      <w:pPr>
        <w:rPr>
          <w:rFonts w:ascii="Arial Narrow" w:hAnsi="Arial Narrow" w:cs="Calibri"/>
          <w:lang w:val="en-US"/>
        </w:rPr>
      </w:pPr>
    </w:p>
    <w:p w14:paraId="3D52219D" w14:textId="77777777" w:rsidR="00853C0E" w:rsidRPr="000027A3" w:rsidRDefault="00853C0E">
      <w:pPr>
        <w:rPr>
          <w:rFonts w:ascii="Arial Narrow" w:hAnsi="Arial Narrow" w:cs="Calibri"/>
          <w:lang w:val="en-US"/>
        </w:rPr>
      </w:pPr>
    </w:p>
    <w:p w14:paraId="5E618FA4" w14:textId="77777777" w:rsidR="004A33E3" w:rsidRDefault="004A33E3">
      <w:pPr>
        <w:rPr>
          <w:rFonts w:ascii="Arial Narrow" w:hAnsi="Arial Narrow" w:cs="Calibri"/>
          <w:lang w:val="en-US"/>
        </w:rPr>
      </w:pPr>
    </w:p>
    <w:p w14:paraId="49AF3BB3" w14:textId="77777777" w:rsidR="000027A3" w:rsidRDefault="000027A3">
      <w:pPr>
        <w:rPr>
          <w:rFonts w:ascii="Arial Narrow" w:hAnsi="Arial Narrow" w:cs="Calibri"/>
          <w:lang w:val="en-US"/>
        </w:rPr>
      </w:pPr>
    </w:p>
    <w:p w14:paraId="1C54CD87" w14:textId="77777777" w:rsidR="000027A3" w:rsidRDefault="000027A3">
      <w:pPr>
        <w:rPr>
          <w:rFonts w:ascii="Arial Narrow" w:hAnsi="Arial Narrow" w:cs="Calibri"/>
          <w:lang w:val="en-US"/>
        </w:rPr>
      </w:pPr>
    </w:p>
    <w:p w14:paraId="27A0DC3F" w14:textId="77777777" w:rsidR="000027A3" w:rsidRPr="000027A3" w:rsidRDefault="000027A3">
      <w:pPr>
        <w:rPr>
          <w:rFonts w:ascii="Arial Narrow" w:hAnsi="Arial Narrow" w:cs="Calibri"/>
          <w:lang w:val="en-US"/>
        </w:rPr>
      </w:pPr>
    </w:p>
    <w:p w14:paraId="5C9A51E0" w14:textId="77777777" w:rsidR="004A33E3" w:rsidRPr="000027A3" w:rsidRDefault="004A33E3">
      <w:pPr>
        <w:rPr>
          <w:rFonts w:ascii="Arial Narrow" w:hAnsi="Arial Narrow" w:cs="Calibri"/>
          <w:lang w:val="en-US"/>
        </w:rPr>
      </w:pPr>
    </w:p>
    <w:p w14:paraId="777D8812" w14:textId="77777777" w:rsidR="002F7E20" w:rsidRPr="000027A3" w:rsidRDefault="002F7E20" w:rsidP="002F7E20">
      <w:pPr>
        <w:rPr>
          <w:rFonts w:ascii="Arial Narrow" w:hAnsi="Arial Narrow" w:cs="Calibri"/>
          <w:b/>
          <w:bCs/>
          <w:lang w:val="en-US"/>
        </w:rPr>
      </w:pPr>
      <w:r w:rsidRPr="000027A3">
        <w:rPr>
          <w:rFonts w:ascii="Arial Narrow" w:hAnsi="Arial Narrow" w:cs="Calibri"/>
          <w:b/>
          <w:bCs/>
          <w:lang w:val="en-US"/>
        </w:rPr>
        <w:lastRenderedPageBreak/>
        <w:t>1. Definition of an Accommodation Contract and Essential Legal Elements for Validity</w:t>
      </w:r>
    </w:p>
    <w:p w14:paraId="25DA00BE" w14:textId="77777777" w:rsidR="002F7E20" w:rsidRPr="000027A3" w:rsidRDefault="002F7E20" w:rsidP="002F7E20">
      <w:pPr>
        <w:rPr>
          <w:rFonts w:ascii="Arial Narrow" w:hAnsi="Arial Narrow" w:cs="Calibri"/>
          <w:lang w:val="en-US"/>
        </w:rPr>
      </w:pPr>
    </w:p>
    <w:p w14:paraId="375B4992"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An accommodation contract is a legally enforceable agreement between a lodging provider (such as a hotel, resort, or guesthouse) and a guest, under which the provider agrees to supply temporary accommodation and related services in exchange for payment. This contract governs the rights and obligations of both parties, including payment terms, duration of stay, cancellation policies, and standards of service. Although usually standardized and formed electronically, accommodation contracts remain subject to the fundamental principles of contract law.</w:t>
      </w:r>
    </w:p>
    <w:p w14:paraId="442249FE" w14:textId="77777777" w:rsidR="002F7E20" w:rsidRPr="000027A3" w:rsidRDefault="002F7E20" w:rsidP="002F7E20">
      <w:pPr>
        <w:rPr>
          <w:rFonts w:ascii="Arial Narrow" w:hAnsi="Arial Narrow" w:cs="Calibri"/>
          <w:lang w:val="en-US"/>
        </w:rPr>
      </w:pPr>
    </w:p>
    <w:p w14:paraId="52E2A8C6" w14:textId="6221F0C6" w:rsidR="002F7E20" w:rsidRPr="000027A3" w:rsidRDefault="002F7E20" w:rsidP="00C177DC">
      <w:pPr>
        <w:rPr>
          <w:rFonts w:ascii="Arial Narrow" w:hAnsi="Arial Narrow" w:cs="Calibri"/>
          <w:lang w:val="en-US"/>
        </w:rPr>
      </w:pPr>
      <w:r w:rsidRPr="000027A3">
        <w:rPr>
          <w:rFonts w:ascii="Arial Narrow" w:hAnsi="Arial Narrow" w:cs="Calibri"/>
          <w:lang w:val="en-US"/>
        </w:rPr>
        <w:t>In legal terms, an accommodation agreement is typically characterized as a contract for services rather than a lease of property. Unlike a tenancy agreement, which grants exclusive possession of premises for a defined period, a hotel guest receives only a temporary license to occupy a room under the control and supervision of the hotel. The hotel retains access rights for housekeeping, maintenance, and safety purposes. This distinction is crucial because it determines the legal remedies available to both parties and clarifies that property law governing leases does not usually apply (Chen, 2016</w:t>
      </w:r>
      <w:r w:rsidR="00C177DC" w:rsidRPr="000027A3">
        <w:rPr>
          <w:rFonts w:ascii="Arial Narrow" w:hAnsi="Arial Narrow" w:cs="Calibri"/>
          <w:lang w:val="en-US"/>
        </w:rPr>
        <w:t>)</w:t>
      </w:r>
    </w:p>
    <w:p w14:paraId="5C718E5E" w14:textId="77777777" w:rsidR="002F7E20" w:rsidRPr="000027A3" w:rsidRDefault="002F7E20" w:rsidP="002F7E20">
      <w:pPr>
        <w:rPr>
          <w:rFonts w:ascii="Arial Narrow" w:hAnsi="Arial Narrow" w:cs="Calibri"/>
          <w:lang w:val="en-US"/>
        </w:rPr>
      </w:pPr>
    </w:p>
    <w:p w14:paraId="0B6F8F35"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For an accommodation contract to be legally valid, it must satisfy the essential elements of contract formation:</w:t>
      </w:r>
    </w:p>
    <w:p w14:paraId="51D59CAD" w14:textId="77777777" w:rsidR="002F7E20" w:rsidRPr="000027A3" w:rsidRDefault="002F7E20" w:rsidP="002F7E20">
      <w:pPr>
        <w:rPr>
          <w:rFonts w:ascii="Arial Narrow" w:hAnsi="Arial Narrow" w:cs="Calibri"/>
          <w:lang w:val="en-US"/>
        </w:rPr>
      </w:pPr>
    </w:p>
    <w:p w14:paraId="0AE86A13"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(a) Offer</w:t>
      </w:r>
    </w:p>
    <w:p w14:paraId="113A0A7C" w14:textId="77777777" w:rsidR="002F7E20" w:rsidRPr="000027A3" w:rsidRDefault="002F7E20" w:rsidP="002F7E20">
      <w:pPr>
        <w:rPr>
          <w:rFonts w:ascii="Arial Narrow" w:hAnsi="Arial Narrow" w:cs="Calibri"/>
          <w:lang w:val="en-US"/>
        </w:rPr>
      </w:pPr>
    </w:p>
    <w:p w14:paraId="7218F1B7" w14:textId="697637A9" w:rsidR="002F7E20" w:rsidRPr="000027A3" w:rsidRDefault="002F7E20" w:rsidP="002F7E20">
      <w:pPr>
        <w:rPr>
          <w:rFonts w:ascii="Arial Narrow" w:hAnsi="Arial Narrow" w:cs="Calibri"/>
          <w:lang w:val="en-US"/>
        </w:rPr>
      </w:pPr>
      <w:r w:rsidRPr="000027A3">
        <w:rPr>
          <w:rFonts w:ascii="Arial Narrow" w:hAnsi="Arial Narrow" w:cs="Calibri"/>
          <w:lang w:val="en-US"/>
        </w:rPr>
        <w:t xml:space="preserve">An offer is a clear expression of willingness to </w:t>
      </w:r>
      <w:proofErr w:type="gramStart"/>
      <w:r w:rsidRPr="000027A3">
        <w:rPr>
          <w:rFonts w:ascii="Arial Narrow" w:hAnsi="Arial Narrow" w:cs="Calibri"/>
          <w:lang w:val="en-US"/>
        </w:rPr>
        <w:t>enter into</w:t>
      </w:r>
      <w:proofErr w:type="gramEnd"/>
      <w:r w:rsidRPr="000027A3">
        <w:rPr>
          <w:rFonts w:ascii="Arial Narrow" w:hAnsi="Arial Narrow" w:cs="Calibri"/>
          <w:lang w:val="en-US"/>
        </w:rPr>
        <w:t xml:space="preserve"> a contract on specified terms, with the intention that it will become binding upon acceptance. In hotel transactions, advertisements displaying room rates are generally considered invitations to treat rather than binding offers. The actual offer may arise when the guest submits a reservation request specifying room type, dates, and rate. Alternatively, depending on the booking structure, the hotel’s confirmation of availability may constitute the offer. The key requirement is clarity and definiteness in terms (Buhalis &amp; Law, </w:t>
      </w:r>
      <w:proofErr w:type="gramStart"/>
      <w:r w:rsidRPr="000027A3">
        <w:rPr>
          <w:rFonts w:ascii="Arial Narrow" w:hAnsi="Arial Narrow" w:cs="Calibri"/>
          <w:lang w:val="en-US"/>
        </w:rPr>
        <w:t>2008</w:t>
      </w:r>
      <w:r w:rsidRPr="000027A3">
        <w:rPr>
          <w:rFonts w:ascii="Arial Narrow" w:hAnsi="Arial Narrow" w:cs="Calibri"/>
          <w:lang w:val="en-US"/>
        </w:rPr>
        <w:t xml:space="preserve"> )</w:t>
      </w:r>
      <w:proofErr w:type="gramEnd"/>
    </w:p>
    <w:p w14:paraId="41FE0107" w14:textId="77777777" w:rsidR="002F7E20" w:rsidRPr="000027A3" w:rsidRDefault="002F7E20" w:rsidP="002F7E20">
      <w:pPr>
        <w:rPr>
          <w:rFonts w:ascii="Arial Narrow" w:hAnsi="Arial Narrow" w:cs="Calibri"/>
          <w:lang w:val="en-US"/>
        </w:rPr>
      </w:pPr>
    </w:p>
    <w:p w14:paraId="487A33A6"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(b) Acceptance</w:t>
      </w:r>
    </w:p>
    <w:p w14:paraId="131C336F" w14:textId="77777777" w:rsidR="002F7E20" w:rsidRPr="000027A3" w:rsidRDefault="002F7E20" w:rsidP="002F7E20">
      <w:pPr>
        <w:rPr>
          <w:rFonts w:ascii="Arial Narrow" w:hAnsi="Arial Narrow" w:cs="Calibri"/>
          <w:lang w:val="en-US"/>
        </w:rPr>
      </w:pPr>
    </w:p>
    <w:p w14:paraId="3BEDF1C8"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Acceptance occurs when the offeree unconditionally agrees to the terms of the offer. In accommodation contracts, acceptance is usually completed when the hotel confirms the reservation—often via email or an online confirmation number—or when payment is successfully processed. Acceptance must correspond exactly to the terms proposed; any modification may amount to a counteroffer. Electronic acceptance is widely recognized as legally valid under modern commercial and consumer laws.</w:t>
      </w:r>
    </w:p>
    <w:p w14:paraId="326151EF" w14:textId="77777777" w:rsidR="002F7E20" w:rsidRPr="000027A3" w:rsidRDefault="002F7E20" w:rsidP="002F7E20">
      <w:pPr>
        <w:rPr>
          <w:rFonts w:ascii="Arial Narrow" w:hAnsi="Arial Narrow" w:cs="Calibri"/>
          <w:lang w:val="en-US"/>
        </w:rPr>
      </w:pPr>
    </w:p>
    <w:p w14:paraId="5A911437"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(c) Consideration</w:t>
      </w:r>
    </w:p>
    <w:p w14:paraId="0AC16C62" w14:textId="77777777" w:rsidR="002F7E20" w:rsidRPr="000027A3" w:rsidRDefault="002F7E20" w:rsidP="002F7E20">
      <w:pPr>
        <w:rPr>
          <w:rFonts w:ascii="Arial Narrow" w:hAnsi="Arial Narrow" w:cs="Calibri"/>
          <w:lang w:val="en-US"/>
        </w:rPr>
      </w:pPr>
    </w:p>
    <w:p w14:paraId="39679C61"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Consideration refers to the exchange of value between parties. In a hotel contract, the guest provides monetary payment (or a binding promise to pay), while the hotel provides lodging and related services such as housekeeping, utilities, and access to amenities. Without consideration, a contract cannot generally be enforced under common law principles. Payment may occur in advance, at check-in, or at check-out, but the legal exchange remains fundamental to enforceability.</w:t>
      </w:r>
    </w:p>
    <w:p w14:paraId="56E71898" w14:textId="77777777" w:rsidR="002F7E20" w:rsidRPr="000027A3" w:rsidRDefault="002F7E20" w:rsidP="002F7E20">
      <w:pPr>
        <w:rPr>
          <w:rFonts w:ascii="Arial Narrow" w:hAnsi="Arial Narrow" w:cs="Calibri"/>
          <w:lang w:val="en-US"/>
        </w:rPr>
      </w:pPr>
    </w:p>
    <w:p w14:paraId="7AA75383"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(d) Intention to Create Legal Relations</w:t>
      </w:r>
    </w:p>
    <w:p w14:paraId="003BAFB2" w14:textId="77777777" w:rsidR="002F7E20" w:rsidRPr="000027A3" w:rsidRDefault="002F7E20" w:rsidP="002F7E20">
      <w:pPr>
        <w:rPr>
          <w:rFonts w:ascii="Arial Narrow" w:hAnsi="Arial Narrow" w:cs="Calibri"/>
          <w:lang w:val="en-US"/>
        </w:rPr>
      </w:pPr>
    </w:p>
    <w:p w14:paraId="0CCFF0BF"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lastRenderedPageBreak/>
        <w:t>Commercial agreements are presumed to involve an intention to create legal relations. When a guest books a hotel room and the hotel confirms the reservation, both parties intend to enter into a legally binding agreement. This presumption distinguishes commercial contracts from social or domestic arrangements, where legal intention may be absent.</w:t>
      </w:r>
    </w:p>
    <w:p w14:paraId="205381E4" w14:textId="77777777" w:rsidR="002F7E20" w:rsidRPr="000027A3" w:rsidRDefault="002F7E20" w:rsidP="002F7E20">
      <w:pPr>
        <w:rPr>
          <w:rFonts w:ascii="Arial Narrow" w:hAnsi="Arial Narrow" w:cs="Calibri"/>
          <w:lang w:val="en-US"/>
        </w:rPr>
      </w:pPr>
    </w:p>
    <w:p w14:paraId="3EAADA04"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(e) Capacity</w:t>
      </w:r>
    </w:p>
    <w:p w14:paraId="3B7AA003" w14:textId="77777777" w:rsidR="002F7E20" w:rsidRPr="000027A3" w:rsidRDefault="002F7E20" w:rsidP="002F7E20">
      <w:pPr>
        <w:rPr>
          <w:rFonts w:ascii="Arial Narrow" w:hAnsi="Arial Narrow" w:cs="Calibri"/>
          <w:lang w:val="en-US"/>
        </w:rPr>
      </w:pPr>
    </w:p>
    <w:p w14:paraId="6A595912"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 xml:space="preserve">Both parties must possess the legal capacity to contract. Generally, this means they must be of legal age </w:t>
      </w:r>
      <w:proofErr w:type="gramStart"/>
      <w:r w:rsidRPr="000027A3">
        <w:rPr>
          <w:rFonts w:ascii="Arial Narrow" w:hAnsi="Arial Narrow" w:cs="Calibri"/>
          <w:lang w:val="en-US"/>
        </w:rPr>
        <w:t>and of</w:t>
      </w:r>
      <w:proofErr w:type="gramEnd"/>
      <w:r w:rsidRPr="000027A3">
        <w:rPr>
          <w:rFonts w:ascii="Arial Narrow" w:hAnsi="Arial Narrow" w:cs="Calibri"/>
          <w:lang w:val="en-US"/>
        </w:rPr>
        <w:t xml:space="preserve"> sound </w:t>
      </w:r>
      <w:proofErr w:type="gramStart"/>
      <w:r w:rsidRPr="000027A3">
        <w:rPr>
          <w:rFonts w:ascii="Arial Narrow" w:hAnsi="Arial Narrow" w:cs="Calibri"/>
          <w:lang w:val="en-US"/>
        </w:rPr>
        <w:t>mind</w:t>
      </w:r>
      <w:proofErr w:type="gramEnd"/>
      <w:r w:rsidRPr="000027A3">
        <w:rPr>
          <w:rFonts w:ascii="Arial Narrow" w:hAnsi="Arial Narrow" w:cs="Calibri"/>
          <w:lang w:val="en-US"/>
        </w:rPr>
        <w:t xml:space="preserve">. If a minor </w:t>
      </w:r>
      <w:proofErr w:type="gramStart"/>
      <w:r w:rsidRPr="000027A3">
        <w:rPr>
          <w:rFonts w:ascii="Arial Narrow" w:hAnsi="Arial Narrow" w:cs="Calibri"/>
          <w:lang w:val="en-US"/>
        </w:rPr>
        <w:t>enters into</w:t>
      </w:r>
      <w:proofErr w:type="gramEnd"/>
      <w:r w:rsidRPr="000027A3">
        <w:rPr>
          <w:rFonts w:ascii="Arial Narrow" w:hAnsi="Arial Narrow" w:cs="Calibri"/>
          <w:lang w:val="en-US"/>
        </w:rPr>
        <w:t xml:space="preserve"> a hotel booking, enforceability may depend on whether accommodation is considered a “necessary,” which may vary by jurisdiction. Hotels also retain the right to refuse accommodation under lawful circumstances, provided discrimination laws are not violated.</w:t>
      </w:r>
    </w:p>
    <w:p w14:paraId="00BAFA69" w14:textId="77777777" w:rsidR="002F7E20" w:rsidRPr="000027A3" w:rsidRDefault="002F7E20" w:rsidP="002F7E20">
      <w:pPr>
        <w:rPr>
          <w:rFonts w:ascii="Arial Narrow" w:hAnsi="Arial Narrow" w:cs="Calibri"/>
          <w:lang w:val="en-US"/>
        </w:rPr>
      </w:pPr>
    </w:p>
    <w:p w14:paraId="20252CB8"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(f) Certainty and Legality of Terms</w:t>
      </w:r>
    </w:p>
    <w:p w14:paraId="4D314684" w14:textId="77777777" w:rsidR="002F7E20" w:rsidRPr="000027A3" w:rsidRDefault="002F7E20" w:rsidP="002F7E20">
      <w:pPr>
        <w:rPr>
          <w:rFonts w:ascii="Arial Narrow" w:hAnsi="Arial Narrow" w:cs="Calibri"/>
          <w:lang w:val="en-US"/>
        </w:rPr>
      </w:pPr>
    </w:p>
    <w:p w14:paraId="05C68F40" w14:textId="48F6D428" w:rsidR="002F7E20" w:rsidRPr="000027A3" w:rsidRDefault="002F7E20" w:rsidP="002F7E20">
      <w:pPr>
        <w:rPr>
          <w:rFonts w:ascii="Arial Narrow" w:hAnsi="Arial Narrow" w:cs="Calibri"/>
          <w:lang w:val="en-US"/>
        </w:rPr>
      </w:pPr>
      <w:r w:rsidRPr="000027A3">
        <w:rPr>
          <w:rFonts w:ascii="Arial Narrow" w:hAnsi="Arial Narrow" w:cs="Calibri"/>
          <w:lang w:val="en-US"/>
        </w:rPr>
        <w:t>Contract terms must be sufficiently certain to be enforceable. Essential elements typically include price, dates of stay, room category, cancellation conditions, and payment policies. Additionally, the purpose of the contract must be lawful. Agreements formed for illegal activities are void. Consumer protection legislation in many jurisdictions further requires transparency in pricing and fair cancellation practices (Guttentag, 2015</w:t>
      </w:r>
      <w:r w:rsidRPr="000027A3">
        <w:rPr>
          <w:rFonts w:ascii="Arial Narrow" w:hAnsi="Arial Narrow" w:cs="Calibri"/>
          <w:lang w:val="en-US"/>
        </w:rPr>
        <w:t>)</w:t>
      </w:r>
    </w:p>
    <w:p w14:paraId="2D7230D7" w14:textId="77777777" w:rsidR="002F7E20" w:rsidRPr="000027A3" w:rsidRDefault="002F7E20" w:rsidP="002F7E20">
      <w:pPr>
        <w:rPr>
          <w:rFonts w:ascii="Arial Narrow" w:hAnsi="Arial Narrow" w:cs="Calibri"/>
          <w:lang w:val="en-US"/>
        </w:rPr>
      </w:pPr>
    </w:p>
    <w:p w14:paraId="10C8707D"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In modern hospitality practice, accommodation contracts are frequently concluded electronically through websites or mobile applications. Courts increasingly analyze these agreements within the framework of digital contract formation, including click-wrap and browse-wrap agreements, where users accept terms by clicking confirmation buttons.</w:t>
      </w:r>
    </w:p>
    <w:p w14:paraId="749030B7" w14:textId="77777777" w:rsidR="002F7E20" w:rsidRPr="000027A3" w:rsidRDefault="002F7E20" w:rsidP="002F7E20">
      <w:pPr>
        <w:rPr>
          <w:rFonts w:ascii="Arial Narrow" w:hAnsi="Arial Narrow" w:cs="Calibri"/>
          <w:lang w:val="en-US"/>
        </w:rPr>
      </w:pPr>
    </w:p>
    <w:p w14:paraId="5AA9DD5B"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2. Main Parties Involved in Hotel Bookings</w:t>
      </w:r>
    </w:p>
    <w:p w14:paraId="419DD615" w14:textId="77777777" w:rsidR="002F7E20" w:rsidRPr="000027A3" w:rsidRDefault="002F7E20" w:rsidP="002F7E20">
      <w:pPr>
        <w:rPr>
          <w:rFonts w:ascii="Arial Narrow" w:hAnsi="Arial Narrow" w:cs="Calibri"/>
          <w:lang w:val="en-US"/>
        </w:rPr>
      </w:pPr>
    </w:p>
    <w:p w14:paraId="5F2ABE4A"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 xml:space="preserve">The identity and legal relationships of parties differ depending on whether the booking is made directly </w:t>
      </w:r>
      <w:proofErr w:type="gramStart"/>
      <w:r w:rsidRPr="000027A3">
        <w:rPr>
          <w:rFonts w:ascii="Arial Narrow" w:hAnsi="Arial Narrow" w:cs="Calibri"/>
          <w:lang w:val="en-US"/>
        </w:rPr>
        <w:t>with</w:t>
      </w:r>
      <w:proofErr w:type="gramEnd"/>
      <w:r w:rsidRPr="000027A3">
        <w:rPr>
          <w:rFonts w:ascii="Arial Narrow" w:hAnsi="Arial Narrow" w:cs="Calibri"/>
          <w:lang w:val="en-US"/>
        </w:rPr>
        <w:t xml:space="preserve"> the hotel or through an online platform.</w:t>
      </w:r>
    </w:p>
    <w:p w14:paraId="05D314D9" w14:textId="77777777" w:rsidR="002F7E20" w:rsidRPr="000027A3" w:rsidRDefault="002F7E20" w:rsidP="002F7E20">
      <w:pPr>
        <w:rPr>
          <w:rFonts w:ascii="Arial Narrow" w:hAnsi="Arial Narrow" w:cs="Calibri"/>
          <w:lang w:val="en-US"/>
        </w:rPr>
      </w:pPr>
    </w:p>
    <w:p w14:paraId="0DD374E5"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A. Direct Hotel Booking</w:t>
      </w:r>
    </w:p>
    <w:p w14:paraId="0438212E" w14:textId="77777777" w:rsidR="002F7E20" w:rsidRPr="000027A3" w:rsidRDefault="002F7E20" w:rsidP="002F7E20">
      <w:pPr>
        <w:rPr>
          <w:rFonts w:ascii="Arial Narrow" w:hAnsi="Arial Narrow" w:cs="Calibri"/>
          <w:lang w:val="en-US"/>
        </w:rPr>
      </w:pPr>
    </w:p>
    <w:p w14:paraId="785D86B9"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In direct bookings, two primary parties are involved:</w:t>
      </w:r>
    </w:p>
    <w:p w14:paraId="37065D12" w14:textId="77777777" w:rsidR="002F7E20" w:rsidRPr="000027A3" w:rsidRDefault="002F7E20" w:rsidP="002F7E20">
      <w:pPr>
        <w:rPr>
          <w:rFonts w:ascii="Arial Narrow" w:hAnsi="Arial Narrow" w:cs="Calibri"/>
          <w:lang w:val="en-US"/>
        </w:rPr>
      </w:pPr>
    </w:p>
    <w:p w14:paraId="0A2D4ABE"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(1) The Hotel (Accommodation Provider)</w:t>
      </w:r>
    </w:p>
    <w:p w14:paraId="06990E47" w14:textId="77777777" w:rsidR="002F7E20" w:rsidRPr="000027A3" w:rsidRDefault="002F7E20" w:rsidP="002F7E20">
      <w:pPr>
        <w:rPr>
          <w:rFonts w:ascii="Arial Narrow" w:hAnsi="Arial Narrow" w:cs="Calibri"/>
          <w:lang w:val="en-US"/>
        </w:rPr>
      </w:pPr>
    </w:p>
    <w:p w14:paraId="38C57690" w14:textId="4072E86C" w:rsidR="002F7E20" w:rsidRPr="000027A3" w:rsidRDefault="002F7E20" w:rsidP="002F7E20">
      <w:pPr>
        <w:rPr>
          <w:rFonts w:ascii="Arial Narrow" w:hAnsi="Arial Narrow" w:cs="Calibri"/>
          <w:lang w:val="en-US"/>
        </w:rPr>
      </w:pPr>
      <w:r w:rsidRPr="000027A3">
        <w:rPr>
          <w:rFonts w:ascii="Arial Narrow" w:hAnsi="Arial Narrow" w:cs="Calibri"/>
          <w:lang w:val="en-US"/>
        </w:rPr>
        <w:t xml:space="preserve">The hotel is </w:t>
      </w:r>
      <w:proofErr w:type="gramStart"/>
      <w:r w:rsidRPr="000027A3">
        <w:rPr>
          <w:rFonts w:ascii="Arial Narrow" w:hAnsi="Arial Narrow" w:cs="Calibri"/>
          <w:lang w:val="en-US"/>
        </w:rPr>
        <w:t>the contractual</w:t>
      </w:r>
      <w:proofErr w:type="gramEnd"/>
      <w:r w:rsidRPr="000027A3">
        <w:rPr>
          <w:rFonts w:ascii="Arial Narrow" w:hAnsi="Arial Narrow" w:cs="Calibri"/>
          <w:lang w:val="en-US"/>
        </w:rPr>
        <w:t xml:space="preserve"> </w:t>
      </w:r>
      <w:r w:rsidRPr="000027A3">
        <w:rPr>
          <w:rFonts w:ascii="Arial Narrow" w:hAnsi="Arial Narrow" w:cs="Calibri"/>
          <w:lang w:val="en-US"/>
        </w:rPr>
        <w:t>promising company</w:t>
      </w:r>
      <w:r w:rsidRPr="000027A3">
        <w:rPr>
          <w:rFonts w:ascii="Arial Narrow" w:hAnsi="Arial Narrow" w:cs="Calibri"/>
          <w:lang w:val="en-US"/>
        </w:rPr>
        <w:t xml:space="preserve">. It agrees to provide the specified room and services in exchange for payment. The hotel is responsible for honoring confirmed reservations, maintaining reasonable standards of care, and complying with consumer protection laws. If the hotel fails to provide the agreed accommodation—such as in </w:t>
      </w:r>
      <w:r w:rsidRPr="000027A3">
        <w:rPr>
          <w:rFonts w:ascii="Arial Narrow" w:hAnsi="Arial Narrow" w:cs="Calibri"/>
          <w:lang w:val="en-US"/>
        </w:rPr>
        <w:t>case</w:t>
      </w:r>
      <w:r w:rsidRPr="000027A3">
        <w:rPr>
          <w:rFonts w:ascii="Arial Narrow" w:hAnsi="Arial Narrow" w:cs="Calibri"/>
          <w:lang w:val="en-US"/>
        </w:rPr>
        <w:t xml:space="preserve"> of overbooking—it may be liable for breach of contract.</w:t>
      </w:r>
    </w:p>
    <w:p w14:paraId="0A6231B5" w14:textId="77777777" w:rsidR="002F7E20" w:rsidRPr="000027A3" w:rsidRDefault="002F7E20" w:rsidP="002F7E20">
      <w:pPr>
        <w:rPr>
          <w:rFonts w:ascii="Arial Narrow" w:hAnsi="Arial Narrow" w:cs="Calibri"/>
          <w:lang w:val="en-US"/>
        </w:rPr>
      </w:pPr>
    </w:p>
    <w:p w14:paraId="7419937D"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Hotels also impose house rules governing conduct, check-in and check-out times, and liability for damage. These conditions form part of the contractual terms, provided they are communicated clearly before the contract is concluded.</w:t>
      </w:r>
    </w:p>
    <w:p w14:paraId="143C1F18" w14:textId="77777777" w:rsidR="002F7E20" w:rsidRPr="000027A3" w:rsidRDefault="002F7E20" w:rsidP="002F7E20">
      <w:pPr>
        <w:rPr>
          <w:rFonts w:ascii="Arial Narrow" w:hAnsi="Arial Narrow" w:cs="Calibri"/>
          <w:lang w:val="en-US"/>
        </w:rPr>
      </w:pPr>
    </w:p>
    <w:p w14:paraId="618198C9"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(2) The Guest (Customer)</w:t>
      </w:r>
    </w:p>
    <w:p w14:paraId="43CF3248" w14:textId="77777777" w:rsidR="002F7E20" w:rsidRPr="000027A3" w:rsidRDefault="002F7E20" w:rsidP="002F7E20">
      <w:pPr>
        <w:rPr>
          <w:rFonts w:ascii="Arial Narrow" w:hAnsi="Arial Narrow" w:cs="Calibri"/>
          <w:lang w:val="en-US"/>
        </w:rPr>
      </w:pPr>
    </w:p>
    <w:p w14:paraId="7EC8D722"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lastRenderedPageBreak/>
        <w:t>The guest agrees to pay the stated price and comply with the hotel’s policies. Obligations typically include timely payment, lawful behavior, and respect for property. If a guest cancels outside the permitted period or causes damage, the hotel may enforce cancellation fees or seek compensation.</w:t>
      </w:r>
    </w:p>
    <w:p w14:paraId="79F23187" w14:textId="77777777" w:rsidR="002F7E20" w:rsidRPr="000027A3" w:rsidRDefault="002F7E20" w:rsidP="002F7E20">
      <w:pPr>
        <w:rPr>
          <w:rFonts w:ascii="Arial Narrow" w:hAnsi="Arial Narrow" w:cs="Calibri"/>
          <w:lang w:val="en-US"/>
        </w:rPr>
      </w:pPr>
    </w:p>
    <w:p w14:paraId="5B6303C0"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In direct bookings, the contractual relationship is straightforward: it exists solely between the hotel and the guest. Disputes regarding refunds, service quality, or cancellation penalties are resolved directly between these two parties.</w:t>
      </w:r>
    </w:p>
    <w:p w14:paraId="0093B266" w14:textId="77777777" w:rsidR="002F7E20" w:rsidRPr="000027A3" w:rsidRDefault="002F7E20" w:rsidP="002F7E20">
      <w:pPr>
        <w:rPr>
          <w:rFonts w:ascii="Arial Narrow" w:hAnsi="Arial Narrow" w:cs="Calibri"/>
          <w:lang w:val="en-US"/>
        </w:rPr>
      </w:pPr>
    </w:p>
    <w:p w14:paraId="3D2F97C5"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B. Booking Through an Online Platform</w:t>
      </w:r>
    </w:p>
    <w:p w14:paraId="65DE3A8E" w14:textId="77777777" w:rsidR="002F7E20" w:rsidRPr="000027A3" w:rsidRDefault="002F7E20" w:rsidP="002F7E20">
      <w:pPr>
        <w:rPr>
          <w:rFonts w:ascii="Arial Narrow" w:hAnsi="Arial Narrow" w:cs="Calibri"/>
          <w:lang w:val="en-US"/>
        </w:rPr>
      </w:pPr>
    </w:p>
    <w:p w14:paraId="197944A9"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Online Travel Agencies (OTAs) such as Booking.com or Expedia have transformed hospitality distribution systems. When a booking is made through such platforms, the legal structure becomes more complex.</w:t>
      </w:r>
    </w:p>
    <w:p w14:paraId="5C4BD086" w14:textId="77777777" w:rsidR="002F7E20" w:rsidRPr="000027A3" w:rsidRDefault="002F7E20" w:rsidP="002F7E20">
      <w:pPr>
        <w:rPr>
          <w:rFonts w:ascii="Arial Narrow" w:hAnsi="Arial Narrow" w:cs="Calibri"/>
          <w:lang w:val="en-US"/>
        </w:rPr>
      </w:pPr>
    </w:p>
    <w:p w14:paraId="638B894E"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(1) The Guest</w:t>
      </w:r>
    </w:p>
    <w:p w14:paraId="7B1F735D" w14:textId="77777777" w:rsidR="002F7E20" w:rsidRPr="000027A3" w:rsidRDefault="002F7E20" w:rsidP="002F7E20">
      <w:pPr>
        <w:rPr>
          <w:rFonts w:ascii="Arial Narrow" w:hAnsi="Arial Narrow" w:cs="Calibri"/>
          <w:lang w:val="en-US"/>
        </w:rPr>
      </w:pPr>
    </w:p>
    <w:p w14:paraId="214AB979" w14:textId="470B6F59" w:rsidR="002F7E20" w:rsidRPr="000027A3" w:rsidRDefault="002F7E20" w:rsidP="002F7E20">
      <w:pPr>
        <w:rPr>
          <w:rFonts w:ascii="Arial Narrow" w:hAnsi="Arial Narrow" w:cs="Calibri"/>
          <w:lang w:val="en-US"/>
        </w:rPr>
      </w:pPr>
      <w:r w:rsidRPr="000027A3">
        <w:rPr>
          <w:rFonts w:ascii="Arial Narrow" w:hAnsi="Arial Narrow" w:cs="Calibri"/>
          <w:lang w:val="en-US"/>
        </w:rPr>
        <w:t>The guest enters into at least two agreements: one with the online platform (governing use of the website and payment processing) and another with the hotel (the accommodation contract). Guests must typically agree to platform terms of service before completing a booking (Buhalis &amp; Law, 2008</w:t>
      </w:r>
      <w:r w:rsidRPr="000027A3">
        <w:rPr>
          <w:rFonts w:ascii="Arial Narrow" w:hAnsi="Arial Narrow" w:cs="Calibri"/>
          <w:lang w:val="en-US"/>
        </w:rPr>
        <w:t>)</w:t>
      </w:r>
    </w:p>
    <w:p w14:paraId="4ABA2149" w14:textId="77777777" w:rsidR="002F7E20" w:rsidRPr="000027A3" w:rsidRDefault="002F7E20" w:rsidP="002F7E20">
      <w:pPr>
        <w:rPr>
          <w:rFonts w:ascii="Arial Narrow" w:hAnsi="Arial Narrow" w:cs="Calibri"/>
          <w:lang w:val="en-US"/>
        </w:rPr>
      </w:pPr>
    </w:p>
    <w:p w14:paraId="619BDA0D"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(2) The Hotel</w:t>
      </w:r>
    </w:p>
    <w:p w14:paraId="330915DE" w14:textId="77777777" w:rsidR="002F7E20" w:rsidRPr="000027A3" w:rsidRDefault="002F7E20" w:rsidP="002F7E20">
      <w:pPr>
        <w:rPr>
          <w:rFonts w:ascii="Arial Narrow" w:hAnsi="Arial Narrow" w:cs="Calibri"/>
          <w:lang w:val="en-US"/>
        </w:rPr>
      </w:pPr>
    </w:p>
    <w:p w14:paraId="7E98A3C3"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 xml:space="preserve">The hotel lists rooms and prices on the platform under a commercial agreement with the intermediary. While the booking is facilitated by the platform, the hotel usually remains responsible for delivering the accommodation service. The accommodation contract itself is generally formed between the hotel and the guest, unless the platform acts as </w:t>
      </w:r>
      <w:proofErr w:type="gramStart"/>
      <w:r w:rsidRPr="000027A3">
        <w:rPr>
          <w:rFonts w:ascii="Arial Narrow" w:hAnsi="Arial Narrow" w:cs="Calibri"/>
          <w:lang w:val="en-US"/>
        </w:rPr>
        <w:t>a principal</w:t>
      </w:r>
      <w:proofErr w:type="gramEnd"/>
      <w:r w:rsidRPr="000027A3">
        <w:rPr>
          <w:rFonts w:ascii="Arial Narrow" w:hAnsi="Arial Narrow" w:cs="Calibri"/>
          <w:lang w:val="en-US"/>
        </w:rPr>
        <w:t xml:space="preserve"> seller.</w:t>
      </w:r>
    </w:p>
    <w:p w14:paraId="40CF5FEF" w14:textId="77777777" w:rsidR="002F7E20" w:rsidRPr="000027A3" w:rsidRDefault="002F7E20" w:rsidP="002F7E20">
      <w:pPr>
        <w:rPr>
          <w:rFonts w:ascii="Arial Narrow" w:hAnsi="Arial Narrow" w:cs="Calibri"/>
          <w:lang w:val="en-US"/>
        </w:rPr>
      </w:pPr>
    </w:p>
    <w:p w14:paraId="6EA02378"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(3) The Online Platform (Intermediary)</w:t>
      </w:r>
    </w:p>
    <w:p w14:paraId="107DB605" w14:textId="77777777" w:rsidR="002F7E20" w:rsidRPr="000027A3" w:rsidRDefault="002F7E20" w:rsidP="002F7E20">
      <w:pPr>
        <w:rPr>
          <w:rFonts w:ascii="Arial Narrow" w:hAnsi="Arial Narrow" w:cs="Calibri"/>
          <w:lang w:val="en-US"/>
        </w:rPr>
      </w:pPr>
    </w:p>
    <w:p w14:paraId="41BCA85F"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The online platform acts as an intermediary connecting supply and demand. Its legal role varies depending on its business model. In many cases, the platform operates as an agent, earning a commission from the hotel for each confirmed booking. In other models, the platform may act as a merchant of record, processing payments and assuming additional responsibilities.</w:t>
      </w:r>
    </w:p>
    <w:p w14:paraId="7D941415" w14:textId="77777777" w:rsidR="002F7E20" w:rsidRPr="000027A3" w:rsidRDefault="002F7E20" w:rsidP="002F7E20">
      <w:pPr>
        <w:rPr>
          <w:rFonts w:ascii="Arial Narrow" w:hAnsi="Arial Narrow" w:cs="Calibri"/>
          <w:lang w:val="en-US"/>
        </w:rPr>
      </w:pPr>
    </w:p>
    <w:p w14:paraId="7A221772" w14:textId="37E57FD3" w:rsidR="002F7E20" w:rsidRPr="000027A3" w:rsidRDefault="002F7E20" w:rsidP="002F7E20">
      <w:pPr>
        <w:rPr>
          <w:rFonts w:ascii="Arial Narrow" w:hAnsi="Arial Narrow" w:cs="Calibri"/>
          <w:lang w:val="en-US"/>
        </w:rPr>
      </w:pPr>
      <w:r w:rsidRPr="000027A3">
        <w:rPr>
          <w:rFonts w:ascii="Arial Narrow" w:hAnsi="Arial Narrow" w:cs="Calibri"/>
          <w:lang w:val="en-US"/>
        </w:rPr>
        <w:t>The involvement of online platforms has introduced legal questions regarding liability for inaccurate listings, cancellation disputes, and consumer rights. Scholars have noted that digital intermediaries reshape traditional contractual relationships in hospitality, often creating layered contractual frameworks that complicate dispute resolution (Guttentag, 2015).</w:t>
      </w:r>
    </w:p>
    <w:p w14:paraId="08EA7484" w14:textId="77777777" w:rsidR="002F7E20" w:rsidRPr="000027A3" w:rsidRDefault="002F7E20" w:rsidP="002F7E20">
      <w:pPr>
        <w:rPr>
          <w:rFonts w:ascii="Arial Narrow" w:hAnsi="Arial Narrow" w:cs="Calibri"/>
          <w:lang w:val="en-US"/>
        </w:rPr>
      </w:pPr>
    </w:p>
    <w:p w14:paraId="2584A86C"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In OTA bookings, three legal relationships typically exist:</w:t>
      </w:r>
    </w:p>
    <w:p w14:paraId="6D3E011C" w14:textId="77777777" w:rsidR="002F7E20" w:rsidRPr="000027A3" w:rsidRDefault="002F7E20" w:rsidP="002F7E20">
      <w:pPr>
        <w:rPr>
          <w:rFonts w:ascii="Arial Narrow" w:hAnsi="Arial Narrow" w:cs="Calibri"/>
          <w:lang w:val="en-US"/>
        </w:rPr>
      </w:pPr>
    </w:p>
    <w:p w14:paraId="7EBD931E"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Guest ↔ Platform (website terms)</w:t>
      </w:r>
    </w:p>
    <w:p w14:paraId="49C1E128" w14:textId="77777777" w:rsidR="002F7E20" w:rsidRPr="000027A3" w:rsidRDefault="002F7E20" w:rsidP="002F7E20">
      <w:pPr>
        <w:rPr>
          <w:rFonts w:ascii="Arial Narrow" w:hAnsi="Arial Narrow" w:cs="Calibri"/>
          <w:lang w:val="en-US"/>
        </w:rPr>
      </w:pPr>
    </w:p>
    <w:p w14:paraId="2DE78DBB"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Guest ↔ Hotel (accommodation contract)</w:t>
      </w:r>
    </w:p>
    <w:p w14:paraId="2734FC60" w14:textId="77777777" w:rsidR="002F7E20" w:rsidRPr="000027A3" w:rsidRDefault="002F7E20" w:rsidP="002F7E20">
      <w:pPr>
        <w:rPr>
          <w:rFonts w:ascii="Arial Narrow" w:hAnsi="Arial Narrow" w:cs="Calibri"/>
          <w:lang w:val="en-US"/>
        </w:rPr>
      </w:pPr>
    </w:p>
    <w:p w14:paraId="36C2C69E"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Hotel ↔ Platform (distribution agreement)</w:t>
      </w:r>
    </w:p>
    <w:p w14:paraId="694A69C5" w14:textId="77777777" w:rsidR="002F7E20" w:rsidRPr="000027A3" w:rsidRDefault="002F7E20" w:rsidP="002F7E20">
      <w:pPr>
        <w:rPr>
          <w:rFonts w:ascii="Arial Narrow" w:hAnsi="Arial Narrow" w:cs="Calibri"/>
          <w:lang w:val="en-US"/>
        </w:rPr>
      </w:pPr>
    </w:p>
    <w:p w14:paraId="66C8AA9E"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This tripartite structure increases legal complexity compared to direct bookings.</w:t>
      </w:r>
    </w:p>
    <w:p w14:paraId="3B46597F" w14:textId="77777777" w:rsidR="002F7E20" w:rsidRPr="000027A3" w:rsidRDefault="002F7E20" w:rsidP="002F7E20">
      <w:pPr>
        <w:rPr>
          <w:rFonts w:ascii="Arial Narrow" w:hAnsi="Arial Narrow" w:cs="Calibri"/>
          <w:lang w:val="en-US"/>
        </w:rPr>
      </w:pPr>
    </w:p>
    <w:p w14:paraId="14E43EC5"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Conclusion</w:t>
      </w:r>
    </w:p>
    <w:p w14:paraId="1348D90C" w14:textId="77777777" w:rsidR="002F7E20" w:rsidRPr="000027A3" w:rsidRDefault="002F7E20" w:rsidP="002F7E20">
      <w:pPr>
        <w:rPr>
          <w:rFonts w:ascii="Arial Narrow" w:hAnsi="Arial Narrow" w:cs="Calibri"/>
          <w:lang w:val="en-US"/>
        </w:rPr>
      </w:pPr>
    </w:p>
    <w:p w14:paraId="6CBB4DCA"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An accommodation contract is a legally binding agreement for temporary lodging and related services. Its validity depends on essential contractual elements including offer, acceptance, consideration, intention to create legal relations, capacity, certainty, and legality. While these principles derive from general contract law, their application in hospitality contexts is shaped by consumer protection laws and digital commerce practices.</w:t>
      </w:r>
    </w:p>
    <w:p w14:paraId="68A43392" w14:textId="77777777" w:rsidR="002F7E20" w:rsidRPr="000027A3" w:rsidRDefault="002F7E20" w:rsidP="002F7E20">
      <w:pPr>
        <w:rPr>
          <w:rFonts w:ascii="Arial Narrow" w:hAnsi="Arial Narrow" w:cs="Calibri"/>
          <w:lang w:val="en-US"/>
        </w:rPr>
      </w:pPr>
    </w:p>
    <w:p w14:paraId="7E5B452C"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 xml:space="preserve">In direct bookings, the contract exists solely between the hotel and the guest. In contrast, online platform bookings involve a more complex tripartite relationship among the </w:t>
      </w:r>
      <w:proofErr w:type="gramStart"/>
      <w:r w:rsidRPr="000027A3">
        <w:rPr>
          <w:rFonts w:ascii="Arial Narrow" w:hAnsi="Arial Narrow" w:cs="Calibri"/>
          <w:lang w:val="en-US"/>
        </w:rPr>
        <w:t>guest</w:t>
      </w:r>
      <w:proofErr w:type="gramEnd"/>
      <w:r w:rsidRPr="000027A3">
        <w:rPr>
          <w:rFonts w:ascii="Arial Narrow" w:hAnsi="Arial Narrow" w:cs="Calibri"/>
          <w:lang w:val="en-US"/>
        </w:rPr>
        <w:t xml:space="preserve">, </w:t>
      </w:r>
      <w:proofErr w:type="gramStart"/>
      <w:r w:rsidRPr="000027A3">
        <w:rPr>
          <w:rFonts w:ascii="Arial Narrow" w:hAnsi="Arial Narrow" w:cs="Calibri"/>
          <w:lang w:val="en-US"/>
        </w:rPr>
        <w:t>hotel</w:t>
      </w:r>
      <w:proofErr w:type="gramEnd"/>
      <w:r w:rsidRPr="000027A3">
        <w:rPr>
          <w:rFonts w:ascii="Arial Narrow" w:hAnsi="Arial Narrow" w:cs="Calibri"/>
          <w:lang w:val="en-US"/>
        </w:rPr>
        <w:t xml:space="preserve">, and </w:t>
      </w:r>
      <w:proofErr w:type="gramStart"/>
      <w:r w:rsidRPr="000027A3">
        <w:rPr>
          <w:rFonts w:ascii="Arial Narrow" w:hAnsi="Arial Narrow" w:cs="Calibri"/>
          <w:lang w:val="en-US"/>
        </w:rPr>
        <w:t>intermediary</w:t>
      </w:r>
      <w:proofErr w:type="gramEnd"/>
      <w:r w:rsidRPr="000027A3">
        <w:rPr>
          <w:rFonts w:ascii="Arial Narrow" w:hAnsi="Arial Narrow" w:cs="Calibri"/>
          <w:lang w:val="en-US"/>
        </w:rPr>
        <w:t>. Understanding these distinctions is critical for determining liability, enforcing rights, and resolving disputes in modern hospitality operations.</w:t>
      </w:r>
    </w:p>
    <w:p w14:paraId="70BBB169" w14:textId="5B7D98AA" w:rsidR="002F7E20" w:rsidRPr="000027A3" w:rsidRDefault="002F7E20" w:rsidP="002F7E20">
      <w:pPr>
        <w:rPr>
          <w:rFonts w:ascii="Arial Narrow" w:hAnsi="Arial Narrow" w:cs="Calibri"/>
          <w:lang w:val="en-US"/>
        </w:rPr>
      </w:pPr>
    </w:p>
    <w:p w14:paraId="1EB7C3F2" w14:textId="77777777" w:rsidR="002F7E20" w:rsidRPr="000027A3" w:rsidRDefault="002F7E20" w:rsidP="002F7E20">
      <w:pPr>
        <w:rPr>
          <w:rFonts w:ascii="Arial Narrow" w:hAnsi="Arial Narrow" w:cs="Calibri"/>
          <w:lang w:val="en-US"/>
        </w:rPr>
      </w:pPr>
    </w:p>
    <w:p w14:paraId="0AF07469" w14:textId="77777777" w:rsidR="002F7E20" w:rsidRPr="000027A3" w:rsidRDefault="002F7E20" w:rsidP="002F7E20">
      <w:pPr>
        <w:rPr>
          <w:rFonts w:ascii="Arial Narrow" w:hAnsi="Arial Narrow" w:cs="Calibri"/>
          <w:lang w:val="en-US"/>
        </w:rPr>
      </w:pPr>
    </w:p>
    <w:p w14:paraId="5802AE2C" w14:textId="77777777" w:rsidR="002F7E20" w:rsidRPr="000027A3" w:rsidRDefault="002F7E20" w:rsidP="002F7E20">
      <w:pPr>
        <w:rPr>
          <w:rFonts w:ascii="Arial Narrow" w:hAnsi="Arial Narrow" w:cs="Calibri"/>
          <w:lang w:val="en-US"/>
        </w:rPr>
      </w:pPr>
    </w:p>
    <w:p w14:paraId="39B8A527" w14:textId="77777777" w:rsidR="002F7E20" w:rsidRPr="000027A3" w:rsidRDefault="002F7E20" w:rsidP="002F7E20">
      <w:pPr>
        <w:rPr>
          <w:rFonts w:ascii="Arial Narrow" w:hAnsi="Arial Narrow" w:cs="Calibri"/>
          <w:lang w:val="en-US"/>
        </w:rPr>
      </w:pPr>
    </w:p>
    <w:p w14:paraId="76F44B0D" w14:textId="77777777" w:rsidR="002F7E20" w:rsidRPr="000027A3" w:rsidRDefault="002F7E20" w:rsidP="002F7E20">
      <w:pPr>
        <w:rPr>
          <w:rFonts w:ascii="Arial Narrow" w:hAnsi="Arial Narrow" w:cs="Calibri"/>
          <w:lang w:val="en-US"/>
        </w:rPr>
      </w:pPr>
    </w:p>
    <w:p w14:paraId="5A42CAAD" w14:textId="77777777" w:rsidR="002F7E20" w:rsidRPr="000027A3" w:rsidRDefault="002F7E20" w:rsidP="002F7E20">
      <w:pPr>
        <w:rPr>
          <w:rFonts w:ascii="Arial Narrow" w:hAnsi="Arial Narrow" w:cs="Calibri"/>
          <w:lang w:val="en-US"/>
        </w:rPr>
      </w:pPr>
    </w:p>
    <w:p w14:paraId="1EAC48AC" w14:textId="77777777" w:rsidR="002F7E20" w:rsidRPr="000027A3" w:rsidRDefault="002F7E20" w:rsidP="002F7E20">
      <w:pPr>
        <w:rPr>
          <w:rFonts w:ascii="Arial Narrow" w:hAnsi="Arial Narrow" w:cs="Calibri"/>
          <w:lang w:val="en-US"/>
        </w:rPr>
      </w:pPr>
    </w:p>
    <w:p w14:paraId="2C12919A" w14:textId="77777777" w:rsidR="002F7E20" w:rsidRPr="000027A3" w:rsidRDefault="002F7E20" w:rsidP="002F7E20">
      <w:pPr>
        <w:rPr>
          <w:rFonts w:ascii="Arial Narrow" w:hAnsi="Arial Narrow" w:cs="Calibri"/>
          <w:lang w:val="en-US"/>
        </w:rPr>
      </w:pPr>
    </w:p>
    <w:p w14:paraId="48C51CB0" w14:textId="77777777" w:rsidR="002F7E20" w:rsidRPr="000027A3" w:rsidRDefault="002F7E20" w:rsidP="002F7E20">
      <w:pPr>
        <w:rPr>
          <w:rFonts w:ascii="Arial Narrow" w:hAnsi="Arial Narrow" w:cs="Calibri"/>
          <w:lang w:val="en-US"/>
        </w:rPr>
      </w:pPr>
    </w:p>
    <w:p w14:paraId="54E550C5" w14:textId="77777777" w:rsidR="002F7E20" w:rsidRPr="000027A3" w:rsidRDefault="002F7E20" w:rsidP="002F7E20">
      <w:pPr>
        <w:rPr>
          <w:rFonts w:ascii="Arial Narrow" w:hAnsi="Arial Narrow" w:cs="Calibri"/>
          <w:lang w:val="en-US"/>
        </w:rPr>
      </w:pPr>
    </w:p>
    <w:p w14:paraId="683254E4" w14:textId="77777777" w:rsidR="002F7E20" w:rsidRPr="000027A3" w:rsidRDefault="002F7E20" w:rsidP="002F7E20">
      <w:pPr>
        <w:rPr>
          <w:rFonts w:ascii="Arial Narrow" w:hAnsi="Arial Narrow" w:cs="Calibri"/>
          <w:lang w:val="en-US"/>
        </w:rPr>
      </w:pPr>
    </w:p>
    <w:p w14:paraId="1B7D0139" w14:textId="77777777" w:rsidR="002F7E20" w:rsidRPr="000027A3" w:rsidRDefault="002F7E20" w:rsidP="002F7E20">
      <w:pPr>
        <w:rPr>
          <w:rFonts w:ascii="Arial Narrow" w:hAnsi="Arial Narrow" w:cs="Calibri"/>
          <w:lang w:val="en-US"/>
        </w:rPr>
      </w:pPr>
    </w:p>
    <w:p w14:paraId="3A350577" w14:textId="77777777" w:rsidR="002F7E20" w:rsidRPr="000027A3" w:rsidRDefault="002F7E20" w:rsidP="002F7E20">
      <w:pPr>
        <w:rPr>
          <w:rFonts w:ascii="Arial Narrow" w:hAnsi="Arial Narrow" w:cs="Calibri"/>
          <w:lang w:val="en-US"/>
        </w:rPr>
      </w:pPr>
    </w:p>
    <w:p w14:paraId="6B1796DF"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References</w:t>
      </w:r>
    </w:p>
    <w:p w14:paraId="0303D5A9" w14:textId="77777777" w:rsidR="002F7E20" w:rsidRPr="000027A3" w:rsidRDefault="002F7E20" w:rsidP="002F7E20">
      <w:pPr>
        <w:rPr>
          <w:rFonts w:ascii="Arial Narrow" w:hAnsi="Arial Narrow" w:cs="Calibri"/>
          <w:lang w:val="en-US"/>
        </w:rPr>
      </w:pPr>
    </w:p>
    <w:p w14:paraId="4528768E"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Buhalis, D., &amp; Law, R. (2008). Progress in information technology and tourism management. Tourism Management, 29(4), 609–623. https://doi.org/10.1016/j.tourman.2008.01.005</w:t>
      </w:r>
    </w:p>
    <w:p w14:paraId="3C590E57" w14:textId="77777777" w:rsidR="002F7E20" w:rsidRPr="000027A3" w:rsidRDefault="002F7E20" w:rsidP="002F7E20">
      <w:pPr>
        <w:rPr>
          <w:rFonts w:ascii="Arial Narrow" w:hAnsi="Arial Narrow" w:cs="Calibri"/>
          <w:lang w:val="en-US"/>
        </w:rPr>
      </w:pPr>
    </w:p>
    <w:p w14:paraId="3F87E789"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Chen, C. C. (2016). The impacts of online booking systems on hotel operations. International Journal of Hospitality Management, 55, 39–48. https://doi.org/10.1016/j.ijhm.2016.04.006</w:t>
      </w:r>
    </w:p>
    <w:p w14:paraId="5BCA5AFE" w14:textId="77777777" w:rsidR="002F7E20" w:rsidRPr="000027A3" w:rsidRDefault="002F7E20" w:rsidP="002F7E20">
      <w:pPr>
        <w:rPr>
          <w:rFonts w:ascii="Arial Narrow" w:hAnsi="Arial Narrow" w:cs="Calibri"/>
          <w:lang w:val="en-US"/>
        </w:rPr>
      </w:pPr>
    </w:p>
    <w:p w14:paraId="7D11B582" w14:textId="77777777" w:rsidR="002F7E20" w:rsidRPr="000027A3" w:rsidRDefault="002F7E20" w:rsidP="002F7E20">
      <w:pPr>
        <w:rPr>
          <w:rFonts w:ascii="Arial Narrow" w:hAnsi="Arial Narrow" w:cs="Calibri"/>
          <w:lang w:val="en-US"/>
        </w:rPr>
      </w:pPr>
      <w:r w:rsidRPr="000027A3">
        <w:rPr>
          <w:rFonts w:ascii="Arial Narrow" w:hAnsi="Arial Narrow" w:cs="Calibri"/>
          <w:lang w:val="en-US"/>
        </w:rPr>
        <w:t>Guttentag, D. (2015). Airbnb: Disruptive innovation and the rise of an informal tourism accommodation sector. Annals of Tourism Research, 54, 119–133. https://doi.org/10.1016/j.annals.2015.02.012</w:t>
      </w:r>
    </w:p>
    <w:p w14:paraId="2B6D4A5E" w14:textId="77777777" w:rsidR="002F7E20" w:rsidRPr="000027A3" w:rsidRDefault="002F7E20" w:rsidP="002F7E20">
      <w:pPr>
        <w:rPr>
          <w:rFonts w:ascii="Arial Narrow" w:hAnsi="Arial Narrow" w:cs="Calibri"/>
          <w:lang w:val="en-US"/>
        </w:rPr>
      </w:pPr>
    </w:p>
    <w:p w14:paraId="72687507" w14:textId="1ACAC1A8" w:rsidR="004A33E3" w:rsidRPr="000027A3" w:rsidRDefault="002F7E20" w:rsidP="002F7E20">
      <w:pPr>
        <w:rPr>
          <w:rFonts w:ascii="Arial Narrow" w:hAnsi="Arial Narrow" w:cs="Calibri"/>
          <w:lang w:val="en-US"/>
        </w:rPr>
      </w:pPr>
      <w:r w:rsidRPr="000027A3">
        <w:rPr>
          <w:rFonts w:ascii="Arial Narrow" w:hAnsi="Arial Narrow" w:cs="Calibri"/>
          <w:lang w:val="en-US"/>
        </w:rPr>
        <w:t>Kim, J., &amp; Kim, M. (2017). The legal framework of online travel agencies and consumer protection. Journal of Travel &amp; Tourism Marketing, 34(6), 742–755. https://doi.org/10.1080/10548408.2016.1231803</w:t>
      </w:r>
    </w:p>
    <w:sectPr w:rsidR="004A33E3" w:rsidRPr="000027A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056E43"/>
    <w:multiLevelType w:val="hybridMultilevel"/>
    <w:tmpl w:val="8FBE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5875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3E3"/>
    <w:rsid w:val="000027A3"/>
    <w:rsid w:val="002F7E20"/>
    <w:rsid w:val="004A33E3"/>
    <w:rsid w:val="00501AF0"/>
    <w:rsid w:val="00651941"/>
    <w:rsid w:val="007B3224"/>
    <w:rsid w:val="00853C0E"/>
    <w:rsid w:val="00C177D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CD8C3"/>
  <w15:chartTrackingRefBased/>
  <w15:docId w15:val="{372EA79D-605A-495A-9FD2-4DE25AB31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3E3"/>
    <w:pPr>
      <w:spacing w:after="0" w:line="240" w:lineRule="auto"/>
    </w:pPr>
    <w:rPr>
      <w:szCs w:val="24"/>
      <w:lang w:bidi="ar-SA"/>
    </w:rPr>
  </w:style>
  <w:style w:type="paragraph" w:styleId="Heading1">
    <w:name w:val="heading 1"/>
    <w:basedOn w:val="Normal"/>
    <w:next w:val="Normal"/>
    <w:link w:val="Heading1Char"/>
    <w:uiPriority w:val="9"/>
    <w:qFormat/>
    <w:rsid w:val="004A33E3"/>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4A33E3"/>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4A33E3"/>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4A33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33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33E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33E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33E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33E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33E3"/>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4A33E3"/>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4A33E3"/>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4A33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33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33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33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33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33E3"/>
    <w:rPr>
      <w:rFonts w:eastAsiaTheme="majorEastAsia" w:cstheme="majorBidi"/>
      <w:color w:val="272727" w:themeColor="text1" w:themeTint="D8"/>
    </w:rPr>
  </w:style>
  <w:style w:type="paragraph" w:styleId="Title">
    <w:name w:val="Title"/>
    <w:basedOn w:val="Normal"/>
    <w:next w:val="Normal"/>
    <w:link w:val="TitleChar"/>
    <w:uiPriority w:val="10"/>
    <w:qFormat/>
    <w:rsid w:val="004A33E3"/>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4A33E3"/>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4A33E3"/>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4A33E3"/>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4A33E3"/>
    <w:pPr>
      <w:spacing w:before="160"/>
      <w:jc w:val="center"/>
    </w:pPr>
    <w:rPr>
      <w:i/>
      <w:iCs/>
      <w:color w:val="404040" w:themeColor="text1" w:themeTint="BF"/>
    </w:rPr>
  </w:style>
  <w:style w:type="character" w:customStyle="1" w:styleId="QuoteChar">
    <w:name w:val="Quote Char"/>
    <w:basedOn w:val="DefaultParagraphFont"/>
    <w:link w:val="Quote"/>
    <w:uiPriority w:val="29"/>
    <w:rsid w:val="004A33E3"/>
    <w:rPr>
      <w:i/>
      <w:iCs/>
      <w:color w:val="404040" w:themeColor="text1" w:themeTint="BF"/>
    </w:rPr>
  </w:style>
  <w:style w:type="paragraph" w:styleId="ListParagraph">
    <w:name w:val="List Paragraph"/>
    <w:basedOn w:val="Normal"/>
    <w:uiPriority w:val="34"/>
    <w:qFormat/>
    <w:rsid w:val="004A33E3"/>
    <w:pPr>
      <w:ind w:left="720"/>
      <w:contextualSpacing/>
    </w:pPr>
  </w:style>
  <w:style w:type="character" w:styleId="IntenseEmphasis">
    <w:name w:val="Intense Emphasis"/>
    <w:basedOn w:val="DefaultParagraphFont"/>
    <w:uiPriority w:val="21"/>
    <w:qFormat/>
    <w:rsid w:val="004A33E3"/>
    <w:rPr>
      <w:i/>
      <w:iCs/>
      <w:color w:val="0F4761" w:themeColor="accent1" w:themeShade="BF"/>
    </w:rPr>
  </w:style>
  <w:style w:type="paragraph" w:styleId="IntenseQuote">
    <w:name w:val="Intense Quote"/>
    <w:basedOn w:val="Normal"/>
    <w:next w:val="Normal"/>
    <w:link w:val="IntenseQuoteChar"/>
    <w:uiPriority w:val="30"/>
    <w:qFormat/>
    <w:rsid w:val="004A33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33E3"/>
    <w:rPr>
      <w:i/>
      <w:iCs/>
      <w:color w:val="0F4761" w:themeColor="accent1" w:themeShade="BF"/>
    </w:rPr>
  </w:style>
  <w:style w:type="character" w:styleId="IntenseReference">
    <w:name w:val="Intense Reference"/>
    <w:basedOn w:val="DefaultParagraphFont"/>
    <w:uiPriority w:val="32"/>
    <w:qFormat/>
    <w:rsid w:val="004A33E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1497</Words>
  <Characters>8535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2026-03-03T05:17:00Z</dcterms:created>
  <dcterms:modified xsi:type="dcterms:W3CDTF">2026-03-03T05:17:00Z</dcterms:modified>
</cp:coreProperties>
</file>