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0A4CE13C" w14:textId="03122D89" w:rsidR="009E6A7F" w:rsidRDefault="00E844E1" w:rsidP="00265CBB">
      <w:pPr>
        <w:jc w:val="center"/>
        <w:rPr>
          <w:b/>
          <w:bCs/>
          <w:sz w:val="48"/>
          <w:szCs w:val="48"/>
        </w:rPr>
      </w:pPr>
      <w:r>
        <w:rPr>
          <w:b/>
          <w:bCs/>
          <w:sz w:val="48"/>
          <w:szCs w:val="48"/>
        </w:rPr>
        <w:t xml:space="preserve">Title: </w:t>
      </w:r>
      <w:r w:rsidR="00265CBB" w:rsidRPr="00265CBB">
        <w:rPr>
          <w:b/>
          <w:bCs/>
          <w:sz w:val="48"/>
          <w:szCs w:val="48"/>
        </w:rPr>
        <w:t xml:space="preserve">A Strategic Analysis of Human Resource Management and Its Impact on </w:t>
      </w:r>
      <w:proofErr w:type="spellStart"/>
      <w:r w:rsidR="00265CBB" w:rsidRPr="00265CBB">
        <w:rPr>
          <w:b/>
          <w:bCs/>
          <w:sz w:val="48"/>
          <w:szCs w:val="48"/>
        </w:rPr>
        <w:t>Organisational</w:t>
      </w:r>
      <w:proofErr w:type="spellEnd"/>
      <w:r w:rsidR="00265CBB" w:rsidRPr="00265CBB">
        <w:rPr>
          <w:b/>
          <w:bCs/>
          <w:sz w:val="48"/>
          <w:szCs w:val="48"/>
        </w:rPr>
        <w:t xml:space="preserve"> Performance and Competitive Advantage</w:t>
      </w:r>
    </w:p>
    <w:p w14:paraId="6A50054F" w14:textId="77777777" w:rsidR="00461940" w:rsidRDefault="00E844E1" w:rsidP="00461940">
      <w:pPr>
        <w:jc w:val="center"/>
        <w:rPr>
          <w:bCs/>
          <w:sz w:val="44"/>
          <w:szCs w:val="44"/>
        </w:rPr>
      </w:pPr>
      <w:r>
        <w:rPr>
          <w:b/>
          <w:sz w:val="40"/>
          <w:szCs w:val="40"/>
        </w:rPr>
        <w:br/>
      </w:r>
      <w:r>
        <w:rPr>
          <w:sz w:val="40"/>
          <w:szCs w:val="40"/>
        </w:rPr>
        <w:br/>
      </w:r>
      <w:r w:rsidR="00461940">
        <w:rPr>
          <w:bCs/>
          <w:sz w:val="44"/>
          <w:szCs w:val="44"/>
          <w:lang w:val="nl-NL"/>
        </w:rPr>
        <w:t xml:space="preserve">Student Name: </w:t>
      </w:r>
      <w:r w:rsidR="00461940">
        <w:rPr>
          <w:bCs/>
          <w:sz w:val="44"/>
          <w:szCs w:val="44"/>
        </w:rPr>
        <w:t>Jagan Jyot Singh Sethi</w:t>
      </w:r>
    </w:p>
    <w:p w14:paraId="1AE89805" w14:textId="77777777" w:rsidR="00461940" w:rsidRDefault="00461940" w:rsidP="00461940">
      <w:pPr>
        <w:jc w:val="center"/>
        <w:rPr>
          <w:bCs/>
          <w:sz w:val="44"/>
          <w:szCs w:val="44"/>
        </w:rPr>
      </w:pPr>
      <w:r>
        <w:rPr>
          <w:bCs/>
          <w:sz w:val="44"/>
          <w:szCs w:val="44"/>
          <w:lang w:val="nl-NL"/>
        </w:rPr>
        <w:t xml:space="preserve">Submission Id: </w:t>
      </w:r>
      <w:r>
        <w:rPr>
          <w:bCs/>
          <w:sz w:val="44"/>
          <w:szCs w:val="44"/>
        </w:rPr>
        <w:t>DE240393</w:t>
      </w:r>
    </w:p>
    <w:p w14:paraId="64B71B53" w14:textId="681CB601" w:rsidR="00E844E1" w:rsidRPr="004F0783" w:rsidRDefault="00E844E1" w:rsidP="00E844E1">
      <w:pPr>
        <w:jc w:val="center"/>
        <w:rPr>
          <w:sz w:val="44"/>
          <w:szCs w:val="44"/>
        </w:rPr>
      </w:pPr>
    </w:p>
    <w:p w14:paraId="64B71B54" w14:textId="77777777" w:rsidR="00E844E1" w:rsidRDefault="00E844E1" w:rsidP="00E844E1">
      <w:pPr>
        <w:jc w:val="center"/>
        <w:rPr>
          <w:sz w:val="44"/>
          <w:szCs w:val="44"/>
        </w:rPr>
      </w:pPr>
    </w:p>
    <w:p w14:paraId="64B71B55" w14:textId="2135CF01" w:rsidR="00E844E1" w:rsidRDefault="00E844E1" w:rsidP="00E844E1">
      <w:pPr>
        <w:jc w:val="center"/>
        <w:rPr>
          <w:sz w:val="44"/>
          <w:szCs w:val="44"/>
        </w:rPr>
      </w:pPr>
      <w:r>
        <w:rPr>
          <w:sz w:val="44"/>
          <w:szCs w:val="44"/>
        </w:rPr>
        <w:t>Submission date: 0</w:t>
      </w:r>
      <w:r w:rsidR="009E6A7F">
        <w:rPr>
          <w:sz w:val="44"/>
          <w:szCs w:val="44"/>
        </w:rPr>
        <w:t>4</w:t>
      </w:r>
      <w:r>
        <w:rPr>
          <w:sz w:val="44"/>
          <w:szCs w:val="44"/>
        </w:rPr>
        <w:t>.</w:t>
      </w:r>
      <w:r w:rsidR="009E6A7F">
        <w:rPr>
          <w:sz w:val="44"/>
          <w:szCs w:val="44"/>
        </w:rPr>
        <w:t>09</w:t>
      </w:r>
      <w:r>
        <w:rPr>
          <w:sz w:val="44"/>
          <w:szCs w:val="44"/>
        </w:rPr>
        <w:t>.202</w:t>
      </w:r>
      <w:r w:rsidR="009E6A7F">
        <w:rPr>
          <w:sz w:val="44"/>
          <w:szCs w:val="44"/>
        </w:rPr>
        <w:t>6</w:t>
      </w:r>
    </w:p>
    <w:p w14:paraId="64B71B56" w14:textId="77777777" w:rsidR="00E844E1" w:rsidRDefault="00E844E1" w:rsidP="00E844E1"/>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22A1DD36" w14:textId="77777777" w:rsidR="00BC2217" w:rsidRDefault="00BC2217"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30EBB684" w14:textId="77777777" w:rsidR="00BC2217" w:rsidRDefault="00BC2217">
          <w:pPr>
            <w:pStyle w:val="TOCHeading"/>
            <w:rPr>
              <w:rFonts w:asciiTheme="minorHAnsi" w:eastAsiaTheme="minorHAnsi" w:hAnsiTheme="minorHAnsi" w:cstheme="minorBidi"/>
              <w:b w:val="0"/>
              <w:bCs w:val="0"/>
              <w:color w:val="auto"/>
              <w:sz w:val="22"/>
              <w:szCs w:val="22"/>
            </w:rPr>
            <w:sectPr w:rsidR="00BC2217"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B71B5E" w14:textId="77777777" w:rsidR="00595EA3" w:rsidRDefault="00595EA3">
          <w:pPr>
            <w:pStyle w:val="TOCHeading"/>
          </w:pPr>
          <w:r>
            <w:lastRenderedPageBreak/>
            <w:t>Table of Contents</w:t>
          </w:r>
        </w:p>
        <w:p w14:paraId="34709F1D" w14:textId="07AF5F91" w:rsidR="00DE0A97"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93247" w:history="1">
            <w:r w:rsidR="00DE0A97" w:rsidRPr="004A2868">
              <w:rPr>
                <w:rStyle w:val="Hyperlink"/>
                <w:noProof/>
                <w:lang w:bidi="hi-IN"/>
              </w:rPr>
              <w:t>Abstract</w:t>
            </w:r>
            <w:r w:rsidR="00DE0A97">
              <w:rPr>
                <w:noProof/>
                <w:webHidden/>
              </w:rPr>
              <w:tab/>
            </w:r>
            <w:r w:rsidR="00DE0A97">
              <w:rPr>
                <w:noProof/>
                <w:webHidden/>
              </w:rPr>
              <w:fldChar w:fldCharType="begin"/>
            </w:r>
            <w:r w:rsidR="00DE0A97">
              <w:rPr>
                <w:noProof/>
                <w:webHidden/>
              </w:rPr>
              <w:instrText xml:space="preserve"> PAGEREF _Toc239393247 \h </w:instrText>
            </w:r>
            <w:r w:rsidR="00DE0A97">
              <w:rPr>
                <w:noProof/>
                <w:webHidden/>
              </w:rPr>
            </w:r>
            <w:r w:rsidR="00DE0A97">
              <w:rPr>
                <w:noProof/>
                <w:webHidden/>
              </w:rPr>
              <w:fldChar w:fldCharType="separate"/>
            </w:r>
            <w:r w:rsidR="00DE0A97">
              <w:rPr>
                <w:noProof/>
                <w:webHidden/>
              </w:rPr>
              <w:t>3</w:t>
            </w:r>
            <w:r w:rsidR="00DE0A97">
              <w:rPr>
                <w:noProof/>
                <w:webHidden/>
              </w:rPr>
              <w:fldChar w:fldCharType="end"/>
            </w:r>
          </w:hyperlink>
        </w:p>
        <w:p w14:paraId="5F94FA18" w14:textId="75BD36D6" w:rsidR="00DE0A97" w:rsidRDefault="00DE0A97">
          <w:pPr>
            <w:pStyle w:val="TOC1"/>
            <w:tabs>
              <w:tab w:val="right" w:leader="dot" w:pos="9350"/>
            </w:tabs>
            <w:rPr>
              <w:rFonts w:eastAsiaTheme="minorEastAsia"/>
              <w:noProof/>
              <w:kern w:val="2"/>
              <w:sz w:val="24"/>
              <w:szCs w:val="24"/>
              <w14:ligatures w14:val="standardContextual"/>
            </w:rPr>
          </w:pPr>
          <w:hyperlink w:anchor="_Toc239393248" w:history="1">
            <w:r w:rsidRPr="004A2868">
              <w:rPr>
                <w:rStyle w:val="Hyperlink"/>
                <w:noProof/>
                <w:lang w:bidi="hi-IN"/>
              </w:rPr>
              <w:t>Introduction</w:t>
            </w:r>
            <w:r>
              <w:rPr>
                <w:noProof/>
                <w:webHidden/>
              </w:rPr>
              <w:tab/>
            </w:r>
            <w:r>
              <w:rPr>
                <w:noProof/>
                <w:webHidden/>
              </w:rPr>
              <w:fldChar w:fldCharType="begin"/>
            </w:r>
            <w:r>
              <w:rPr>
                <w:noProof/>
                <w:webHidden/>
              </w:rPr>
              <w:instrText xml:space="preserve"> PAGEREF _Toc239393248 \h </w:instrText>
            </w:r>
            <w:r>
              <w:rPr>
                <w:noProof/>
                <w:webHidden/>
              </w:rPr>
            </w:r>
            <w:r>
              <w:rPr>
                <w:noProof/>
                <w:webHidden/>
              </w:rPr>
              <w:fldChar w:fldCharType="separate"/>
            </w:r>
            <w:r>
              <w:rPr>
                <w:noProof/>
                <w:webHidden/>
              </w:rPr>
              <w:t>4</w:t>
            </w:r>
            <w:r>
              <w:rPr>
                <w:noProof/>
                <w:webHidden/>
              </w:rPr>
              <w:fldChar w:fldCharType="end"/>
            </w:r>
          </w:hyperlink>
        </w:p>
        <w:p w14:paraId="714B4D66" w14:textId="1778292E" w:rsidR="00DE0A97" w:rsidRDefault="00DE0A97">
          <w:pPr>
            <w:pStyle w:val="TOC1"/>
            <w:tabs>
              <w:tab w:val="right" w:leader="dot" w:pos="9350"/>
            </w:tabs>
            <w:rPr>
              <w:rFonts w:eastAsiaTheme="minorEastAsia"/>
              <w:noProof/>
              <w:kern w:val="2"/>
              <w:sz w:val="24"/>
              <w:szCs w:val="24"/>
              <w14:ligatures w14:val="standardContextual"/>
            </w:rPr>
          </w:pPr>
          <w:hyperlink w:anchor="_Toc239393249" w:history="1">
            <w:r w:rsidRPr="004A2868">
              <w:rPr>
                <w:rStyle w:val="Hyperlink"/>
                <w:noProof/>
                <w:lang w:bidi="hi-IN"/>
              </w:rPr>
              <w:t>Literature Review</w:t>
            </w:r>
            <w:r>
              <w:rPr>
                <w:noProof/>
                <w:webHidden/>
              </w:rPr>
              <w:tab/>
            </w:r>
            <w:r>
              <w:rPr>
                <w:noProof/>
                <w:webHidden/>
              </w:rPr>
              <w:fldChar w:fldCharType="begin"/>
            </w:r>
            <w:r>
              <w:rPr>
                <w:noProof/>
                <w:webHidden/>
              </w:rPr>
              <w:instrText xml:space="preserve"> PAGEREF _Toc239393249 \h </w:instrText>
            </w:r>
            <w:r>
              <w:rPr>
                <w:noProof/>
                <w:webHidden/>
              </w:rPr>
            </w:r>
            <w:r>
              <w:rPr>
                <w:noProof/>
                <w:webHidden/>
              </w:rPr>
              <w:fldChar w:fldCharType="separate"/>
            </w:r>
            <w:r>
              <w:rPr>
                <w:noProof/>
                <w:webHidden/>
              </w:rPr>
              <w:t>5</w:t>
            </w:r>
            <w:r>
              <w:rPr>
                <w:noProof/>
                <w:webHidden/>
              </w:rPr>
              <w:fldChar w:fldCharType="end"/>
            </w:r>
          </w:hyperlink>
        </w:p>
        <w:p w14:paraId="70E5245C" w14:textId="17D4C448" w:rsidR="00DE0A97" w:rsidRDefault="00DE0A97">
          <w:pPr>
            <w:pStyle w:val="TOC1"/>
            <w:tabs>
              <w:tab w:val="right" w:leader="dot" w:pos="9350"/>
            </w:tabs>
            <w:rPr>
              <w:rFonts w:eastAsiaTheme="minorEastAsia"/>
              <w:noProof/>
              <w:kern w:val="2"/>
              <w:sz w:val="24"/>
              <w:szCs w:val="24"/>
              <w14:ligatures w14:val="standardContextual"/>
            </w:rPr>
          </w:pPr>
          <w:hyperlink w:anchor="_Toc239393250" w:history="1">
            <w:r w:rsidRPr="004A2868">
              <w:rPr>
                <w:rStyle w:val="Hyperlink"/>
                <w:noProof/>
                <w:lang w:bidi="hi-IN"/>
              </w:rPr>
              <w:t>Methodology</w:t>
            </w:r>
            <w:r>
              <w:rPr>
                <w:noProof/>
                <w:webHidden/>
              </w:rPr>
              <w:tab/>
            </w:r>
            <w:r>
              <w:rPr>
                <w:noProof/>
                <w:webHidden/>
              </w:rPr>
              <w:fldChar w:fldCharType="begin"/>
            </w:r>
            <w:r>
              <w:rPr>
                <w:noProof/>
                <w:webHidden/>
              </w:rPr>
              <w:instrText xml:space="preserve"> PAGEREF _Toc239393250 \h </w:instrText>
            </w:r>
            <w:r>
              <w:rPr>
                <w:noProof/>
                <w:webHidden/>
              </w:rPr>
            </w:r>
            <w:r>
              <w:rPr>
                <w:noProof/>
                <w:webHidden/>
              </w:rPr>
              <w:fldChar w:fldCharType="separate"/>
            </w:r>
            <w:r>
              <w:rPr>
                <w:noProof/>
                <w:webHidden/>
              </w:rPr>
              <w:t>6</w:t>
            </w:r>
            <w:r>
              <w:rPr>
                <w:noProof/>
                <w:webHidden/>
              </w:rPr>
              <w:fldChar w:fldCharType="end"/>
            </w:r>
          </w:hyperlink>
        </w:p>
        <w:p w14:paraId="21B0C340" w14:textId="75736BBA" w:rsidR="00DE0A97" w:rsidRDefault="00DE0A97">
          <w:pPr>
            <w:pStyle w:val="TOC1"/>
            <w:tabs>
              <w:tab w:val="right" w:leader="dot" w:pos="9350"/>
            </w:tabs>
            <w:rPr>
              <w:rFonts w:eastAsiaTheme="minorEastAsia"/>
              <w:noProof/>
              <w:kern w:val="2"/>
              <w:sz w:val="24"/>
              <w:szCs w:val="24"/>
              <w14:ligatures w14:val="standardContextual"/>
            </w:rPr>
          </w:pPr>
          <w:hyperlink w:anchor="_Toc239393251" w:history="1">
            <w:r w:rsidRPr="004A2868">
              <w:rPr>
                <w:rStyle w:val="Hyperlink"/>
                <w:noProof/>
                <w:lang w:bidi="hi-IN"/>
              </w:rPr>
              <w:t>Findings</w:t>
            </w:r>
            <w:r>
              <w:rPr>
                <w:noProof/>
                <w:webHidden/>
              </w:rPr>
              <w:tab/>
            </w:r>
            <w:r>
              <w:rPr>
                <w:noProof/>
                <w:webHidden/>
              </w:rPr>
              <w:fldChar w:fldCharType="begin"/>
            </w:r>
            <w:r>
              <w:rPr>
                <w:noProof/>
                <w:webHidden/>
              </w:rPr>
              <w:instrText xml:space="preserve"> PAGEREF _Toc239393251 \h </w:instrText>
            </w:r>
            <w:r>
              <w:rPr>
                <w:noProof/>
                <w:webHidden/>
              </w:rPr>
            </w:r>
            <w:r>
              <w:rPr>
                <w:noProof/>
                <w:webHidden/>
              </w:rPr>
              <w:fldChar w:fldCharType="separate"/>
            </w:r>
            <w:r>
              <w:rPr>
                <w:noProof/>
                <w:webHidden/>
              </w:rPr>
              <w:t>7</w:t>
            </w:r>
            <w:r>
              <w:rPr>
                <w:noProof/>
                <w:webHidden/>
              </w:rPr>
              <w:fldChar w:fldCharType="end"/>
            </w:r>
          </w:hyperlink>
        </w:p>
        <w:p w14:paraId="153F4266" w14:textId="4D903A1B" w:rsidR="00DE0A97" w:rsidRDefault="00DE0A97">
          <w:pPr>
            <w:pStyle w:val="TOC1"/>
            <w:tabs>
              <w:tab w:val="right" w:leader="dot" w:pos="9350"/>
            </w:tabs>
            <w:rPr>
              <w:rFonts w:eastAsiaTheme="minorEastAsia"/>
              <w:noProof/>
              <w:kern w:val="2"/>
              <w:sz w:val="24"/>
              <w:szCs w:val="24"/>
              <w14:ligatures w14:val="standardContextual"/>
            </w:rPr>
          </w:pPr>
          <w:hyperlink w:anchor="_Toc239393252" w:history="1">
            <w:r w:rsidRPr="004A2868">
              <w:rPr>
                <w:rStyle w:val="Hyperlink"/>
                <w:noProof/>
                <w:lang w:bidi="hi-IN"/>
              </w:rPr>
              <w:t>Discussion</w:t>
            </w:r>
            <w:r>
              <w:rPr>
                <w:noProof/>
                <w:webHidden/>
              </w:rPr>
              <w:tab/>
            </w:r>
            <w:r>
              <w:rPr>
                <w:noProof/>
                <w:webHidden/>
              </w:rPr>
              <w:fldChar w:fldCharType="begin"/>
            </w:r>
            <w:r>
              <w:rPr>
                <w:noProof/>
                <w:webHidden/>
              </w:rPr>
              <w:instrText xml:space="preserve"> PAGEREF _Toc239393252 \h </w:instrText>
            </w:r>
            <w:r>
              <w:rPr>
                <w:noProof/>
                <w:webHidden/>
              </w:rPr>
            </w:r>
            <w:r>
              <w:rPr>
                <w:noProof/>
                <w:webHidden/>
              </w:rPr>
              <w:fldChar w:fldCharType="separate"/>
            </w:r>
            <w:r>
              <w:rPr>
                <w:noProof/>
                <w:webHidden/>
              </w:rPr>
              <w:t>8</w:t>
            </w:r>
            <w:r>
              <w:rPr>
                <w:noProof/>
                <w:webHidden/>
              </w:rPr>
              <w:fldChar w:fldCharType="end"/>
            </w:r>
          </w:hyperlink>
        </w:p>
        <w:p w14:paraId="36E2F5DB" w14:textId="1A9B3E5E" w:rsidR="00DE0A97" w:rsidRDefault="00DE0A97">
          <w:pPr>
            <w:pStyle w:val="TOC1"/>
            <w:tabs>
              <w:tab w:val="right" w:leader="dot" w:pos="9350"/>
            </w:tabs>
            <w:rPr>
              <w:rFonts w:eastAsiaTheme="minorEastAsia"/>
              <w:noProof/>
              <w:kern w:val="2"/>
              <w:sz w:val="24"/>
              <w:szCs w:val="24"/>
              <w14:ligatures w14:val="standardContextual"/>
            </w:rPr>
          </w:pPr>
          <w:hyperlink w:anchor="_Toc239393253" w:history="1">
            <w:r w:rsidRPr="004A2868">
              <w:rPr>
                <w:rStyle w:val="Hyperlink"/>
                <w:noProof/>
                <w:lang w:bidi="hi-IN"/>
              </w:rPr>
              <w:t>Conclusion</w:t>
            </w:r>
            <w:r>
              <w:rPr>
                <w:noProof/>
                <w:webHidden/>
              </w:rPr>
              <w:tab/>
            </w:r>
            <w:r>
              <w:rPr>
                <w:noProof/>
                <w:webHidden/>
              </w:rPr>
              <w:fldChar w:fldCharType="begin"/>
            </w:r>
            <w:r>
              <w:rPr>
                <w:noProof/>
                <w:webHidden/>
              </w:rPr>
              <w:instrText xml:space="preserve"> PAGEREF _Toc239393253 \h </w:instrText>
            </w:r>
            <w:r>
              <w:rPr>
                <w:noProof/>
                <w:webHidden/>
              </w:rPr>
            </w:r>
            <w:r>
              <w:rPr>
                <w:noProof/>
                <w:webHidden/>
              </w:rPr>
              <w:fldChar w:fldCharType="separate"/>
            </w:r>
            <w:r>
              <w:rPr>
                <w:noProof/>
                <w:webHidden/>
              </w:rPr>
              <w:t>10</w:t>
            </w:r>
            <w:r>
              <w:rPr>
                <w:noProof/>
                <w:webHidden/>
              </w:rPr>
              <w:fldChar w:fldCharType="end"/>
            </w:r>
          </w:hyperlink>
        </w:p>
        <w:p w14:paraId="3BFEB23E" w14:textId="2F8228C2" w:rsidR="00DE0A97" w:rsidRDefault="00DE0A97">
          <w:pPr>
            <w:pStyle w:val="TOC1"/>
            <w:tabs>
              <w:tab w:val="right" w:leader="dot" w:pos="9350"/>
            </w:tabs>
            <w:rPr>
              <w:rFonts w:eastAsiaTheme="minorEastAsia"/>
              <w:noProof/>
              <w:kern w:val="2"/>
              <w:sz w:val="24"/>
              <w:szCs w:val="24"/>
              <w14:ligatures w14:val="standardContextual"/>
            </w:rPr>
          </w:pPr>
          <w:hyperlink w:anchor="_Toc239393254" w:history="1">
            <w:r w:rsidRPr="004A2868">
              <w:rPr>
                <w:rStyle w:val="Hyperlink"/>
                <w:noProof/>
                <w:lang w:bidi="hi-IN"/>
              </w:rPr>
              <w:t>References</w:t>
            </w:r>
            <w:r>
              <w:rPr>
                <w:noProof/>
                <w:webHidden/>
              </w:rPr>
              <w:tab/>
            </w:r>
            <w:r>
              <w:rPr>
                <w:noProof/>
                <w:webHidden/>
              </w:rPr>
              <w:fldChar w:fldCharType="begin"/>
            </w:r>
            <w:r>
              <w:rPr>
                <w:noProof/>
                <w:webHidden/>
              </w:rPr>
              <w:instrText xml:space="preserve"> PAGEREF _Toc239393254 \h </w:instrText>
            </w:r>
            <w:r>
              <w:rPr>
                <w:noProof/>
                <w:webHidden/>
              </w:rPr>
            </w:r>
            <w:r>
              <w:rPr>
                <w:noProof/>
                <w:webHidden/>
              </w:rPr>
              <w:fldChar w:fldCharType="separate"/>
            </w:r>
            <w:r>
              <w:rPr>
                <w:noProof/>
                <w:webHidden/>
              </w:rPr>
              <w:t>12</w:t>
            </w:r>
            <w:r>
              <w:rPr>
                <w:noProof/>
                <w:webHidden/>
              </w:rPr>
              <w:fldChar w:fldCharType="end"/>
            </w:r>
          </w:hyperlink>
        </w:p>
        <w:p w14:paraId="64B71B67" w14:textId="3508CCA4"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53FBDD4" w14:textId="0A990221" w:rsidR="0076028F" w:rsidRPr="0076028F" w:rsidRDefault="0076028F" w:rsidP="00867D6D">
      <w:pPr>
        <w:pStyle w:val="Heading1"/>
      </w:pPr>
      <w:bookmarkStart w:id="0" w:name="_Toc239393247"/>
      <w:r w:rsidRPr="0076028F">
        <w:lastRenderedPageBreak/>
        <w:t>Abstract</w:t>
      </w:r>
      <w:bookmarkEnd w:id="0"/>
    </w:p>
    <w:p w14:paraId="46D511A4" w14:textId="77777777" w:rsidR="00EF264F" w:rsidRPr="00EF264F" w:rsidRDefault="00EF264F" w:rsidP="00EF264F">
      <w:r w:rsidRPr="00EF264F">
        <w:t>The strategic role of Human Resource Management (HRM) has evolved significantly from a traditional administrative support function into a fundamental driver of long-term organizational success (Wright and McMahan, 1992). In contemporary business environments characterized by rapid market changes, technological advancements, and global competition, traditional physical and financial assets are no longer sufficient to guarantee a lasting market presence (Barney, 1991). Consequently, human capital has emerged as a primary resource through which firms can build unique organizational capabilities and secure a sustainable competitive advantage (</w:t>
      </w:r>
      <w:proofErr w:type="spellStart"/>
      <w:r w:rsidRPr="00EF264F">
        <w:t>Huselid</w:t>
      </w:r>
      <w:proofErr w:type="spellEnd"/>
      <w:r w:rsidRPr="00EF264F">
        <w:t xml:space="preserve">, 1995). This report provides a critical examination of Strategic Human Resource Management (SHRM), exploring how aligning internal talent policies with high-level corporate goals directly influences systemic performance and operational resilience across diverse sectors (Schuler and Jackson, 1987). </w:t>
      </w:r>
    </w:p>
    <w:p w14:paraId="1359705B" w14:textId="2E18BD49" w:rsidR="00EF264F" w:rsidRPr="00EF264F" w:rsidRDefault="00EF264F" w:rsidP="00EF264F">
      <w:r>
        <w:t>T</w:t>
      </w:r>
      <w:r w:rsidRPr="00EF264F">
        <w:t xml:space="preserve">he study investigates the core concepts of Strategic Human Resource Management to demonstrate how strategic alignment enhances workplace effectiveness (Wright and McMahan, 1992). By moving beyond routine personnel tasks, SHRM integrates human resource frameworks with overarching business strategies, ensuring that recruitment, staff development, and performance systems actively reinforce organizational goals (Schuler and Jackson, 1987). Theoretical perspectives such as the Resource-Based View (RBV) highlight that a highly skilled, motivated, and socially complex workforce cannot be easily replicated by competitors, making effective people management an essential pillar of corporate success (Barney, 1991). Evaluating these concepts provides deep insight into how structured HR practices turn human potential into measurable business value (Boxall and Purcell, 2011). </w:t>
      </w:r>
    </w:p>
    <w:p w14:paraId="26879A1F" w14:textId="7957A627" w:rsidR="00EF264F" w:rsidRPr="00EF264F" w:rsidRDefault="00EF264F" w:rsidP="00EF264F">
      <w:r w:rsidRPr="00EF264F">
        <w:t xml:space="preserve">To build a solid foundation, this initial section establishes a comprehensive theoretical framework by reviewing essential SHRM literature and core talent management functions (Wright and McMahan, 1992; Boxall and Purcell, 2011). Key operational areas such as strategic workforce planning, targeted talent acquisition, continuous employee development, and structured knowledge management are thoroughly examined (Rothwell, 2010; Noe, 2017; Nonaka and Takeuchi, 1995). Strategic workforce planning and recruitment allow organizations to identify critical skill requirements and attract talent aligned with company culture (Cable and Judge, 1996; Collings and </w:t>
      </w:r>
      <w:proofErr w:type="spellStart"/>
      <w:r w:rsidRPr="00EF264F">
        <w:t>Mellahi</w:t>
      </w:r>
      <w:proofErr w:type="spellEnd"/>
      <w:r w:rsidRPr="00EF264F">
        <w:t xml:space="preserve">, 2009). Simultaneously, dedicated employee development and knowledge management systems ensure that individual skills are continuously upgraded and converted into shared organizational intelligence, strengthening long-term operational adaptability (Garvin, 1993; Nonaka and Takeuchi, 1995). </w:t>
      </w:r>
    </w:p>
    <w:p w14:paraId="4BFFA929" w14:textId="104A6103" w:rsidR="00EF264F" w:rsidRPr="00EF264F" w:rsidRDefault="00EF264F" w:rsidP="00EF264F">
      <w:r w:rsidRPr="00EF264F">
        <w:t>By analyzing these interconnected functions, the report illustrates the exact mechanisms through which strategic human resource practices directly influence employee motivation, job engagement, and overall workforce productivity (</w:t>
      </w:r>
      <w:proofErr w:type="spellStart"/>
      <w:r w:rsidRPr="00EF264F">
        <w:t>Huselid</w:t>
      </w:r>
      <w:proofErr w:type="spellEnd"/>
      <w:r w:rsidRPr="00EF264F">
        <w:t xml:space="preserve">, 1995; Saks, 2006). High-performance work practices provide employees with clear career growth opportunities, competitive reward structures, and supportive learning environments, satisfying essential psychological needs and fostering deep organizational commitment (Deci and Ryan, 2000; Vroom, 1964). When human resource policies are both vertically aligned with strategic objectives and horizontally integrated across departments, workforce effort directly aligns with strategic goals (Schuler and Jackson, 1987). This alignment transforms raw human resource </w:t>
      </w:r>
      <w:r w:rsidRPr="00EF264F">
        <w:lastRenderedPageBreak/>
        <w:t>management into a dynamic driver of creative problem-solving, operational excellence, and competitive differentiation (</w:t>
      </w:r>
      <w:proofErr w:type="spellStart"/>
      <w:r w:rsidRPr="00EF264F">
        <w:t>Huselid</w:t>
      </w:r>
      <w:proofErr w:type="spellEnd"/>
      <w:r w:rsidRPr="00EF264F">
        <w:t xml:space="preserve">, 1995; Boxall and Purcell, 2011). </w:t>
      </w:r>
    </w:p>
    <w:p w14:paraId="2A096A8E" w14:textId="4101FE68" w:rsidR="00EF264F" w:rsidRPr="00EF264F" w:rsidRDefault="00EF264F" w:rsidP="00EF264F">
      <w:r>
        <w:t>The</w:t>
      </w:r>
      <w:r w:rsidRPr="00EF264F">
        <w:t xml:space="preserve"> report details a qualitative secondary research methodology designed to evaluate strategic HR practices and their real-world outcomes objectively (Saunders, Lewis and Thornhill, 2019). By systematically collecting and synthesizing data from peer-reviewed academic journals, foundational management textbooks, and verified industry case studies, the study applies thematic analysis to uncover recurring patterns of organizational success and failure (Saunders, Lewis and Thornhill, 2019). Real-world examples, such as Google's data-driven talent management, Sears' structural fragmentation, and Boeing's organizational challenges, are evaluated to bridge theoretical principles with practical business realities (Garvin, 1993; </w:t>
      </w:r>
      <w:proofErr w:type="spellStart"/>
      <w:r w:rsidRPr="00EF264F">
        <w:t>Huselid</w:t>
      </w:r>
      <w:proofErr w:type="spellEnd"/>
      <w:r w:rsidRPr="00EF264F">
        <w:t xml:space="preserve">, 1995). Overall, this introductory section provides the theoretical, conceptual, and methodological groundwork required for the critical analysis and strategic recommendations presented in subsequent sections of the project report. </w:t>
      </w:r>
    </w:p>
    <w:p w14:paraId="53E2797F" w14:textId="77777777" w:rsidR="0076028F" w:rsidRPr="0076028F" w:rsidRDefault="0076028F" w:rsidP="0076028F"/>
    <w:p w14:paraId="325BEA75" w14:textId="77777777" w:rsidR="0076028F" w:rsidRPr="0076028F" w:rsidRDefault="0076028F" w:rsidP="00867D6D">
      <w:pPr>
        <w:pStyle w:val="Heading1"/>
      </w:pPr>
      <w:bookmarkStart w:id="1" w:name="_Toc239393248"/>
      <w:r w:rsidRPr="0076028F">
        <w:t>Introduction</w:t>
      </w:r>
      <w:bookmarkEnd w:id="1"/>
    </w:p>
    <w:p w14:paraId="73B074BC" w14:textId="77777777" w:rsidR="0076028F" w:rsidRPr="0076028F" w:rsidRDefault="0076028F" w:rsidP="0076028F">
      <w:r w:rsidRPr="0076028F">
        <w:t xml:space="preserve">In the modern global economy, organizations operate in an environment characterized by rapid technological advancement, market volatility, and intense competition. Traditional sources of competitive advantage, such as physical assets, capital availability, and proprietary technology, are no longer sufficient to guarantee long-term market dominance, as they can be easily duplicated or acquired by competitors. Consequently, human capital has emerged as one of the most critical drivers of sustained organizational performance and differentiation. The effective management of people, through structured and strategic human resource frameworks, directly dictates an organization's capacity to innovate, adapt, and execute its overarching business objectives. </w:t>
      </w:r>
    </w:p>
    <w:p w14:paraId="0E098621" w14:textId="67F1981D" w:rsidR="0076028F" w:rsidRPr="0076028F" w:rsidRDefault="0076028F" w:rsidP="0076028F">
      <w:r w:rsidRPr="0076028F">
        <w:t xml:space="preserve">Strategic Human Resource Management represents a fundamental evolution from traditional administrative personnel management. Rather than operating as an isolated back-office function focused purely on regulatory compliance and payroll, SHRM integrates human resource policies directly with long-term organizational goals. This strategic alignment ensures that workforce capabilities, organizational culture, and employee behaviors actively support business strategies, whether a firm pursues cost leadership, market differentiation, or rapid innovation. The strategic value of HRM lies in its ability to transform raw human potential into organized organizational capabilities that drive sustained business success. </w:t>
      </w:r>
    </w:p>
    <w:p w14:paraId="1E6B4ED2" w14:textId="6F1082D5" w:rsidR="0076028F" w:rsidRPr="0076028F" w:rsidRDefault="0076028F" w:rsidP="0076028F">
      <w:r w:rsidRPr="0076028F">
        <w:t>This project is structured as a comprehensive project report divided into three logical parts, designed to address the detailed require</w:t>
      </w:r>
      <w:r w:rsidR="00381326">
        <w:t>d</w:t>
      </w:r>
      <w:r w:rsidRPr="0076028F">
        <w:t xml:space="preserve">. </w:t>
      </w:r>
      <w:r w:rsidR="00052F30">
        <w:t>It</w:t>
      </w:r>
      <w:r w:rsidRPr="0076028F">
        <w:t xml:space="preserve"> delivers a thorough review of academic literature surrounding SHRM, workforce planning, recruitment, selection, employee development, and knowledge management. It also outlines the secondary qualitative research methodology applied throughout the paper. Subsequent parts will evaluate the direct links between HR practices, employee motivation, and engagement, analyze real-world corporate examples of HR success and failure, and propose strategic </w:t>
      </w:r>
      <w:r w:rsidRPr="0076028F">
        <w:lastRenderedPageBreak/>
        <w:t xml:space="preserve">recommendations for building sustainable, high-performance HR systems in contemporary business contexts. </w:t>
      </w:r>
    </w:p>
    <w:p w14:paraId="15BB95EC" w14:textId="77777777" w:rsidR="0076028F" w:rsidRPr="0076028F" w:rsidRDefault="0076028F" w:rsidP="0076028F"/>
    <w:p w14:paraId="58734B16" w14:textId="77777777" w:rsidR="0076028F" w:rsidRPr="0076028F" w:rsidRDefault="0076028F" w:rsidP="00867D6D">
      <w:pPr>
        <w:pStyle w:val="Heading1"/>
      </w:pPr>
      <w:bookmarkStart w:id="2" w:name="_Toc239393249"/>
      <w:r w:rsidRPr="0076028F">
        <w:t>Literature Review</w:t>
      </w:r>
      <w:bookmarkEnd w:id="2"/>
    </w:p>
    <w:p w14:paraId="412169F9" w14:textId="5DA72186" w:rsidR="0076028F" w:rsidRPr="0076028F" w:rsidRDefault="0076028F" w:rsidP="0076028F">
      <w:r w:rsidRPr="0076028F">
        <w:t>The evolution of Human Resource Management from a reactive administrative task to a central strategic function is well documented in organizational literature (Wright and McMahan, 1992). Strategic Human Resource Management (SHRM) is defined as the pattern of planned human resource deployments and activities intended to enable an organization to achieve its goals (Wright and McMahan, 1992). Central to SHRM theory is the Resource-Based View (RBV) of the firm, popularized by Jay Barney (1991). The RBV posits that sustainable competitive advantage is achieved when an organization possesses resources that are valuable, rare, inimitable, and non-substitutable (Barney, 1991). While physical machinery and product designs can be copied, a highly skilled, motivated, and strategically aligned workforce represents a complex social structure that competitors cannot easily replicate (</w:t>
      </w:r>
      <w:proofErr w:type="spellStart"/>
      <w:r w:rsidRPr="0076028F">
        <w:t>Huselid</w:t>
      </w:r>
      <w:proofErr w:type="spellEnd"/>
      <w:r w:rsidRPr="0076028F">
        <w:t xml:space="preserve">, 1995). </w:t>
      </w:r>
    </w:p>
    <w:p w14:paraId="1433DDF0" w14:textId="7045B4AD" w:rsidR="0076028F" w:rsidRPr="0076028F" w:rsidRDefault="0076028F" w:rsidP="0076028F">
      <w:r w:rsidRPr="0076028F">
        <w:t>SHRM frameworks generally emphasize two primary types of strategic alignment: vertical fit and horizontal fit (Schuler and Jackson, 1987). Vertical fit refers to the alignment of HR practices with the overarching business strategy of the firm. For instance, a firm pursuing an innovation-driven differentiation strategy requires HR practices that encourage risk-taking, continuous learning, and cross-functional collaboration (Schuler and Jackson, 1987). Horizontal fit, on the other hand, involves the internal consistency and mutual reinforcement among various HR practices, such as ensuring that selection criteria, training programs, performance evaluations, and reward schemes all work together toward common behavioral outcomes (Bainbridge, 2010). When vertical and horizontal fit are achieved simultaneously, high-performance work systems are created, directly elevating organizational capabilities (</w:t>
      </w:r>
      <w:proofErr w:type="spellStart"/>
      <w:r w:rsidRPr="0076028F">
        <w:t>Huselid</w:t>
      </w:r>
      <w:proofErr w:type="spellEnd"/>
      <w:r w:rsidRPr="0076028F">
        <w:t>, 1995).</w:t>
      </w:r>
    </w:p>
    <w:p w14:paraId="4136384E" w14:textId="7ED53095" w:rsidR="0076028F" w:rsidRPr="0076028F" w:rsidRDefault="0076028F" w:rsidP="0076028F">
      <w:r w:rsidRPr="0076028F">
        <w:t xml:space="preserve">Workforce planning, recruitment, selection, and strategic talent management represent the foundational entry points of the human capital pipeline (Boxall and Purcell, 2011). Strategic workforce planning involves analyzing current human capital capabilities, forecasting future talent demands, and identifying skill gaps necessary to meet long-term business goals (Rothwell, 2010). Effective workforce planning prevents organizational disruptions caused by talent shortages or overstaffing. Complementing planning, strategic recruitment and selection processes ensure that organizations attract and hire individuals who possess not only the requisite technical competencies, but also strong cultural alignment with the firm (Cable and Judge, 1996). Modern selection practices rely on structured competency-based assessments and behavioral evaluations to minimize hiring errors and improve long-term retention. Talent management frameworks further ensure that high-potential employees are systematically identified, mentored, and retained to fill key leadership roles over time (Collings and </w:t>
      </w:r>
      <w:proofErr w:type="spellStart"/>
      <w:r w:rsidRPr="0076028F">
        <w:t>Mellahi</w:t>
      </w:r>
      <w:proofErr w:type="spellEnd"/>
      <w:r w:rsidRPr="0076028F">
        <w:t xml:space="preserve">, 2009). </w:t>
      </w:r>
    </w:p>
    <w:p w14:paraId="1C0D16E2" w14:textId="1E1EF0DC" w:rsidR="0076028F" w:rsidRPr="0076028F" w:rsidRDefault="0076028F" w:rsidP="0076028F">
      <w:r w:rsidRPr="0076028F">
        <w:lastRenderedPageBreak/>
        <w:t xml:space="preserve">Beyond attracting top talent, organizations must continuously invest in employee development, training, and knowledge management to sustain operational competitiveness (Noe, 2017). Employee development encompasses structured learning opportunities designed to enhance employee skills, adaptabilities, and professional capabilities (Noe, 2017). Training programs address immediate skill deficiencies, whereas broader development initiatives prepare workers for future operational challenges and strategic shifts. Knowledge management systems play an equally vital role by creating mechanisms to capture, organize, share, and leverage explicit and tacit organizational knowledge (Nonaka and Takeuchi, 1995). Tacit knowledge, which resides in the experiences and insights of individual workers, must be systematically converted into collective organizational learning to foster continuous innovation and prevent knowledge loss when employees exit the firm (Nonaka and Takeuchi, 1995). </w:t>
      </w:r>
    </w:p>
    <w:p w14:paraId="3D339306" w14:textId="77777777" w:rsidR="0076028F" w:rsidRPr="0076028F" w:rsidRDefault="0076028F" w:rsidP="0076028F">
      <w:r w:rsidRPr="0076028F">
        <w:t xml:space="preserve">Furthermore, academic literature emphasizes that training and knowledge management directly impact organizational resilience and agility (Garvin, 1993). In learning organizations, continuous skill development encourages employees to adopt proactive problem-solving approaches, challenge outdated operational routines, and adapt quickly to market disruptions (Garvin, 1993). By embedding continuous learning into the corporate culture, SHRM transforms individual intellectual growth into collective strategic execution (Boxall and Purcell, 2011). </w:t>
      </w:r>
    </w:p>
    <w:p w14:paraId="7E9C2C7C" w14:textId="77777777" w:rsidR="0076028F" w:rsidRPr="0076028F" w:rsidRDefault="0076028F" w:rsidP="0076028F"/>
    <w:p w14:paraId="4863930C" w14:textId="77777777" w:rsidR="0076028F" w:rsidRPr="0076028F" w:rsidRDefault="0076028F" w:rsidP="004923C9">
      <w:pPr>
        <w:pStyle w:val="Heading1"/>
      </w:pPr>
      <w:bookmarkStart w:id="3" w:name="_Toc239393250"/>
      <w:r w:rsidRPr="0076028F">
        <w:t>Methodology</w:t>
      </w:r>
      <w:bookmarkEnd w:id="3"/>
    </w:p>
    <w:p w14:paraId="1C07BEA8" w14:textId="77777777" w:rsidR="00421548" w:rsidRPr="00421548" w:rsidRDefault="00421548" w:rsidP="00421548">
      <w:r w:rsidRPr="00421548">
        <w:t xml:space="preserve">This project applies a qualitative secondary research methodology to examine the complex relationships between strategic human resource practices, workforce behaviors, and long-term business performance (Saunders, Lewis and Thornhill, 2019). A desk-based qualitative approach was selected because it facilitates an in-depth, nuanced evaluation of theoretical concepts, managerial frameworks, and corporate case studies that cannot be fully evaluated through simple numerical data alone (Saunders, Lewis and Thornhill, 2019). By focusing on descriptive and explanatory qualitative evidence, the research captures the organizational dynamics, cultural shifts, and behavioral mechanisms through which human resource management directly influences systemic business outcomes (Wright and McMahan, 1992; </w:t>
      </w:r>
      <w:proofErr w:type="spellStart"/>
      <w:r w:rsidRPr="00421548">
        <w:t>Huselid</w:t>
      </w:r>
      <w:proofErr w:type="spellEnd"/>
      <w:r w:rsidRPr="00421548">
        <w:t>, 1995).</w:t>
      </w:r>
    </w:p>
    <w:p w14:paraId="15DE13F9" w14:textId="77777777" w:rsidR="00421548" w:rsidRPr="00421548" w:rsidRDefault="00421548" w:rsidP="00421548">
      <w:r w:rsidRPr="00421548">
        <w:t>Data collection involved a systematic review of high-quality secondary sources gathered from academic journal databases, peer-reviewed organizational behavior literature, established human resource management textbooks, and verified corporate case study reports (Saunders, Lewis and Thornhill, 2019). The research strategy targeted foundational theories alongside contemporary empirical studies to ensure a balanced academic foundation (Boxall and Purcell, 2011). Keywords used during the literature search included strategic human resource management, resource-based view, high-performance work systems, workforce planning, employee engagement, talent management, and organizational competitiveness. This systematic search strategy ensured that the gathered literature directly addressed the core theoretical and practical dimensions of the research topic (Saunders, Lewis and Thornhill, 2019).</w:t>
      </w:r>
    </w:p>
    <w:p w14:paraId="38F7790B" w14:textId="77777777" w:rsidR="00421548" w:rsidRPr="00421548" w:rsidRDefault="00421548" w:rsidP="00421548">
      <w:r w:rsidRPr="00421548">
        <w:lastRenderedPageBreak/>
        <w:t xml:space="preserve">The collected qualitative data was evaluated using thematic analysis techniques, identifying key patterns regarding how specific strategic HR practices directly influence employee behaviors, organizational learning, and overall business performance (Saunders, Lewis and Thornhill, 2019). Thematic analysis allowed for the categorization of qualitative evidence into core analytical themes, such as vertical and horizontal strategic alignment, intrinsic workforce motivation, knowledge transfer mechanisms, and leadership adaptability (Schuler and Jackson, 1987; Nonaka and Takeuchi, 1995). Synthesizing these themes provided a structured framework for evaluating how individual HR interventions aggregate into firm-level competitive advantages (Barney, 1991; </w:t>
      </w:r>
      <w:proofErr w:type="spellStart"/>
      <w:r w:rsidRPr="00421548">
        <w:t>Huselid</w:t>
      </w:r>
      <w:proofErr w:type="spellEnd"/>
      <w:r w:rsidRPr="00421548">
        <w:t>, 1995).</w:t>
      </w:r>
    </w:p>
    <w:p w14:paraId="4B52CE66" w14:textId="77777777" w:rsidR="00421548" w:rsidRPr="00421548" w:rsidRDefault="00421548" w:rsidP="00421548">
      <w:r w:rsidRPr="00421548">
        <w:t xml:space="preserve">By combining established theoretical literature with empirical case study evidence, this methodology guarantees an objective, rigorously researched, and critically balanced report (Saunders, Lewis and Thornhill, 2019). The integration of real-world corporate examples, such as Google, Sears, and Boeing, serves to test abstract management models against actual operational successes and failures (Garvin, 1993; </w:t>
      </w:r>
      <w:proofErr w:type="spellStart"/>
      <w:r w:rsidRPr="00421548">
        <w:t>Huselid</w:t>
      </w:r>
      <w:proofErr w:type="spellEnd"/>
      <w:r w:rsidRPr="00421548">
        <w:t>, 1995). Ultimately, this secondary qualitative approach establishes a sound analytical foundation, ensuring that the subsequent findings, strategic discussions, and practical recommendations are grounded in robust academic and empirical evidence.</w:t>
      </w:r>
    </w:p>
    <w:p w14:paraId="49EB8A61" w14:textId="77777777" w:rsidR="0076028F" w:rsidRPr="0076028F" w:rsidRDefault="0076028F" w:rsidP="0076028F"/>
    <w:p w14:paraId="05FE7143" w14:textId="2DE001C6" w:rsidR="001031E0" w:rsidRPr="001031E0" w:rsidRDefault="001031E0" w:rsidP="004923C9">
      <w:pPr>
        <w:pStyle w:val="Heading1"/>
      </w:pPr>
      <w:bookmarkStart w:id="4" w:name="_Toc239393251"/>
      <w:r w:rsidRPr="001031E0">
        <w:t>Findings</w:t>
      </w:r>
      <w:bookmarkEnd w:id="4"/>
    </w:p>
    <w:p w14:paraId="2E0FB85A" w14:textId="6843849B" w:rsidR="001031E0" w:rsidRPr="001031E0" w:rsidRDefault="001031E0" w:rsidP="001031E0">
      <w:r w:rsidRPr="001031E0">
        <w:t>The strategic integration of Human Resource Management (HRM) practices directly impacts core workforce variables, which in turn drive sustained business performance and competitive advantage (</w:t>
      </w:r>
      <w:proofErr w:type="spellStart"/>
      <w:r w:rsidRPr="001031E0">
        <w:t>Huselid</w:t>
      </w:r>
      <w:proofErr w:type="spellEnd"/>
      <w:r w:rsidRPr="001031E0">
        <w:t xml:space="preserve">, 1995; Boxall and Purcell, 2011). Examining the relationship between strategic HR interventions, employee motivation, organizational engagement, and overall performance reveals distinct operational mechanisms (Wright and McMahan, 1992). </w:t>
      </w:r>
    </w:p>
    <w:p w14:paraId="67250C47" w14:textId="192D2B8B" w:rsidR="001031E0" w:rsidRPr="001031E0" w:rsidRDefault="001031E0" w:rsidP="001031E0">
      <w:r w:rsidRPr="001031E0">
        <w:t>The connection between strategic HR practices and employee motivation is strongly supported by organizational theory (</w:t>
      </w:r>
      <w:proofErr w:type="spellStart"/>
      <w:r w:rsidRPr="001031E0">
        <w:t>Huselid</w:t>
      </w:r>
      <w:proofErr w:type="spellEnd"/>
      <w:r w:rsidRPr="001031E0">
        <w:t xml:space="preserve">, 1995). According to Self-Determination Theory, intrinsic motivation flourishes when work environments satisfy three basic psychological needs: autonomy, competence, and relatedness (Deci and Ryan, 2000). Strategic HR systems address these needs by designing roles that offer autonomy, providing continuous training to build task competence, and fostering a supportive culture that strengthens organizational relatedness (Noe, 2017). Furthermore, Expectancy Theory highlights that employees are motivated when they believe their efforts will result in successful performance, and that successful performance will be rewarded with valuable outcomes (Vroom, 1964). Total reward structures, which combine competitive base pay, performance-contingent bonuses, career progression opportunities, and non-monetary recognition, serve as powerful mechanisms that align individual effort with organizational performance targets (Bainbridge, 2010). </w:t>
      </w:r>
    </w:p>
    <w:p w14:paraId="3E9A4F0F" w14:textId="3155C1CC" w:rsidR="001031E0" w:rsidRPr="001031E0" w:rsidRDefault="001031E0" w:rsidP="001031E0">
      <w:r w:rsidRPr="001031E0">
        <w:t xml:space="preserve">Employee engagement acts as a critical mediating variable linking strategic HR practices with overall business results (Saks, 2006). High-Performance Work Systems (HPWS), which bundle rigorous selection, comprehensive training, clear performance management, and transparent internal communication, </w:t>
      </w:r>
      <w:r w:rsidRPr="001031E0">
        <w:lastRenderedPageBreak/>
        <w:t>cultivate high levels of workforce engagement (</w:t>
      </w:r>
      <w:proofErr w:type="spellStart"/>
      <w:r w:rsidRPr="001031E0">
        <w:t>Huselid</w:t>
      </w:r>
      <w:proofErr w:type="spellEnd"/>
      <w:r w:rsidRPr="001031E0">
        <w:t xml:space="preserve">, 1995). Highly engaged employees demonstrate intellectual and emotional involvement in their work, resulting in reduced voluntary absenteeism, lower turnover intention, and increased organizational citizenship behaviors (Saks, 2006). When employees feel valued through structured development programs and fair appraisal systems, their commitment shifts from transactional compliance to deep affective commitment, directly improving operational output (Boxall and Purcell, 2011). </w:t>
      </w:r>
    </w:p>
    <w:p w14:paraId="325D5DB4" w14:textId="7928EC4A" w:rsidR="001031E0" w:rsidRPr="001031E0" w:rsidRDefault="001031E0" w:rsidP="001031E0">
      <w:r w:rsidRPr="001031E0">
        <w:t xml:space="preserve">To understand how these strategic HR concepts function in real-world business settings, it is helpful to examine corporate examples where strategic HR practices directly contributed to organizational success or failure. </w:t>
      </w:r>
    </w:p>
    <w:p w14:paraId="39C8A3CB" w14:textId="2AF9312C" w:rsidR="001031E0" w:rsidRPr="001031E0" w:rsidRDefault="001031E0" w:rsidP="001031E0">
      <w:r w:rsidRPr="001031E0">
        <w:t xml:space="preserve">A clear example of strategic HRM driving market dominance is observed at Google (Alphabet Inc.). Google transformed standard personnel administration into an advanced, data-driven HR framework known as People Analytics. By evaluating workforce metrics, talent sourcing patterns, and team collaboration dynamics, Google optimizes its recruitment, talent identification, and workplace environment design. Google's strategic focus on continuous learning, creative autonomy, and competitive total rewards fosters high levels of workforce engagement and groundbreaking product innovation. By treating human capital as its primary resource, Google consistently secures a distinct competitive advantage in the global technology sector (Barney, 1991; Noe, 2017). </w:t>
      </w:r>
    </w:p>
    <w:p w14:paraId="00A2478F" w14:textId="05955A64" w:rsidR="001031E0" w:rsidRPr="001031E0" w:rsidRDefault="001031E0" w:rsidP="001031E0">
      <w:r w:rsidRPr="001031E0">
        <w:t xml:space="preserve">Conversely, the decline of Sears, Roebuck and Co. illustrates the catastrophic consequences of misaligned HR systems and fragmented internal structures. In the late 2000s, executive leadership restructured the retail giant into decentralized, competing business units. This decision created internal silos, destroyed cross-departmental collaboration, and pitted teams against one another for bonuses and capital allocation. Performance evaluation systems rewarded individual unit achievements over total company performance, creating an unhealthy, hyper-competitive internal environment. The total absence of horizontal alignment across HR practices led to plummeting employee engagement, widespread turnover, decaying customer service quality, and eventual financial ruin (Schuler and Jackson, 1987; </w:t>
      </w:r>
      <w:proofErr w:type="spellStart"/>
      <w:r w:rsidRPr="001031E0">
        <w:t>Huselid</w:t>
      </w:r>
      <w:proofErr w:type="spellEnd"/>
      <w:r w:rsidRPr="001031E0">
        <w:t xml:space="preserve">, 1995). </w:t>
      </w:r>
    </w:p>
    <w:p w14:paraId="6C9FE3A8" w14:textId="77777777" w:rsidR="001031E0" w:rsidRPr="001031E0" w:rsidRDefault="001031E0" w:rsidP="001031E0">
      <w:r w:rsidRPr="001031E0">
        <w:t xml:space="preserve">Similarly, the operational challenges experienced by Boeing during the 737 MAX crisis demonstrate the risks of prioritizing aggressive cost-cutting over workforce development and psychological safety. Following corporate restructurings, internal pressures to meet short-term financial targets resulted in the reduction of experienced engineering talent, outsourced quality control functions, and the suppression of internal technical concerns. The failure to maintain a culture of continuous learning, ethical communication, and psychological safety compromised long-term operational quality and damaged the firm's global reputation (Garvin, 1993; Wright and McMahan, 1992). </w:t>
      </w:r>
    </w:p>
    <w:p w14:paraId="4CED9267" w14:textId="77777777" w:rsidR="001031E0" w:rsidRPr="001031E0" w:rsidRDefault="001031E0" w:rsidP="001031E0"/>
    <w:p w14:paraId="51164DDD" w14:textId="77777777" w:rsidR="001031E0" w:rsidRPr="001031E0" w:rsidRDefault="001031E0" w:rsidP="004923C9">
      <w:pPr>
        <w:pStyle w:val="Heading1"/>
      </w:pPr>
      <w:bookmarkStart w:id="5" w:name="_Toc239393252"/>
      <w:r w:rsidRPr="001031E0">
        <w:t>Discussion</w:t>
      </w:r>
      <w:bookmarkEnd w:id="5"/>
    </w:p>
    <w:p w14:paraId="223E585A" w14:textId="77777777" w:rsidR="00E83266" w:rsidRPr="00E83266" w:rsidRDefault="00E83266" w:rsidP="00E83266">
      <w:r w:rsidRPr="00E83266">
        <w:lastRenderedPageBreak/>
        <w:t xml:space="preserve">The critical synthesis of theoretical literature and practical case studies confirms that Strategic Human Resource Management is an indispensable driver of long-term organizational success (Wright and McMahan, 1992; Boxall and Purcell, 2011). The findings demonstrate that HR functions cannot operate as isolated, back-office administrative units focused purely on routine compliance (Schuler and Jackson, 1987). Instead, human resource practices must be fully integrated into the firm's overarching strategic decision-making framework to achieve meaningful competitive differentiation in dynamic global markets (Schuler and Jackson, 1987; Barney, 1991). When people management aligns directly with high-level corporate planning, organizations can transform raw workforce capabilities into sustainable strategic execution capacity (Wright and McMahan, 1992; </w:t>
      </w:r>
      <w:proofErr w:type="spellStart"/>
      <w:r w:rsidRPr="00E83266">
        <w:t>Huselid</w:t>
      </w:r>
      <w:proofErr w:type="spellEnd"/>
      <w:r w:rsidRPr="00E83266">
        <w:t>, 1995).</w:t>
      </w:r>
    </w:p>
    <w:p w14:paraId="6D703A4D" w14:textId="77777777" w:rsidR="00E83266" w:rsidRPr="00E83266" w:rsidRDefault="00E83266" w:rsidP="00E83266">
      <w:r w:rsidRPr="00E83266">
        <w:t>A major theme emerging from the analysis is the absolute necessity of achieving both vertical and horizontal fit across human resource policies (Schuler and Jackson, 1987). Vertical fit requires that HR practices directly support the broader business strategy, whether a firm pursues innovation, quality leadership, or cost efficiency (Schuler and Jackson, 1987). Horizontal fit ensures that individual HR practices, including recruitment, training, performance appraisals, and compensation schemes, mutually reinforce one another (Bainbridge, 2010). As demonstrated by Google, when HR practices achieve complete vertical alignment with innovation goals and horizontal integration across departments, a High-Performance Work System is created that continuously reinforces positive employee behaviors, creative problem-solving, and operational efficiency (</w:t>
      </w:r>
      <w:proofErr w:type="spellStart"/>
      <w:r w:rsidRPr="00E83266">
        <w:t>Huselid</w:t>
      </w:r>
      <w:proofErr w:type="spellEnd"/>
      <w:r w:rsidRPr="00E83266">
        <w:t>, 1995).</w:t>
      </w:r>
    </w:p>
    <w:p w14:paraId="257A7B52" w14:textId="77777777" w:rsidR="00E83266" w:rsidRPr="00E83266" w:rsidRDefault="00E83266" w:rsidP="00E83266">
      <w:r w:rsidRPr="00E83266">
        <w:t xml:space="preserve">Conversely, the failure to establish internal strategic alignment severely damages organizational performance and competitive standing (Schuler and Jackson, 1987). The Sears case study clearly demonstrates that when HR practices incentivize isolated unit performance over broader corporate success, internal trust erodes, operational synergies break down, and organizational culture deteriorates (Schuler and Jackson, 1987; </w:t>
      </w:r>
      <w:proofErr w:type="spellStart"/>
      <w:r w:rsidRPr="00E83266">
        <w:t>Huselid</w:t>
      </w:r>
      <w:proofErr w:type="spellEnd"/>
      <w:r w:rsidRPr="00E83266">
        <w:t>, 1995). Restructuring business units without aligned performance management creates internal silos and hyper-competitive friction among teams (Bainbridge, 2010). This structural disconnect illustrates that misaligned HR mechanisms actively undermine long-term strategy, leading to market share loss, declining customer service quality, and organizational decline (Porter, 2008; Johnson, Scholes and Whittington, 2008).</w:t>
      </w:r>
    </w:p>
    <w:p w14:paraId="05A446DB" w14:textId="209A02F8" w:rsidR="00E83266" w:rsidRPr="00E83266" w:rsidRDefault="00E83266" w:rsidP="00E83266">
      <w:r w:rsidRPr="00E83266">
        <w:t xml:space="preserve">Furthermore, the research highlights that continuous investment in human capital through strategic workforce planning, targeted employee development, and knowledge management builds deep organizational resilience (Rothwell, 2010; Noe, 2017; Nonaka and Takeuchi, 1995). In dynamic and unpredictable markets, physical machinery, digital platforms, and raw capital can be rapidly acquired or duplicated by competitors (Barney, 1991). However, a highly skilled, motivated, and socially integrated workforce cannot be easily replicated by market rivals, serving as a primary source of sustained competitive advantage under the Resource-Based View (Barney, 1991; </w:t>
      </w:r>
      <w:proofErr w:type="spellStart"/>
      <w:r w:rsidRPr="00E83266">
        <w:t>Huselid</w:t>
      </w:r>
      <w:proofErr w:type="spellEnd"/>
      <w:r w:rsidRPr="00E83266">
        <w:t>, 1995). Boeing's operational challenges serve as a clear warning regarding the severe dangers of viewing human capital primarily as a short-term financial expense to be minimized, rather than a vital strategic asset to be nurtured over time (Barney, 1991; Garvin, 1993).</w:t>
      </w:r>
    </w:p>
    <w:p w14:paraId="0A3EFF7A" w14:textId="77777777" w:rsidR="00E83266" w:rsidRPr="00E83266" w:rsidRDefault="00E83266" w:rsidP="00E83266">
      <w:r w:rsidRPr="00E83266">
        <w:t xml:space="preserve">Ultimately, human resource practices directly shape organizational culture, employee motivation, psychological safety, and frontline execution capacity (Wright and McMahan, 1992; Saks, 2006). By </w:t>
      </w:r>
      <w:r w:rsidRPr="00E83266">
        <w:lastRenderedPageBreak/>
        <w:t>providing clear career progression pathways, fostering continuous learning environments, and aligning total reward systems with strategic goals, organizations cultivate deep affective commitment and high engagement levels among staff (Deci and Ryan, 2000; Boxall and Purcell, 2011). Organizations that treat Strategic Human Resource Management as a central strategic partner are far better positioned to adapt to market disruptions, retain top talent, foster continuous innovation, and maintain a sustainable competitive advantage in complex global markets (Barney, 1991; Teece, 2007; Boxall and Purcell, 2011).</w:t>
      </w:r>
    </w:p>
    <w:p w14:paraId="28F8A9C0" w14:textId="77777777" w:rsidR="001031E0" w:rsidRPr="001031E0" w:rsidRDefault="001031E0" w:rsidP="001031E0"/>
    <w:p w14:paraId="0F5BED9B" w14:textId="77777777" w:rsidR="00244053" w:rsidRPr="00244053" w:rsidRDefault="00244053" w:rsidP="004923C9">
      <w:pPr>
        <w:pStyle w:val="Heading1"/>
      </w:pPr>
      <w:bookmarkStart w:id="6" w:name="_Toc239393253"/>
      <w:r w:rsidRPr="00244053">
        <w:t>Conclusion</w:t>
      </w:r>
      <w:bookmarkEnd w:id="6"/>
    </w:p>
    <w:p w14:paraId="13647FD6" w14:textId="7036E0E4" w:rsidR="00433CFA" w:rsidRPr="00433CFA" w:rsidRDefault="00433CFA" w:rsidP="00433CFA">
      <w:r w:rsidRPr="00433CFA">
        <w:t xml:space="preserve">This report has delivered a critical strategic analysis of how Human Resource Management contributes to overall organizational performance and competitive advantage (Wright and McMahan, 1992; Boxall and Purcell, 2011). Through a comprehensive review of Strategic Human Resource Management frameworks, the Resource-Based View, and High-Performance Work Systems, the study confirms that human capital represents the primary source of sustainable competitive differentiation in modern global markets (Barney, 1991; </w:t>
      </w:r>
      <w:proofErr w:type="spellStart"/>
      <w:r w:rsidRPr="00433CFA">
        <w:t>Huselid</w:t>
      </w:r>
      <w:proofErr w:type="spellEnd"/>
      <w:r w:rsidRPr="00433CFA">
        <w:t xml:space="preserve">, 1995). Traditional physical and financial assets are easily duplicated by market rivals, leaving human capabilities as the core engine of unique value creation (Barney, 1991). By integrating people management directly into high-level business planning, modern firms can build organizational capabilities that directly support long-term strategic execution and commercial resilience (Schuler and Jackson, 1987). </w:t>
      </w:r>
    </w:p>
    <w:p w14:paraId="4AE88D89" w14:textId="024337E3" w:rsidR="00433CFA" w:rsidRPr="00433CFA" w:rsidRDefault="00433CFA" w:rsidP="00433CFA">
      <w:r w:rsidRPr="00433CFA">
        <w:t xml:space="preserve">The detailed evaluation demonstrates that strategic HR practices, including workforce planning, recruitment, selection, continuous employee development, and knowledge management systems, directly shape essential workforce outcomes (Rothwell, 2010; Noe, 2017; Nonaka and Takeuchi, 1995). When these interconnected functions are designed to operate as a unified system, they positively influence critical employee variables such as intrinsic motivation, job engagement, organizational commitment, and daily task productivity (Saks, 2006; </w:t>
      </w:r>
      <w:proofErr w:type="spellStart"/>
      <w:r w:rsidRPr="00433CFA">
        <w:t>Huselid</w:t>
      </w:r>
      <w:proofErr w:type="spellEnd"/>
      <w:r w:rsidRPr="00433CFA">
        <w:t xml:space="preserve">, 1995). Effective workforce planning and strategic recruitment ensure that the organization continuously attracts talent aligned with both competency requirements and corporate values (Cable and Judge, 1996; Collings and </w:t>
      </w:r>
      <w:proofErr w:type="spellStart"/>
      <w:r w:rsidRPr="00433CFA">
        <w:t>Mellahi</w:t>
      </w:r>
      <w:proofErr w:type="spellEnd"/>
      <w:r w:rsidRPr="00433CFA">
        <w:t xml:space="preserve">, 2009). This foundational entry pipeline ensures that incoming human capital provides an immediate positive impact on operational targets while laying the groundwork for future leadership continuity (Rothwell, 2010). </w:t>
      </w:r>
    </w:p>
    <w:p w14:paraId="1DA7EC5D" w14:textId="738C9E7C" w:rsidR="00433CFA" w:rsidRPr="00433CFA" w:rsidRDefault="00433CFA" w:rsidP="00433CFA">
      <w:r w:rsidRPr="00433CFA">
        <w:t xml:space="preserve">At the same time, structured training, continuous professional development, and knowledge management transform isolated individual skills into collective organizational learning and strategic agility (Nonaka and Takeuchi, 1995; Garvin, 1993). Training programs allow employees to adapt to evolving technological tools, while knowledge management systems capture tacit employee insights and convert them into shared organizational assets (Noe, 2017; Nonaka and Takeuchi, 1995). This continuous learning environment satisfies core psychological needs for competence and professional growth, which in turn elevates worker dedication and encourages proactive problem-solving across all organizational levels (Deci and Ryan, 2000). Organizations that consistently invest in human capital </w:t>
      </w:r>
      <w:r w:rsidRPr="00433CFA">
        <w:lastRenderedPageBreak/>
        <w:t xml:space="preserve">development build an adaptable workforce capable of navigating market volatility and driving innovation without sacrificing operational quality (Garvin, 1993; Boxall and Purcell, 2011). </w:t>
      </w:r>
    </w:p>
    <w:p w14:paraId="41C4B413" w14:textId="6B0BC2CB" w:rsidR="00433CFA" w:rsidRPr="00433CFA" w:rsidRDefault="00433CFA" w:rsidP="00433CFA">
      <w:r w:rsidRPr="00433CFA">
        <w:t>Furthermore, the research highlights that employee motivation and engagement serve as critical mediating mechanisms that translate strategic HR interventions into tangible commercial performance (Vroom, 1964; Saks, 2006). By combining competitive total reward schemes, clear performance feedback, and meaningful development opportunities, Strategic Human Resource Management creates an environment where personal employee goals directly align with broader organizational objectives (Bainbridge, 2010; Schuler and Jackson, 1987). When workers perceive that their contributions are fairly recognized and supported by transparent leadership, their commitment transitions from simple transactional compliance to deep affective organizational commitment (Boxall and Purcell, 2011). This psychological connection significantly reduces voluntary absenteeism and costly talent turnover while increasing voluntary organizational citizenship behaviors (</w:t>
      </w:r>
      <w:proofErr w:type="spellStart"/>
      <w:r w:rsidRPr="00433CFA">
        <w:t>Huselid</w:t>
      </w:r>
      <w:proofErr w:type="spellEnd"/>
      <w:r w:rsidRPr="00433CFA">
        <w:t xml:space="preserve">, 1995; Saks, 2006). </w:t>
      </w:r>
    </w:p>
    <w:p w14:paraId="6E7B733A" w14:textId="7DA4E43F" w:rsidR="00433CFA" w:rsidRPr="00433CFA" w:rsidRDefault="00433CFA" w:rsidP="00433CFA">
      <w:r w:rsidRPr="00433CFA">
        <w:t xml:space="preserve">The empirical real-world corporate case studies evaluated in this report further reinforce these theoretical insights by illustrating the dramatic consequences of strategic HR alignment and failure. Google's data-driven People Analytics frameworks demonstrate the immense power of integrating human resource practices with core innovation goals, showing how continuous learning and employee autonomy sustain industry dominance (Barney, 1991; Noe, 2017). In contrast, the structural breakdown of Sears highlights the catastrophic failure that occurs when fragmented HR policies pit internal business units against one another, destroying trust and eroding customer service quality (Schuler and Jackson, 1987; </w:t>
      </w:r>
      <w:proofErr w:type="spellStart"/>
      <w:r w:rsidRPr="00433CFA">
        <w:t>Huselid</w:t>
      </w:r>
      <w:proofErr w:type="spellEnd"/>
      <w:r w:rsidRPr="00433CFA">
        <w:t xml:space="preserve">, 1995). These opposing case examples confirm that human resource policies directly shape the cultural and operational reality of any enterprise. </w:t>
      </w:r>
    </w:p>
    <w:p w14:paraId="55391F0B" w14:textId="3A44F94A" w:rsidR="00433CFA" w:rsidRPr="00433CFA" w:rsidRDefault="00433CFA" w:rsidP="00433CFA">
      <w:r w:rsidRPr="00433CFA">
        <w:t xml:space="preserve">In a similar vein, the severe operational challenges experienced by Boeing during the 737 MAX crisis highlight the significant risks associated with prioritizing aggressive short-term cost reduction over workforce development, quality control, and psychological safety (Garvin, 1993; Wright and McMahan, 1992). When internal pressures suppress open technical communication and erode learning structures, organizational risk increases dramatically and corporate reputation suffers long-term damage (Garvin, 1993). This case serves as a powerful reminder that human capital must be treated as a vital strategic asset to be nurtured over time, rather than a short-term operational expense to be minimized (Barney, 1991; Wright and McMahan, 1992). Fostering an organizational culture built on continuous learning, open feedback, and psychological safety remains essential for maintaining product safety and operational excellence. </w:t>
      </w:r>
    </w:p>
    <w:p w14:paraId="0B68D8F1" w14:textId="77777777" w:rsidR="00433CFA" w:rsidRPr="00433CFA" w:rsidRDefault="00433CFA" w:rsidP="00433CFA">
      <w:r w:rsidRPr="00433CFA">
        <w:t xml:space="preserve">To achieve sustained effectiveness and resilience in fast-moving modern markets, business leaders must permanently move away from treating Human Resource Management as a reactive, back-office administrative department (Schuler and Jackson, 1987; Wright and McMahan, 1992). Modern organizations must ensure full vertical alignment by designing HR policies that directly reflect the overarching corporate strategy, whether focused on product innovation, customer service excellence, or operational efficiency (Schuler and Jackson, 1987). Simultaneously, executive teams must enforce horizontal fit, ensuring that recruitment, training, performance evaluations, and reward systems work together to reinforce identical behavioral outcomes across every department (Bainbridge, 2010; </w:t>
      </w:r>
      <w:proofErr w:type="spellStart"/>
      <w:r w:rsidRPr="00433CFA">
        <w:lastRenderedPageBreak/>
        <w:t>Huselid</w:t>
      </w:r>
      <w:proofErr w:type="spellEnd"/>
      <w:r w:rsidRPr="00433CFA">
        <w:t>, 1995). Establishing this internal synergy creates a High-Performance Work System that elevates productivity and builds a strong defense against competitive market pressures (</w:t>
      </w:r>
      <w:proofErr w:type="spellStart"/>
      <w:r w:rsidRPr="00433CFA">
        <w:t>Huselid</w:t>
      </w:r>
      <w:proofErr w:type="spellEnd"/>
      <w:r w:rsidRPr="00433CFA">
        <w:t xml:space="preserve">, 1995). </w:t>
      </w:r>
    </w:p>
    <w:p w14:paraId="41BB8AA5" w14:textId="35A6297A" w:rsidR="00433CFA" w:rsidRPr="00433CFA" w:rsidRDefault="00433CFA" w:rsidP="00433CFA">
      <w:r w:rsidRPr="00433CFA">
        <w:t xml:space="preserve">Strategic Human Resource Management serves as the primary bridge connecting corporate vision with daily frontline execution across modern enterprises (Wright and McMahan, 1992). By embedding vertical and horizontal integration across all talent policies, cultivating a corporate culture centered on continuous learning, and prioritizing genuine employee engagement, modern businesses can build highly capable, resilient, and agile workforces (Barney, 1991; Boxall and Purcell, 2011; Saks, 2006). As global markets continue to face technological disruption and shifting economic demands, organizations that champion strategic people management will remain best equipped to adapt to unforeseen challenges, retain top industry talent, and maintain a sustainable competitive advantage (Barney, 1991; </w:t>
      </w:r>
      <w:proofErr w:type="spellStart"/>
      <w:r w:rsidRPr="00433CFA">
        <w:t>Huselid</w:t>
      </w:r>
      <w:proofErr w:type="spellEnd"/>
      <w:r w:rsidRPr="00433CFA">
        <w:t xml:space="preserve">, 1995; Boxall and Purcell, 2011). </w:t>
      </w:r>
    </w:p>
    <w:p w14:paraId="1F0CF3AA" w14:textId="77777777" w:rsidR="00244053" w:rsidRPr="00244053" w:rsidRDefault="00244053" w:rsidP="00244053"/>
    <w:p w14:paraId="63251195" w14:textId="63E62919" w:rsidR="00244053" w:rsidRPr="00244053" w:rsidRDefault="00244053" w:rsidP="004923C9">
      <w:pPr>
        <w:pStyle w:val="Heading1"/>
      </w:pPr>
      <w:bookmarkStart w:id="7" w:name="_Toc239393254"/>
      <w:r w:rsidRPr="00244053">
        <w:t>References</w:t>
      </w:r>
      <w:bookmarkEnd w:id="7"/>
    </w:p>
    <w:p w14:paraId="192875E6" w14:textId="41B425EF" w:rsidR="00244053" w:rsidRPr="00244053" w:rsidRDefault="00244053" w:rsidP="00244053">
      <w:r w:rsidRPr="00244053">
        <w:t xml:space="preserve">Bainbridge, H.T. (2010) 'Alignment of SHRM and business strategy', </w:t>
      </w:r>
      <w:r w:rsidRPr="00244053">
        <w:rPr>
          <w:i/>
          <w:iCs/>
        </w:rPr>
        <w:t>Human Resource Management Review</w:t>
      </w:r>
      <w:r w:rsidRPr="00244053">
        <w:t>, 20(1), pp. 12-25.</w:t>
      </w:r>
    </w:p>
    <w:p w14:paraId="69101A09" w14:textId="0E05D22F" w:rsidR="00244053" w:rsidRPr="00244053" w:rsidRDefault="00244053" w:rsidP="00244053">
      <w:r w:rsidRPr="00244053">
        <w:t xml:space="preserve">Barney, J. (1991) 'Firm resources and sustained competitive advantage', </w:t>
      </w:r>
      <w:r w:rsidRPr="00244053">
        <w:rPr>
          <w:i/>
          <w:iCs/>
        </w:rPr>
        <w:t>Journal of Management</w:t>
      </w:r>
      <w:r w:rsidRPr="00244053">
        <w:t>, 17(1), pp. 99-120.</w:t>
      </w:r>
    </w:p>
    <w:p w14:paraId="29C3CA93" w14:textId="77777777" w:rsidR="00244053" w:rsidRPr="00244053" w:rsidRDefault="00244053" w:rsidP="00244053">
      <w:r w:rsidRPr="00244053">
        <w:t xml:space="preserve">Boxall, P. and Purcell, J. (2011) </w:t>
      </w:r>
      <w:r w:rsidRPr="00244053">
        <w:rPr>
          <w:i/>
          <w:iCs/>
        </w:rPr>
        <w:t>Strategy and Human Resource Management</w:t>
      </w:r>
      <w:r w:rsidRPr="00244053">
        <w:t xml:space="preserve">. 3rd </w:t>
      </w:r>
      <w:proofErr w:type="spellStart"/>
      <w:r w:rsidRPr="00244053">
        <w:t>edn</w:t>
      </w:r>
      <w:proofErr w:type="spellEnd"/>
      <w:r w:rsidRPr="00244053">
        <w:t>. London: Palgrave Macmillan.</w:t>
      </w:r>
    </w:p>
    <w:p w14:paraId="2EC1AD31" w14:textId="77777777" w:rsidR="00244053" w:rsidRPr="00244053" w:rsidRDefault="00244053" w:rsidP="00244053">
      <w:r w:rsidRPr="00244053">
        <w:t xml:space="preserve">Cable, D.M. and Judge, T.A. (1996) 'Person-organization fit, job choice decisions, and organizational entry', </w:t>
      </w:r>
      <w:r w:rsidRPr="00244053">
        <w:rPr>
          <w:i/>
          <w:iCs/>
        </w:rPr>
        <w:t>Organizational Behavior and Human Decision Processes</w:t>
      </w:r>
      <w:r w:rsidRPr="00244053">
        <w:t>, 67(3), pp. 294-311.</w:t>
      </w:r>
    </w:p>
    <w:p w14:paraId="3421030E" w14:textId="77777777" w:rsidR="00244053" w:rsidRPr="00244053" w:rsidRDefault="00244053" w:rsidP="00244053">
      <w:r w:rsidRPr="00244053">
        <w:t xml:space="preserve">Collings, D.G. and </w:t>
      </w:r>
      <w:proofErr w:type="spellStart"/>
      <w:r w:rsidRPr="00244053">
        <w:t>Mellahi</w:t>
      </w:r>
      <w:proofErr w:type="spellEnd"/>
      <w:r w:rsidRPr="00244053">
        <w:t xml:space="preserve">, K. (2009) 'Strategic talent management: A review and research agenda', </w:t>
      </w:r>
      <w:r w:rsidRPr="00244053">
        <w:rPr>
          <w:i/>
          <w:iCs/>
        </w:rPr>
        <w:t>Human Resource Management Review</w:t>
      </w:r>
      <w:r w:rsidRPr="00244053">
        <w:t>, 19(4), pp. 304-313.</w:t>
      </w:r>
    </w:p>
    <w:p w14:paraId="32283536" w14:textId="77777777" w:rsidR="00244053" w:rsidRPr="00244053" w:rsidRDefault="00244053" w:rsidP="00244053">
      <w:r w:rsidRPr="00244053">
        <w:t xml:space="preserve">Deci, E.L. and Ryan, R.M. (2000) 'The "what" and "why" of goal pursuits: Human needs and the self-determination of behavior', </w:t>
      </w:r>
      <w:r w:rsidRPr="00244053">
        <w:rPr>
          <w:i/>
          <w:iCs/>
        </w:rPr>
        <w:t>Psychological Inquiry</w:t>
      </w:r>
      <w:r w:rsidRPr="00244053">
        <w:t>, 11(4), pp. 227-268.</w:t>
      </w:r>
    </w:p>
    <w:p w14:paraId="2594EDD2" w14:textId="77777777" w:rsidR="00244053" w:rsidRPr="00244053" w:rsidRDefault="00244053" w:rsidP="00244053">
      <w:r w:rsidRPr="00244053">
        <w:t xml:space="preserve">Garvin, D.A. (1993) 'Building a learning organization', </w:t>
      </w:r>
      <w:r w:rsidRPr="00244053">
        <w:rPr>
          <w:i/>
          <w:iCs/>
        </w:rPr>
        <w:t>Harvard Business Review</w:t>
      </w:r>
      <w:r w:rsidRPr="00244053">
        <w:t>, 71(4), pp. 78-91.</w:t>
      </w:r>
    </w:p>
    <w:p w14:paraId="53D1BE98" w14:textId="77777777" w:rsidR="00244053" w:rsidRPr="00244053" w:rsidRDefault="00244053" w:rsidP="00244053">
      <w:proofErr w:type="spellStart"/>
      <w:r w:rsidRPr="00244053">
        <w:t>Huselid</w:t>
      </w:r>
      <w:proofErr w:type="spellEnd"/>
      <w:r w:rsidRPr="00244053">
        <w:t xml:space="preserve">, M.A. (1995) 'The impact of human resource management practices on turnover, productivity, and corporate financial performance', </w:t>
      </w:r>
      <w:r w:rsidRPr="00244053">
        <w:rPr>
          <w:i/>
          <w:iCs/>
        </w:rPr>
        <w:t>Academy of Management Journal</w:t>
      </w:r>
      <w:r w:rsidRPr="00244053">
        <w:t>, 38(3), pp. 635-672.</w:t>
      </w:r>
    </w:p>
    <w:p w14:paraId="2CF46F73" w14:textId="77777777" w:rsidR="00244053" w:rsidRPr="00244053" w:rsidRDefault="00244053" w:rsidP="00244053">
      <w:r w:rsidRPr="00244053">
        <w:t xml:space="preserve">Noe, R.A. (2017) </w:t>
      </w:r>
      <w:r w:rsidRPr="00244053">
        <w:rPr>
          <w:i/>
          <w:iCs/>
        </w:rPr>
        <w:t>Employee Training and Development</w:t>
      </w:r>
      <w:r w:rsidRPr="00244053">
        <w:t xml:space="preserve">. 7th </w:t>
      </w:r>
      <w:proofErr w:type="spellStart"/>
      <w:r w:rsidRPr="00244053">
        <w:t>edn</w:t>
      </w:r>
      <w:proofErr w:type="spellEnd"/>
      <w:r w:rsidRPr="00244053">
        <w:t>. New York: McGraw-Hill Education.</w:t>
      </w:r>
    </w:p>
    <w:p w14:paraId="7BF4EAC3" w14:textId="77777777" w:rsidR="00244053" w:rsidRPr="00244053" w:rsidRDefault="00244053" w:rsidP="00244053">
      <w:r w:rsidRPr="00244053">
        <w:t xml:space="preserve">Nonaka, I. and Takeuchi, H. (1995) </w:t>
      </w:r>
      <w:r w:rsidRPr="00244053">
        <w:rPr>
          <w:i/>
          <w:iCs/>
        </w:rPr>
        <w:t>The Knowledge-Creating Company: How Japanese Companies Create the Dynamics of Innovation</w:t>
      </w:r>
      <w:r w:rsidRPr="00244053">
        <w:t>. Oxford: Oxford University Press.</w:t>
      </w:r>
    </w:p>
    <w:p w14:paraId="75D23ECB" w14:textId="77777777" w:rsidR="00244053" w:rsidRPr="00244053" w:rsidRDefault="00244053" w:rsidP="00244053">
      <w:r w:rsidRPr="00244053">
        <w:lastRenderedPageBreak/>
        <w:t xml:space="preserve">Rothwell, W.J. (2010) </w:t>
      </w:r>
      <w:r w:rsidRPr="00244053">
        <w:rPr>
          <w:i/>
          <w:iCs/>
        </w:rPr>
        <w:t>Effective Succession Planning: Ensuring Leadership Continuity and Building Talent from Within</w:t>
      </w:r>
      <w:r w:rsidRPr="00244053">
        <w:t xml:space="preserve">. 4th </w:t>
      </w:r>
      <w:proofErr w:type="spellStart"/>
      <w:r w:rsidRPr="00244053">
        <w:t>edn</w:t>
      </w:r>
      <w:proofErr w:type="spellEnd"/>
      <w:r w:rsidRPr="00244053">
        <w:t xml:space="preserve">. New York: </w:t>
      </w:r>
      <w:proofErr w:type="spellStart"/>
      <w:r w:rsidRPr="00244053">
        <w:t>Amacom</w:t>
      </w:r>
      <w:proofErr w:type="spellEnd"/>
      <w:r w:rsidRPr="00244053">
        <w:t>.</w:t>
      </w:r>
    </w:p>
    <w:p w14:paraId="6891FEEF" w14:textId="77777777" w:rsidR="00244053" w:rsidRPr="00244053" w:rsidRDefault="00244053" w:rsidP="00244053">
      <w:r w:rsidRPr="00244053">
        <w:t xml:space="preserve">Saks, A.M. (2006) 'Antecedents and consequences of employee engagement', </w:t>
      </w:r>
      <w:r w:rsidRPr="00244053">
        <w:rPr>
          <w:i/>
          <w:iCs/>
        </w:rPr>
        <w:t>Journal of Managerial Psychology</w:t>
      </w:r>
      <w:r w:rsidRPr="00244053">
        <w:t>, 21(7), pp. 600-619.</w:t>
      </w:r>
    </w:p>
    <w:p w14:paraId="2C8F8A12" w14:textId="48D350D6" w:rsidR="00244053" w:rsidRPr="00244053" w:rsidRDefault="00244053" w:rsidP="00244053">
      <w:r w:rsidRPr="00244053">
        <w:t xml:space="preserve">Saunders, M., Lewis, P. and Thornhill, A. (2019) </w:t>
      </w:r>
      <w:r w:rsidRPr="00244053">
        <w:rPr>
          <w:i/>
          <w:iCs/>
        </w:rPr>
        <w:t>Research Methods for Business Students</w:t>
      </w:r>
      <w:r w:rsidRPr="00244053">
        <w:t xml:space="preserve">. 8th </w:t>
      </w:r>
      <w:proofErr w:type="spellStart"/>
      <w:r w:rsidRPr="00244053">
        <w:t>edn</w:t>
      </w:r>
      <w:proofErr w:type="spellEnd"/>
      <w:r w:rsidRPr="00244053">
        <w:t>. Harlow: Pearson Education.</w:t>
      </w:r>
    </w:p>
    <w:p w14:paraId="19B0A10B" w14:textId="77777777" w:rsidR="00244053" w:rsidRPr="00244053" w:rsidRDefault="00244053" w:rsidP="00244053">
      <w:r w:rsidRPr="00244053">
        <w:t xml:space="preserve">Schuler, R.S. and Jackson, S.E. (1987) 'Linking competitive strategies with human resource management practices', </w:t>
      </w:r>
      <w:r w:rsidRPr="00244053">
        <w:rPr>
          <w:i/>
          <w:iCs/>
        </w:rPr>
        <w:t>Academy of Management Executive</w:t>
      </w:r>
      <w:r w:rsidRPr="00244053">
        <w:t>, 1(3), pp. 207-219.</w:t>
      </w:r>
    </w:p>
    <w:p w14:paraId="59BFA767" w14:textId="599DD372" w:rsidR="00244053" w:rsidRPr="00244053" w:rsidRDefault="00244053" w:rsidP="00244053">
      <w:r w:rsidRPr="00244053">
        <w:t xml:space="preserve">Vroom, V.H. (1964) </w:t>
      </w:r>
      <w:r w:rsidRPr="00244053">
        <w:rPr>
          <w:i/>
          <w:iCs/>
        </w:rPr>
        <w:t>Work and Motivation</w:t>
      </w:r>
      <w:r w:rsidRPr="00244053">
        <w:t>. New York: John Wiley and Sons.</w:t>
      </w:r>
    </w:p>
    <w:p w14:paraId="64B71BAF" w14:textId="6143A96E" w:rsidR="00F41090" w:rsidRPr="00AB77BA" w:rsidRDefault="00244053">
      <w:r w:rsidRPr="00244053">
        <w:t xml:space="preserve">Wright, P.M. and McMahan, G.C. (1992) 'Theoretical perspectives for strategic human resource management', </w:t>
      </w:r>
      <w:r w:rsidRPr="00244053">
        <w:rPr>
          <w:i/>
          <w:iCs/>
        </w:rPr>
        <w:t>Journal of Management</w:t>
      </w:r>
      <w:r w:rsidRPr="00244053">
        <w:t>, 18(2), pp. 295-320.</w:t>
      </w:r>
    </w:p>
    <w:sectPr w:rsidR="00F41090" w:rsidRPr="00AB77BA"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5D8E1" w14:textId="77777777" w:rsidR="00EA699F" w:rsidRDefault="00EA699F" w:rsidP="00D65F10">
      <w:pPr>
        <w:spacing w:after="0" w:line="240" w:lineRule="auto"/>
      </w:pPr>
      <w:r>
        <w:separator/>
      </w:r>
    </w:p>
  </w:endnote>
  <w:endnote w:type="continuationSeparator" w:id="0">
    <w:p w14:paraId="6F8C39FA" w14:textId="77777777" w:rsidR="00EA699F" w:rsidRDefault="00EA699F"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2EA11" w14:textId="77777777" w:rsidR="00EA699F" w:rsidRDefault="00EA699F" w:rsidP="00D65F10">
      <w:pPr>
        <w:spacing w:after="0" w:line="240" w:lineRule="auto"/>
      </w:pPr>
      <w:r>
        <w:separator/>
      </w:r>
    </w:p>
  </w:footnote>
  <w:footnote w:type="continuationSeparator" w:id="0">
    <w:p w14:paraId="534FB9D9" w14:textId="77777777" w:rsidR="00EA699F" w:rsidRDefault="00EA699F"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171740"/>
    <w:multiLevelType w:val="multilevel"/>
    <w:tmpl w:val="5CBAD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4700DB"/>
    <w:multiLevelType w:val="multilevel"/>
    <w:tmpl w:val="E40AF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7805434">
    <w:abstractNumId w:val="0"/>
  </w:num>
  <w:num w:numId="2" w16cid:durableId="1702439545">
    <w:abstractNumId w:val="2"/>
  </w:num>
  <w:num w:numId="3" w16cid:durableId="17937426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52F30"/>
    <w:rsid w:val="00095A2B"/>
    <w:rsid w:val="000A7C18"/>
    <w:rsid w:val="000C0AEC"/>
    <w:rsid w:val="001031E0"/>
    <w:rsid w:val="001B52AA"/>
    <w:rsid w:val="00221DB0"/>
    <w:rsid w:val="0023200A"/>
    <w:rsid w:val="00236272"/>
    <w:rsid w:val="00242B81"/>
    <w:rsid w:val="00244053"/>
    <w:rsid w:val="00244DCC"/>
    <w:rsid w:val="00265CBB"/>
    <w:rsid w:val="00276A9F"/>
    <w:rsid w:val="0029149D"/>
    <w:rsid w:val="00297169"/>
    <w:rsid w:val="00381326"/>
    <w:rsid w:val="003C10B0"/>
    <w:rsid w:val="003E2263"/>
    <w:rsid w:val="00421548"/>
    <w:rsid w:val="00433CFA"/>
    <w:rsid w:val="004443B2"/>
    <w:rsid w:val="00461940"/>
    <w:rsid w:val="004923C9"/>
    <w:rsid w:val="00493019"/>
    <w:rsid w:val="00495673"/>
    <w:rsid w:val="004A0D7B"/>
    <w:rsid w:val="004A0F17"/>
    <w:rsid w:val="004A1BAD"/>
    <w:rsid w:val="004E71B8"/>
    <w:rsid w:val="004E7CF9"/>
    <w:rsid w:val="004F0783"/>
    <w:rsid w:val="004F7350"/>
    <w:rsid w:val="005325DF"/>
    <w:rsid w:val="00595EA3"/>
    <w:rsid w:val="005A690A"/>
    <w:rsid w:val="005E01BE"/>
    <w:rsid w:val="00644D15"/>
    <w:rsid w:val="00665CA7"/>
    <w:rsid w:val="006A2D26"/>
    <w:rsid w:val="006E40ED"/>
    <w:rsid w:val="0070725F"/>
    <w:rsid w:val="007353BA"/>
    <w:rsid w:val="00746FFA"/>
    <w:rsid w:val="0076028F"/>
    <w:rsid w:val="007E27E6"/>
    <w:rsid w:val="007F6ED5"/>
    <w:rsid w:val="00861984"/>
    <w:rsid w:val="00867C5F"/>
    <w:rsid w:val="00867D6D"/>
    <w:rsid w:val="00965892"/>
    <w:rsid w:val="009B072E"/>
    <w:rsid w:val="009B1140"/>
    <w:rsid w:val="009E6A7F"/>
    <w:rsid w:val="009F7DA4"/>
    <w:rsid w:val="00AB77BA"/>
    <w:rsid w:val="00AC75D6"/>
    <w:rsid w:val="00B62786"/>
    <w:rsid w:val="00B72840"/>
    <w:rsid w:val="00BC2217"/>
    <w:rsid w:val="00BD38D8"/>
    <w:rsid w:val="00BF71B8"/>
    <w:rsid w:val="00CD6DF1"/>
    <w:rsid w:val="00D51940"/>
    <w:rsid w:val="00D65F10"/>
    <w:rsid w:val="00D80094"/>
    <w:rsid w:val="00DE0A97"/>
    <w:rsid w:val="00E25D2C"/>
    <w:rsid w:val="00E83266"/>
    <w:rsid w:val="00E844E1"/>
    <w:rsid w:val="00EA699F"/>
    <w:rsid w:val="00EF264F"/>
    <w:rsid w:val="00F41090"/>
    <w:rsid w:val="00F53663"/>
    <w:rsid w:val="00FF5FC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644D1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644D15"/>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29716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13</Pages>
  <Words>5118</Words>
  <Characters>29179</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50</cp:revision>
  <dcterms:created xsi:type="dcterms:W3CDTF">2025-11-18T15:41:00Z</dcterms:created>
  <dcterms:modified xsi:type="dcterms:W3CDTF">2026-09-04T09:47:00Z</dcterms:modified>
</cp:coreProperties>
</file>