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504D" w:rsidRDefault="0019504D" w:rsidP="0019504D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4114800</wp:posOffset>
            </wp:positionH>
            <wp:positionV relativeFrom="paragraph">
              <wp:posOffset>0</wp:posOffset>
            </wp:positionV>
            <wp:extent cx="2334895" cy="2143125"/>
            <wp:effectExtent l="0" t="0" r="8255" b="9525"/>
            <wp:wrapTight wrapText="bothSides">
              <wp:wrapPolygon edited="0">
                <wp:start x="0" y="0"/>
                <wp:lineTo x="0" y="21504"/>
                <wp:lineTo x="21500" y="21504"/>
                <wp:lineTo x="21500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4895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1030" w:rsidRPr="00074DA4" w:rsidRDefault="00661030" w:rsidP="00661030">
      <w:pPr>
        <w:rPr>
          <w:rFonts w:ascii="Century Schoolbook" w:hAnsi="Century Schoolbook"/>
          <w:b/>
          <w:bCs/>
          <w:lang w:val="en-US"/>
        </w:rPr>
      </w:pPr>
      <w:r w:rsidRPr="00074DA4">
        <w:rPr>
          <w:rFonts w:ascii="Century Schoolbook" w:hAnsi="Century Schoolbook"/>
          <w:b/>
          <w:bCs/>
          <w:lang w:val="en-US"/>
        </w:rPr>
        <w:t>Tourism</w:t>
      </w:r>
      <w:r w:rsidR="00C21EBA" w:rsidRPr="00074DA4">
        <w:rPr>
          <w:rFonts w:ascii="Century Schoolbook" w:hAnsi="Century Schoolbook"/>
          <w:b/>
          <w:bCs/>
          <w:lang w:val="en-US"/>
        </w:rPr>
        <w:t xml:space="preserve"> </w:t>
      </w:r>
      <w:r w:rsidR="00481859" w:rsidRPr="00074DA4">
        <w:rPr>
          <w:rFonts w:ascii="Century Schoolbook" w:hAnsi="Century Schoolbook"/>
          <w:b/>
          <w:bCs/>
          <w:lang w:val="en-US"/>
        </w:rPr>
        <w:t>Law and Legislation</w:t>
      </w:r>
    </w:p>
    <w:p w:rsidR="0019504D" w:rsidRPr="00074DA4" w:rsidRDefault="0019504D" w:rsidP="0019504D">
      <w:pPr>
        <w:rPr>
          <w:rFonts w:ascii="Century Schoolbook" w:hAnsi="Century Schoolbook"/>
          <w:lang w:val="en-US"/>
        </w:rPr>
      </w:pPr>
      <w:r w:rsidRPr="00074DA4">
        <w:rPr>
          <w:rFonts w:ascii="Century Schoolbook" w:hAnsi="Century Schoolbook"/>
          <w:lang w:val="en-US"/>
        </w:rPr>
        <w:t xml:space="preserve">Assignment </w:t>
      </w:r>
      <w:r w:rsidR="00716E23" w:rsidRPr="00074DA4">
        <w:rPr>
          <w:rFonts w:ascii="Century Schoolbook" w:hAnsi="Century Schoolbook"/>
          <w:lang w:val="en-US"/>
        </w:rPr>
        <w:t>2</w:t>
      </w:r>
    </w:p>
    <w:p w:rsidR="0019504D" w:rsidRPr="00074DA4" w:rsidRDefault="00716E23" w:rsidP="0019504D">
      <w:pPr>
        <w:rPr>
          <w:rFonts w:ascii="Century Schoolbook" w:hAnsi="Century Schoolbook"/>
          <w:lang w:val="en-US"/>
        </w:rPr>
      </w:pPr>
      <w:r w:rsidRPr="00074DA4">
        <w:rPr>
          <w:rFonts w:ascii="Century Schoolbook" w:hAnsi="Century Schoolbook"/>
          <w:lang w:val="en-US"/>
        </w:rPr>
        <w:t>14</w:t>
      </w:r>
      <w:r w:rsidR="0019504D" w:rsidRPr="00074DA4">
        <w:rPr>
          <w:rFonts w:ascii="Century Schoolbook" w:hAnsi="Century Schoolbook"/>
          <w:lang w:val="en-US"/>
        </w:rPr>
        <w:t>.0</w:t>
      </w:r>
      <w:r w:rsidR="00481859" w:rsidRPr="00074DA4">
        <w:rPr>
          <w:rFonts w:ascii="Century Schoolbook" w:hAnsi="Century Schoolbook"/>
          <w:lang w:val="en-US"/>
        </w:rPr>
        <w:t>1</w:t>
      </w:r>
      <w:r w:rsidR="0019504D" w:rsidRPr="00074DA4">
        <w:rPr>
          <w:rFonts w:ascii="Century Schoolbook" w:hAnsi="Century Schoolbook"/>
          <w:lang w:val="en-US"/>
        </w:rPr>
        <w:t>.2025</w:t>
      </w:r>
    </w:p>
    <w:p w:rsidR="0019504D" w:rsidRPr="00074DA4" w:rsidRDefault="0019504D">
      <w:pPr>
        <w:rPr>
          <w:rFonts w:ascii="Century Schoolbook" w:hAnsi="Century Schoolbook"/>
        </w:rPr>
      </w:pPr>
    </w:p>
    <w:p w:rsidR="0019504D" w:rsidRDefault="0019504D"/>
    <w:p w:rsidR="0019504D" w:rsidRDefault="0019504D"/>
    <w:p w:rsidR="0019504D" w:rsidRDefault="0019504D"/>
    <w:p w:rsidR="0019504D" w:rsidRDefault="0019504D"/>
    <w:p w:rsidR="00CD620A" w:rsidRDefault="00CD620A"/>
    <w:p w:rsidR="00CD620A" w:rsidRDefault="00CD620A"/>
    <w:p w:rsidR="00074DA4" w:rsidRDefault="00074DA4" w:rsidP="00EA737F">
      <w:pPr>
        <w:spacing w:line="276" w:lineRule="auto"/>
      </w:pPr>
    </w:p>
    <w:p w:rsidR="00EA737F" w:rsidRPr="00EA737F" w:rsidRDefault="00CD620A" w:rsidP="00EA737F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>In no more than 500 words</w:t>
      </w:r>
      <w:r w:rsidR="00716E23">
        <w:rPr>
          <w:b/>
          <w:bCs/>
          <w:lang w:val="en-US"/>
        </w:rPr>
        <w:t>,</w:t>
      </w:r>
      <w:r w:rsidR="00481859">
        <w:rPr>
          <w:b/>
          <w:bCs/>
          <w:lang w:val="en-US"/>
        </w:rPr>
        <w:t xml:space="preserve"> each explain</w:t>
      </w:r>
      <w:r w:rsidR="00716E23">
        <w:rPr>
          <w:b/>
          <w:bCs/>
          <w:lang w:val="en-US"/>
        </w:rPr>
        <w:t xml:space="preserve"> and 2-4 references:</w:t>
      </w:r>
    </w:p>
    <w:p w:rsidR="00EA737F" w:rsidRDefault="00EA737F" w:rsidP="00EA737F">
      <w:pPr>
        <w:spacing w:line="276" w:lineRule="auto"/>
        <w:rPr>
          <w:lang w:val="en-US"/>
        </w:rPr>
      </w:pPr>
    </w:p>
    <w:p w:rsidR="00716E23" w:rsidRDefault="00716E23" w:rsidP="00074DA4">
      <w:pPr>
        <w:pStyle w:val="ListParagraph"/>
        <w:numPr>
          <w:ilvl w:val="0"/>
          <w:numId w:val="1"/>
        </w:numPr>
        <w:spacing w:line="276" w:lineRule="auto"/>
        <w:rPr>
          <w:lang w:val="en-US"/>
        </w:rPr>
      </w:pPr>
      <w:r w:rsidRPr="00074DA4">
        <w:rPr>
          <w:lang w:val="en-US"/>
        </w:rPr>
        <w:t>What are subsidiary bodies in international tourism governance? Explain their general role within UNWTO.</w:t>
      </w:r>
    </w:p>
    <w:p w:rsidR="00074DA4" w:rsidRPr="00353ABA" w:rsidRDefault="00074DA4" w:rsidP="00074DA4">
      <w:pPr>
        <w:pStyle w:val="NormalWeb"/>
        <w:rPr>
          <w:rFonts w:asciiTheme="minorHAnsi" w:hAnsiTheme="minorHAnsi" w:cstheme="minorHAnsi"/>
        </w:rPr>
      </w:pPr>
      <w:r w:rsidRPr="00353ABA">
        <w:rPr>
          <w:rFonts w:asciiTheme="minorHAnsi" w:hAnsiTheme="minorHAnsi" w:cstheme="minorHAnsi"/>
          <w:lang w:val="en-US"/>
        </w:rPr>
        <w:t xml:space="preserve">ANS- </w:t>
      </w:r>
      <w:r w:rsidRPr="00353ABA">
        <w:rPr>
          <w:rFonts w:asciiTheme="minorHAnsi" w:hAnsiTheme="minorHAnsi" w:cstheme="minorHAnsi"/>
        </w:rPr>
        <w:t>In the context of international tourism</w:t>
      </w:r>
      <w:r w:rsidRPr="00353ABA">
        <w:rPr>
          <w:rFonts w:asciiTheme="minorHAnsi" w:hAnsiTheme="minorHAnsi" w:cstheme="minorHAnsi"/>
        </w:rPr>
        <w:t> </w:t>
      </w:r>
      <w:r w:rsidRPr="00353ABA">
        <w:rPr>
          <w:rFonts w:asciiTheme="minorHAnsi" w:hAnsiTheme="minorHAnsi" w:cstheme="minorHAnsi"/>
        </w:rPr>
        <w:t>governance, subsidiary bodies refer to specialized organs created under a principal international tourism organization to assist it in carrying out its mandate by concentrating on given policy sectors, geographic zones or technical tasks. Under the United Nations</w:t>
      </w:r>
      <w:r w:rsidRPr="00353ABA">
        <w:rPr>
          <w:rFonts w:asciiTheme="minorHAnsi" w:hAnsiTheme="minorHAnsi" w:cstheme="minorHAnsi"/>
        </w:rPr>
        <w:t> </w:t>
      </w:r>
      <w:r w:rsidRPr="00353ABA">
        <w:rPr>
          <w:rFonts w:asciiTheme="minorHAnsi" w:hAnsiTheme="minorHAnsi" w:cstheme="minorHAnsi"/>
        </w:rPr>
        <w:t>World Tourism Organization (UNWTO), subsidiary organs are important for enhancing global tourism governance, coordination, and decision-making.</w:t>
      </w:r>
    </w:p>
    <w:p w:rsidR="00074DA4" w:rsidRPr="00353ABA" w:rsidRDefault="00074DA4" w:rsidP="00074DA4">
      <w:pPr>
        <w:pStyle w:val="NormalWeb"/>
        <w:rPr>
          <w:rFonts w:asciiTheme="minorHAnsi" w:hAnsiTheme="minorHAnsi" w:cstheme="minorHAnsi"/>
        </w:rPr>
      </w:pPr>
      <w:r w:rsidRPr="00353ABA">
        <w:rPr>
          <w:rFonts w:asciiTheme="minorHAnsi" w:hAnsiTheme="minorHAnsi" w:cstheme="minorHAnsi"/>
        </w:rPr>
        <w:t>The UNWTO is a complex organization and its members have extremely diverse economic status, tourism needs and regional</w:t>
      </w:r>
      <w:r w:rsidRPr="00353ABA">
        <w:rPr>
          <w:rFonts w:asciiTheme="minorHAnsi" w:hAnsiTheme="minorHAnsi" w:cstheme="minorHAnsi"/>
        </w:rPr>
        <w:t> </w:t>
      </w:r>
      <w:r w:rsidRPr="00353ABA">
        <w:rPr>
          <w:rFonts w:asciiTheme="minorHAnsi" w:hAnsiTheme="minorHAnsi" w:cstheme="minorHAnsi"/>
        </w:rPr>
        <w:t>issues. In order to address this complexity, sub institutions such as Regional Commissions, technical committees, working groups and advisory</w:t>
      </w:r>
      <w:r w:rsidRPr="00353ABA">
        <w:rPr>
          <w:rFonts w:asciiTheme="minorHAnsi" w:hAnsiTheme="minorHAnsi" w:cstheme="minorHAnsi"/>
        </w:rPr>
        <w:t> </w:t>
      </w:r>
      <w:r w:rsidRPr="00353ABA">
        <w:rPr>
          <w:rFonts w:asciiTheme="minorHAnsi" w:hAnsiTheme="minorHAnsi" w:cstheme="minorHAnsi"/>
        </w:rPr>
        <w:t>councils are established. These</w:t>
      </w:r>
      <w:r w:rsidRPr="00353ABA">
        <w:rPr>
          <w:rFonts w:asciiTheme="minorHAnsi" w:hAnsiTheme="minorHAnsi" w:cstheme="minorHAnsi"/>
        </w:rPr>
        <w:t> </w:t>
      </w:r>
      <w:r w:rsidRPr="00353ABA">
        <w:rPr>
          <w:rFonts w:asciiTheme="minorHAnsi" w:hAnsiTheme="minorHAnsi" w:cstheme="minorHAnsi"/>
        </w:rPr>
        <w:t>bodies work within clearly defined mandates and report to UNWTO’s main organs, including the General Assembly and the Executive Council.</w:t>
      </w:r>
    </w:p>
    <w:p w:rsidR="00074DA4" w:rsidRPr="00353ABA" w:rsidRDefault="00074DA4" w:rsidP="00074DA4">
      <w:pPr>
        <w:pStyle w:val="NormalWeb"/>
        <w:rPr>
          <w:rFonts w:asciiTheme="minorHAnsi" w:hAnsiTheme="minorHAnsi" w:cstheme="minorHAnsi"/>
        </w:rPr>
      </w:pPr>
      <w:r w:rsidRPr="00353ABA">
        <w:rPr>
          <w:rFonts w:asciiTheme="minorHAnsi" w:hAnsiTheme="minorHAnsi" w:cstheme="minorHAnsi"/>
        </w:rPr>
        <w:t>Regional representation</w:t>
      </w:r>
      <w:r w:rsidRPr="00353ABA">
        <w:rPr>
          <w:rFonts w:asciiTheme="minorHAnsi" w:hAnsiTheme="minorHAnsi" w:cstheme="minorHAnsi"/>
        </w:rPr>
        <w:t> </w:t>
      </w:r>
      <w:r w:rsidRPr="00353ABA">
        <w:rPr>
          <w:rFonts w:asciiTheme="minorHAnsi" w:hAnsiTheme="minorHAnsi" w:cstheme="minorHAnsi"/>
        </w:rPr>
        <w:t>and inclusiveness is one of the main functions of subsidiary bodies. The UNWTO Regional Commissions serve as an instrument to enable countries from a given region to encourage sharing of information and</w:t>
      </w:r>
      <w:r w:rsidRPr="00353ABA">
        <w:rPr>
          <w:rFonts w:asciiTheme="minorHAnsi" w:hAnsiTheme="minorHAnsi" w:cstheme="minorHAnsi"/>
        </w:rPr>
        <w:t> </w:t>
      </w:r>
      <w:r w:rsidRPr="00353ABA">
        <w:rPr>
          <w:rFonts w:asciiTheme="minorHAnsi" w:hAnsiTheme="minorHAnsi" w:cstheme="minorHAnsi"/>
        </w:rPr>
        <w:t>knowledge on regional tourism issues between member States, and illustrate how the regions can undertake processes of regional integration through tourism. This system ensures that thrust is not completely one-sided, but arises as a</w:t>
      </w:r>
      <w:r w:rsidRPr="00353ABA">
        <w:rPr>
          <w:rFonts w:asciiTheme="minorHAnsi" w:hAnsiTheme="minorHAnsi" w:cstheme="minorHAnsi"/>
        </w:rPr>
        <w:t> </w:t>
      </w:r>
      <w:r w:rsidRPr="00353ABA">
        <w:rPr>
          <w:rFonts w:asciiTheme="minorHAnsi" w:hAnsiTheme="minorHAnsi" w:cstheme="minorHAnsi"/>
        </w:rPr>
        <w:t>function of diverse regional realities.</w:t>
      </w:r>
    </w:p>
    <w:p w:rsidR="00074DA4" w:rsidRPr="00353ABA" w:rsidRDefault="00074DA4" w:rsidP="00074DA4">
      <w:pPr>
        <w:pStyle w:val="NormalWeb"/>
        <w:rPr>
          <w:rFonts w:asciiTheme="minorHAnsi" w:hAnsiTheme="minorHAnsi" w:cstheme="minorHAnsi"/>
        </w:rPr>
      </w:pPr>
      <w:r w:rsidRPr="00353ABA">
        <w:rPr>
          <w:rFonts w:asciiTheme="minorHAnsi" w:hAnsiTheme="minorHAnsi" w:cstheme="minorHAnsi"/>
        </w:rPr>
        <w:t>Expertise and policy-making</w:t>
      </w:r>
      <w:r w:rsidRPr="00353ABA">
        <w:rPr>
          <w:rFonts w:asciiTheme="minorHAnsi" w:hAnsiTheme="minorHAnsi" w:cstheme="minorHAnsi"/>
        </w:rPr>
        <w:t> </w:t>
      </w:r>
      <w:r w:rsidRPr="00353ABA">
        <w:rPr>
          <w:rFonts w:asciiTheme="minorHAnsi" w:hAnsiTheme="minorHAnsi" w:cstheme="minorHAnsi"/>
        </w:rPr>
        <w:t>are also provided by subsidiary bodies. Working groups on subtopics such</w:t>
      </w:r>
      <w:r w:rsidRPr="00353ABA">
        <w:rPr>
          <w:rFonts w:asciiTheme="minorHAnsi" w:hAnsiTheme="minorHAnsi" w:cstheme="minorHAnsi"/>
        </w:rPr>
        <w:t> </w:t>
      </w:r>
      <w:r w:rsidRPr="00353ABA">
        <w:rPr>
          <w:rFonts w:asciiTheme="minorHAnsi" w:hAnsiTheme="minorHAnsi" w:cstheme="minorHAnsi"/>
        </w:rPr>
        <w:t>as sustainable tourism, tourism ethics, education and statistics provide reports of research findings, drafts of guidelines and proposed international standards. Their expert knowledge feeds</w:t>
      </w:r>
      <w:r w:rsidRPr="00353ABA">
        <w:rPr>
          <w:rFonts w:asciiTheme="minorHAnsi" w:hAnsiTheme="minorHAnsi" w:cstheme="minorHAnsi"/>
        </w:rPr>
        <w:t> </w:t>
      </w:r>
      <w:r w:rsidRPr="00353ABA">
        <w:rPr>
          <w:rFonts w:asciiTheme="minorHAnsi" w:hAnsiTheme="minorHAnsi" w:cstheme="minorHAnsi"/>
        </w:rPr>
        <w:t>back into the UNWTO in addressing new challenges like climate and over-tourism, and digital innovation.</w:t>
      </w:r>
    </w:p>
    <w:p w:rsidR="00074DA4" w:rsidRPr="00353ABA" w:rsidRDefault="00074DA4" w:rsidP="00074DA4">
      <w:pPr>
        <w:pStyle w:val="NormalWeb"/>
        <w:rPr>
          <w:rFonts w:asciiTheme="minorHAnsi" w:hAnsiTheme="minorHAnsi" w:cstheme="minorHAnsi"/>
        </w:rPr>
      </w:pPr>
      <w:r w:rsidRPr="00353ABA">
        <w:rPr>
          <w:rFonts w:asciiTheme="minorHAnsi" w:hAnsiTheme="minorHAnsi" w:cstheme="minorHAnsi"/>
        </w:rPr>
        <w:t>The cooperation and capacity-building between governments, private sector stakeholders and international partners are also furthered by the subsidiary</w:t>
      </w:r>
      <w:r w:rsidRPr="00353ABA">
        <w:rPr>
          <w:rFonts w:asciiTheme="minorHAnsi" w:hAnsiTheme="minorHAnsi" w:cstheme="minorHAnsi"/>
        </w:rPr>
        <w:t> </w:t>
      </w:r>
      <w:r w:rsidRPr="00353ABA">
        <w:rPr>
          <w:rFonts w:asciiTheme="minorHAnsi" w:hAnsiTheme="minorHAnsi" w:cstheme="minorHAnsi"/>
        </w:rPr>
        <w:t>bodies. They are fora for discussion, training and the dissemination</w:t>
      </w:r>
      <w:r w:rsidRPr="00353ABA">
        <w:rPr>
          <w:rFonts w:asciiTheme="minorHAnsi" w:hAnsiTheme="minorHAnsi" w:cstheme="minorHAnsi"/>
        </w:rPr>
        <w:t> </w:t>
      </w:r>
      <w:r w:rsidRPr="00353ABA">
        <w:rPr>
          <w:rFonts w:asciiTheme="minorHAnsi" w:hAnsiTheme="minorHAnsi" w:cstheme="minorHAnsi"/>
        </w:rPr>
        <w:t>of knowledge, contributing to better planning and management of tourism in member states. In these roles, subsidiary bodies seek to improve the efficiency, transparency and legitimacy of</w:t>
      </w:r>
      <w:r w:rsidRPr="00353ABA">
        <w:rPr>
          <w:rFonts w:asciiTheme="minorHAnsi" w:hAnsiTheme="minorHAnsi" w:cstheme="minorHAnsi"/>
        </w:rPr>
        <w:t> </w:t>
      </w:r>
      <w:r w:rsidRPr="00353ABA">
        <w:rPr>
          <w:rFonts w:asciiTheme="minorHAnsi" w:hAnsiTheme="minorHAnsi" w:cstheme="minorHAnsi"/>
        </w:rPr>
        <w:t>international tourism governance.</w:t>
      </w:r>
    </w:p>
    <w:p w:rsidR="00074DA4" w:rsidRPr="00353ABA" w:rsidRDefault="00074DA4" w:rsidP="00074DA4">
      <w:pPr>
        <w:pStyle w:val="NormalWeb"/>
        <w:rPr>
          <w:rFonts w:asciiTheme="minorHAnsi" w:hAnsiTheme="minorHAnsi" w:cstheme="minorHAnsi"/>
        </w:rPr>
      </w:pPr>
      <w:r w:rsidRPr="00353ABA">
        <w:rPr>
          <w:rFonts w:asciiTheme="minorHAnsi" w:hAnsiTheme="minorHAnsi" w:cstheme="minorHAnsi"/>
        </w:rPr>
        <w:t>Subsidiary bodies in general are key to the UNWTO’s operation, as they turn the general elements of what an</w:t>
      </w:r>
      <w:r w:rsidRPr="00353ABA">
        <w:rPr>
          <w:rFonts w:asciiTheme="minorHAnsi" w:hAnsiTheme="minorHAnsi" w:cstheme="minorHAnsi"/>
        </w:rPr>
        <w:t> </w:t>
      </w:r>
      <w:r w:rsidRPr="00353ABA">
        <w:rPr>
          <w:rFonts w:asciiTheme="minorHAnsi" w:hAnsiTheme="minorHAnsi" w:cstheme="minorHAnsi"/>
        </w:rPr>
        <w:t>organization aims to achieve into specific policies and interventions that make tourism development inclusive, sustainable, and globally coherent.</w:t>
      </w:r>
    </w:p>
    <w:p w:rsidR="00353ABA" w:rsidRPr="00353ABA" w:rsidRDefault="00353ABA" w:rsidP="00074DA4">
      <w:pPr>
        <w:pStyle w:val="NormalWeb"/>
        <w:rPr>
          <w:rFonts w:asciiTheme="minorHAnsi" w:hAnsiTheme="minorHAnsi" w:cstheme="minorHAnsi"/>
          <w:u w:val="single"/>
        </w:rPr>
      </w:pPr>
      <w:r w:rsidRPr="00353ABA">
        <w:rPr>
          <w:rFonts w:asciiTheme="minorHAnsi" w:hAnsiTheme="minorHAnsi" w:cstheme="minorHAnsi"/>
          <w:u w:val="single"/>
        </w:rPr>
        <w:t>References:</w:t>
      </w:r>
    </w:p>
    <w:p w:rsidR="00353ABA" w:rsidRDefault="00353ABA" w:rsidP="00353ABA">
      <w:pPr>
        <w:pStyle w:val="NormalWeb"/>
        <w:numPr>
          <w:ilvl w:val="0"/>
          <w:numId w:val="2"/>
        </w:numPr>
        <w:spacing w:before="0" w:beforeAutospacing="0" w:after="0" w:afterAutospacing="0" w:line="480" w:lineRule="atLeast"/>
        <w:rPr>
          <w:rFonts w:asciiTheme="minorHAnsi" w:hAnsiTheme="minorHAnsi" w:cstheme="minorHAnsi"/>
          <w:color w:val="0070C0"/>
        </w:rPr>
      </w:pPr>
      <w:r w:rsidRPr="00353ABA">
        <w:rPr>
          <w:rFonts w:asciiTheme="minorHAnsi" w:hAnsiTheme="minorHAnsi" w:cstheme="minorHAnsi"/>
          <w:color w:val="0070C0"/>
        </w:rPr>
        <w:lastRenderedPageBreak/>
        <w:t>Dias, A. L. (2024). </w:t>
      </w:r>
      <w:r w:rsidRPr="00353ABA">
        <w:rPr>
          <w:rFonts w:asciiTheme="minorHAnsi" w:hAnsiTheme="minorHAnsi" w:cstheme="minorHAnsi"/>
          <w:i/>
          <w:iCs/>
          <w:color w:val="0070C0"/>
        </w:rPr>
        <w:t>Cases on Innovation and Sustainability in Tourism</w:t>
      </w:r>
      <w:r w:rsidRPr="00353ABA">
        <w:rPr>
          <w:rFonts w:asciiTheme="minorHAnsi" w:hAnsiTheme="minorHAnsi" w:cstheme="minorHAnsi"/>
          <w:color w:val="0070C0"/>
        </w:rPr>
        <w:t>. IGI Global.</w:t>
      </w:r>
    </w:p>
    <w:p w:rsidR="00353ABA" w:rsidRDefault="00353ABA" w:rsidP="00353ABA">
      <w:pPr>
        <w:pStyle w:val="NormalWeb"/>
        <w:numPr>
          <w:ilvl w:val="0"/>
          <w:numId w:val="2"/>
        </w:numPr>
        <w:spacing w:before="0" w:beforeAutospacing="0" w:after="0" w:afterAutospacing="0" w:line="480" w:lineRule="atLeast"/>
        <w:rPr>
          <w:rFonts w:asciiTheme="minorHAnsi" w:hAnsiTheme="minorHAnsi" w:cstheme="minorHAnsi"/>
          <w:color w:val="0070C0"/>
        </w:rPr>
      </w:pPr>
      <w:r w:rsidRPr="00353ABA">
        <w:rPr>
          <w:rFonts w:asciiTheme="minorHAnsi" w:hAnsiTheme="minorHAnsi" w:cstheme="minorHAnsi"/>
          <w:color w:val="0070C0"/>
        </w:rPr>
        <w:t>Stephenson, M. L. (2023). </w:t>
      </w:r>
      <w:r w:rsidRPr="00353ABA">
        <w:rPr>
          <w:rFonts w:asciiTheme="minorHAnsi" w:hAnsiTheme="minorHAnsi" w:cstheme="minorHAnsi"/>
          <w:i/>
          <w:iCs/>
          <w:color w:val="0070C0"/>
        </w:rPr>
        <w:t>Routledge Handbook on Tourism and Small Island States in the Pacific</w:t>
      </w:r>
      <w:r w:rsidRPr="00353ABA">
        <w:rPr>
          <w:rFonts w:asciiTheme="minorHAnsi" w:hAnsiTheme="minorHAnsi" w:cstheme="minorHAnsi"/>
          <w:color w:val="0070C0"/>
        </w:rPr>
        <w:t>. Routledge.</w:t>
      </w:r>
    </w:p>
    <w:p w:rsidR="00353ABA" w:rsidRPr="00353ABA" w:rsidRDefault="00353ABA" w:rsidP="00353ABA">
      <w:pPr>
        <w:pStyle w:val="NormalWeb"/>
        <w:numPr>
          <w:ilvl w:val="0"/>
          <w:numId w:val="2"/>
        </w:numPr>
        <w:spacing w:before="0" w:beforeAutospacing="0" w:after="0" w:afterAutospacing="0" w:line="480" w:lineRule="atLeast"/>
        <w:rPr>
          <w:rFonts w:asciiTheme="minorHAnsi" w:hAnsiTheme="minorHAnsi" w:cstheme="minorHAnsi"/>
          <w:color w:val="0070C0"/>
        </w:rPr>
      </w:pPr>
      <w:r w:rsidRPr="00353ABA">
        <w:rPr>
          <w:rFonts w:asciiTheme="minorHAnsi" w:hAnsiTheme="minorHAnsi" w:cstheme="minorHAnsi"/>
          <w:color w:val="0070C0"/>
        </w:rPr>
        <w:t>Dr Dianne Dredge, &amp; Professor John Jenkins. (2012). </w:t>
      </w:r>
      <w:r w:rsidRPr="00353ABA">
        <w:rPr>
          <w:rFonts w:asciiTheme="minorHAnsi" w:hAnsiTheme="minorHAnsi" w:cstheme="minorHAnsi"/>
          <w:i/>
          <w:iCs/>
          <w:color w:val="0070C0"/>
        </w:rPr>
        <w:t>Stories of Practice: Tourism Policy and Planning</w:t>
      </w:r>
      <w:r w:rsidRPr="00353ABA">
        <w:rPr>
          <w:rFonts w:asciiTheme="minorHAnsi" w:hAnsiTheme="minorHAnsi" w:cstheme="minorHAnsi"/>
          <w:color w:val="0070C0"/>
        </w:rPr>
        <w:t>. Ashgate Publishing, Ltd.</w:t>
      </w:r>
    </w:p>
    <w:p w:rsidR="00716E23" w:rsidRPr="00716E23" w:rsidRDefault="00716E23" w:rsidP="00716E23">
      <w:pPr>
        <w:spacing w:line="276" w:lineRule="auto"/>
        <w:rPr>
          <w:lang w:val="en-US"/>
        </w:rPr>
      </w:pPr>
    </w:p>
    <w:p w:rsidR="00EA737F" w:rsidRPr="00074DA4" w:rsidRDefault="00716E23" w:rsidP="00074DA4">
      <w:pPr>
        <w:pStyle w:val="ListParagraph"/>
        <w:numPr>
          <w:ilvl w:val="0"/>
          <w:numId w:val="1"/>
        </w:numPr>
        <w:spacing w:line="276" w:lineRule="auto"/>
        <w:rPr>
          <w:lang w:val="en-US"/>
        </w:rPr>
      </w:pPr>
      <w:r w:rsidRPr="00074DA4">
        <w:rPr>
          <w:lang w:val="en-US"/>
        </w:rPr>
        <w:t>What is the Manila Declaration on World Tourism (1980)? Why is it considered a milestone in tourism policy?</w:t>
      </w:r>
    </w:p>
    <w:p w:rsidR="00074DA4" w:rsidRPr="006211B4" w:rsidRDefault="00074DA4" w:rsidP="006211B4">
      <w:pPr>
        <w:pStyle w:val="NormalWeb"/>
        <w:rPr>
          <w:rFonts w:asciiTheme="minorHAnsi" w:hAnsiTheme="minorHAnsi" w:cstheme="minorHAnsi"/>
        </w:rPr>
      </w:pPr>
      <w:r w:rsidRPr="006211B4">
        <w:rPr>
          <w:rFonts w:asciiTheme="minorHAnsi" w:hAnsiTheme="minorHAnsi" w:cstheme="minorHAnsi"/>
          <w:lang w:val="en-US"/>
        </w:rPr>
        <w:t>ANS-</w:t>
      </w:r>
      <w:r w:rsidR="00912001" w:rsidRPr="006211B4">
        <w:rPr>
          <w:rFonts w:asciiTheme="minorHAnsi" w:hAnsiTheme="minorHAnsi" w:cstheme="minorHAnsi"/>
        </w:rPr>
        <w:t xml:space="preserve"> </w:t>
      </w:r>
      <w:r w:rsidR="006211B4" w:rsidRPr="006211B4">
        <w:rPr>
          <w:rFonts w:asciiTheme="minorHAnsi" w:hAnsiTheme="minorHAnsi" w:cstheme="minorHAnsi"/>
        </w:rPr>
        <w:t>The Manila Declaration on World Tourism was adopted by the World Tourism Organisation (WTO), during the meeting of its General Assembly in 1980 held in Manila, Republic</w:t>
      </w:r>
      <w:r w:rsidR="006211B4" w:rsidRPr="006211B4">
        <w:rPr>
          <w:rFonts w:asciiTheme="minorHAnsi" w:hAnsiTheme="minorHAnsi" w:cstheme="minorHAnsi"/>
        </w:rPr>
        <w:t> </w:t>
      </w:r>
      <w:r w:rsidR="006211B4" w:rsidRPr="006211B4">
        <w:rPr>
          <w:rFonts w:asciiTheme="minorHAnsi" w:hAnsiTheme="minorHAnsi" w:cstheme="minorHAnsi"/>
        </w:rPr>
        <w:t>of the Philippines. The Declaration is one of the most significant texts on tourism</w:t>
      </w:r>
      <w:r w:rsidR="006211B4" w:rsidRPr="006211B4">
        <w:rPr>
          <w:rFonts w:asciiTheme="minorHAnsi" w:hAnsiTheme="minorHAnsi" w:cstheme="minorHAnsi"/>
        </w:rPr>
        <w:t> </w:t>
      </w:r>
      <w:r w:rsidR="006211B4" w:rsidRPr="006211B4">
        <w:rPr>
          <w:rFonts w:asciiTheme="minorHAnsi" w:hAnsiTheme="minorHAnsi" w:cstheme="minorHAnsi"/>
        </w:rPr>
        <w:t>policy concerning the international regime, as it was for the first time that a sector of activity had adopted an international instrument which recognized its character as social, cultural and economic phenomena.</w:t>
      </w:r>
      <w:bookmarkStart w:id="0" w:name="_GoBack"/>
      <w:bookmarkEnd w:id="0"/>
    </w:p>
    <w:p w:rsidR="00074DA4" w:rsidRPr="00E47C93" w:rsidRDefault="00074DA4" w:rsidP="00074DA4">
      <w:pPr>
        <w:pStyle w:val="NormalWeb"/>
        <w:rPr>
          <w:rFonts w:asciiTheme="minorHAnsi" w:hAnsiTheme="minorHAnsi" w:cstheme="minorHAnsi"/>
        </w:rPr>
      </w:pPr>
      <w:r w:rsidRPr="00E47C93">
        <w:rPr>
          <w:rFonts w:asciiTheme="minorHAnsi" w:hAnsiTheme="minorHAnsi" w:cstheme="minorHAnsi"/>
        </w:rPr>
        <w:t>The declaration</w:t>
      </w:r>
      <w:r w:rsidRPr="00E47C93">
        <w:rPr>
          <w:rFonts w:asciiTheme="minorHAnsi" w:hAnsiTheme="minorHAnsi" w:cstheme="minorHAnsi"/>
        </w:rPr>
        <w:t> </w:t>
      </w:r>
      <w:r w:rsidRPr="00E47C93">
        <w:rPr>
          <w:rFonts w:asciiTheme="minorHAnsi" w:hAnsiTheme="minorHAnsi" w:cstheme="minorHAnsi"/>
        </w:rPr>
        <w:t>stressed the importance of tourism for enhancing international understanding, peace and cooperation among nations. It acknowledged that tourism was an essential human activity associated</w:t>
      </w:r>
      <w:r w:rsidRPr="00E47C93">
        <w:rPr>
          <w:rFonts w:asciiTheme="minorHAnsi" w:hAnsiTheme="minorHAnsi" w:cstheme="minorHAnsi"/>
        </w:rPr>
        <w:t> </w:t>
      </w:r>
      <w:r w:rsidRPr="00E47C93">
        <w:rPr>
          <w:rFonts w:asciiTheme="minorHAnsi" w:hAnsiTheme="minorHAnsi" w:cstheme="minorHAnsi"/>
        </w:rPr>
        <w:t>with the right to rest, leisure and freedom of movement. It was in</w:t>
      </w:r>
      <w:r w:rsidRPr="00E47C93">
        <w:rPr>
          <w:rFonts w:asciiTheme="minorHAnsi" w:hAnsiTheme="minorHAnsi" w:cstheme="minorHAnsi"/>
        </w:rPr>
        <w:t> </w:t>
      </w:r>
      <w:r w:rsidRPr="00E47C93">
        <w:rPr>
          <w:rFonts w:asciiTheme="minorHAnsi" w:hAnsiTheme="minorHAnsi" w:cstheme="minorHAnsi"/>
        </w:rPr>
        <w:t>this way that the Manila Declaration put people at the focal point of tourism development, emphasizing social and cultural aspects of the industry alongside economic gains.</w:t>
      </w:r>
    </w:p>
    <w:p w:rsidR="00074DA4" w:rsidRPr="00E47C93" w:rsidRDefault="00074DA4" w:rsidP="00074DA4">
      <w:pPr>
        <w:pStyle w:val="NormalWeb"/>
        <w:rPr>
          <w:rFonts w:asciiTheme="minorHAnsi" w:hAnsiTheme="minorHAnsi" w:cstheme="minorHAnsi"/>
        </w:rPr>
      </w:pPr>
      <w:r w:rsidRPr="00E47C93">
        <w:rPr>
          <w:rFonts w:asciiTheme="minorHAnsi" w:hAnsiTheme="minorHAnsi" w:cstheme="minorHAnsi"/>
        </w:rPr>
        <w:t>The focus of the Manila Declaration on responsible and sustainable tourism is one of the reasons why</w:t>
      </w:r>
      <w:r w:rsidRPr="00E47C93">
        <w:rPr>
          <w:rFonts w:asciiTheme="minorHAnsi" w:hAnsiTheme="minorHAnsi" w:cstheme="minorHAnsi"/>
        </w:rPr>
        <w:t> </w:t>
      </w:r>
      <w:r w:rsidRPr="00E47C93">
        <w:rPr>
          <w:rFonts w:asciiTheme="minorHAnsi" w:hAnsiTheme="minorHAnsi" w:cstheme="minorHAnsi"/>
        </w:rPr>
        <w:t>it is seen as a landmark. The</w:t>
      </w:r>
      <w:r w:rsidRPr="00E47C93">
        <w:rPr>
          <w:rFonts w:asciiTheme="minorHAnsi" w:hAnsiTheme="minorHAnsi" w:cstheme="minorHAnsi"/>
        </w:rPr>
        <w:t> </w:t>
      </w:r>
      <w:r w:rsidRPr="00E47C93">
        <w:rPr>
          <w:rFonts w:asciiTheme="minorHAnsi" w:hAnsiTheme="minorHAnsi" w:cstheme="minorHAnsi"/>
        </w:rPr>
        <w:t>statement recognized the importance of preserving cultural heritage, respecting local traditions and maintaining the natural environment at a time when mass tourism was growing explosively. It cautioned against ill-planned tourism and argued for careful stewardship - in order to be able to reap the benefits over the long</w:t>
      </w:r>
      <w:r w:rsidRPr="00E47C93">
        <w:rPr>
          <w:rFonts w:asciiTheme="minorHAnsi" w:hAnsiTheme="minorHAnsi" w:cstheme="minorHAnsi"/>
        </w:rPr>
        <w:t> </w:t>
      </w:r>
      <w:r w:rsidRPr="00E47C93">
        <w:rPr>
          <w:rFonts w:asciiTheme="minorHAnsi" w:hAnsiTheme="minorHAnsi" w:cstheme="minorHAnsi"/>
        </w:rPr>
        <w:t>term.</w:t>
      </w:r>
    </w:p>
    <w:p w:rsidR="00074DA4" w:rsidRPr="00E47C93" w:rsidRDefault="00074DA4" w:rsidP="00074DA4">
      <w:pPr>
        <w:pStyle w:val="NormalWeb"/>
        <w:rPr>
          <w:rFonts w:asciiTheme="minorHAnsi" w:hAnsiTheme="minorHAnsi" w:cstheme="minorHAnsi"/>
        </w:rPr>
      </w:pPr>
      <w:r w:rsidRPr="00E47C93">
        <w:rPr>
          <w:rFonts w:asciiTheme="minorHAnsi" w:hAnsiTheme="minorHAnsi" w:cstheme="minorHAnsi"/>
        </w:rPr>
        <w:t>The declaration also listed</w:t>
      </w:r>
      <w:r w:rsidRPr="00E47C93">
        <w:rPr>
          <w:rFonts w:asciiTheme="minorHAnsi" w:hAnsiTheme="minorHAnsi" w:cstheme="minorHAnsi"/>
        </w:rPr>
        <w:t> </w:t>
      </w:r>
      <w:r w:rsidRPr="00E47C93">
        <w:rPr>
          <w:rFonts w:asciiTheme="minorHAnsi" w:hAnsiTheme="minorHAnsi" w:cstheme="minorHAnsi"/>
        </w:rPr>
        <w:t>what states have to do in tourism development. It recommended that states integrate tourism in national development planning,</w:t>
      </w:r>
      <w:r w:rsidRPr="00E47C93">
        <w:rPr>
          <w:rFonts w:asciiTheme="minorHAnsi" w:hAnsiTheme="minorHAnsi" w:cstheme="minorHAnsi"/>
        </w:rPr>
        <w:t> </w:t>
      </w:r>
      <w:r w:rsidRPr="00E47C93">
        <w:rPr>
          <w:rFonts w:asciiTheme="minorHAnsi" w:hAnsiTheme="minorHAnsi" w:cstheme="minorHAnsi"/>
        </w:rPr>
        <w:t>create conducive legal and institutional frameworks, and equitably distribute tourism revenues including in developing countries. Tourism was considered as a means for</w:t>
      </w:r>
      <w:r w:rsidRPr="00E47C93">
        <w:rPr>
          <w:rFonts w:asciiTheme="minorHAnsi" w:hAnsiTheme="minorHAnsi" w:cstheme="minorHAnsi"/>
        </w:rPr>
        <w:t> </w:t>
      </w:r>
      <w:r w:rsidRPr="00E47C93">
        <w:rPr>
          <w:rFonts w:asciiTheme="minorHAnsi" w:hAnsiTheme="minorHAnsi" w:cstheme="minorHAnsi"/>
        </w:rPr>
        <w:t>economic development, employment creation and poverty alleviation.</w:t>
      </w:r>
    </w:p>
    <w:p w:rsidR="00074DA4" w:rsidRPr="00E47C93" w:rsidRDefault="00074DA4" w:rsidP="00074DA4">
      <w:pPr>
        <w:pStyle w:val="NormalWeb"/>
        <w:rPr>
          <w:rFonts w:asciiTheme="minorHAnsi" w:hAnsiTheme="minorHAnsi" w:cstheme="minorHAnsi"/>
        </w:rPr>
      </w:pPr>
      <w:r w:rsidRPr="00E47C93">
        <w:rPr>
          <w:rFonts w:asciiTheme="minorHAnsi" w:hAnsiTheme="minorHAnsi" w:cstheme="minorHAnsi"/>
        </w:rPr>
        <w:t>Looking back, the Manila Declaration established the cornerstone</w:t>
      </w:r>
      <w:r w:rsidRPr="00E47C93">
        <w:rPr>
          <w:rFonts w:asciiTheme="minorHAnsi" w:hAnsiTheme="minorHAnsi" w:cstheme="minorHAnsi"/>
        </w:rPr>
        <w:t> </w:t>
      </w:r>
      <w:r w:rsidRPr="00E47C93">
        <w:rPr>
          <w:rFonts w:asciiTheme="minorHAnsi" w:hAnsiTheme="minorHAnsi" w:cstheme="minorHAnsi"/>
        </w:rPr>
        <w:t>of contemporary tourism policy and strongly prevalent in subsequent international accords on sustainable and ethical tourism. Its principles still shape UNWTO policies and global tourism governance making it a milestone</w:t>
      </w:r>
      <w:r w:rsidRPr="00E47C93">
        <w:rPr>
          <w:rFonts w:asciiTheme="minorHAnsi" w:hAnsiTheme="minorHAnsi" w:cstheme="minorHAnsi"/>
        </w:rPr>
        <w:t> </w:t>
      </w:r>
      <w:r w:rsidRPr="00E47C93">
        <w:rPr>
          <w:rFonts w:asciiTheme="minorHAnsi" w:hAnsiTheme="minorHAnsi" w:cstheme="minorHAnsi"/>
        </w:rPr>
        <w:t>in the development of tourism law and policy.</w:t>
      </w:r>
    </w:p>
    <w:p w:rsidR="00353ABA" w:rsidRPr="00E47C93" w:rsidRDefault="00353ABA" w:rsidP="00074DA4">
      <w:pPr>
        <w:pStyle w:val="NormalWeb"/>
        <w:rPr>
          <w:rFonts w:asciiTheme="minorHAnsi" w:hAnsiTheme="minorHAnsi" w:cstheme="minorHAnsi"/>
          <w:u w:val="single"/>
        </w:rPr>
      </w:pPr>
      <w:r w:rsidRPr="00E47C93">
        <w:rPr>
          <w:rFonts w:asciiTheme="minorHAnsi" w:hAnsiTheme="minorHAnsi" w:cstheme="minorHAnsi"/>
          <w:u w:val="single"/>
        </w:rPr>
        <w:t>References:</w:t>
      </w:r>
    </w:p>
    <w:p w:rsidR="00E47C93" w:rsidRPr="00E47C93" w:rsidRDefault="00E47C93" w:rsidP="00E47C93">
      <w:pPr>
        <w:pStyle w:val="NormalWeb"/>
        <w:numPr>
          <w:ilvl w:val="0"/>
          <w:numId w:val="3"/>
        </w:numPr>
        <w:spacing w:before="0" w:beforeAutospacing="0" w:after="0" w:afterAutospacing="0" w:line="480" w:lineRule="atLeast"/>
        <w:rPr>
          <w:rFonts w:asciiTheme="minorHAnsi" w:hAnsiTheme="minorHAnsi" w:cstheme="minorHAnsi"/>
          <w:color w:val="0070C0"/>
        </w:rPr>
      </w:pPr>
      <w:r w:rsidRPr="00E47C93">
        <w:rPr>
          <w:rFonts w:asciiTheme="minorHAnsi" w:hAnsiTheme="minorHAnsi" w:cstheme="minorHAnsi"/>
          <w:color w:val="0070C0"/>
        </w:rPr>
        <w:t>Secretary-General, U., &amp; World. (1985). </w:t>
      </w:r>
      <w:r w:rsidRPr="00E47C93">
        <w:rPr>
          <w:rFonts w:asciiTheme="minorHAnsi" w:hAnsiTheme="minorHAnsi" w:cstheme="minorHAnsi"/>
          <w:i/>
          <w:iCs/>
          <w:color w:val="0070C0"/>
        </w:rPr>
        <w:t>Implementation of the Manila Declaration and the Acapulco Document on World Tourism</w:t>
      </w:r>
      <w:r w:rsidRPr="00E47C93">
        <w:rPr>
          <w:rFonts w:asciiTheme="minorHAnsi" w:hAnsiTheme="minorHAnsi" w:cstheme="minorHAnsi"/>
          <w:color w:val="0070C0"/>
        </w:rPr>
        <w:t>.</w:t>
      </w:r>
    </w:p>
    <w:p w:rsidR="00E47C93" w:rsidRPr="00E47C93" w:rsidRDefault="00E47C93" w:rsidP="00E47C93">
      <w:pPr>
        <w:pStyle w:val="NormalWeb"/>
        <w:numPr>
          <w:ilvl w:val="0"/>
          <w:numId w:val="3"/>
        </w:numPr>
        <w:spacing w:before="0" w:beforeAutospacing="0" w:after="0" w:afterAutospacing="0" w:line="480" w:lineRule="atLeast"/>
        <w:rPr>
          <w:rFonts w:asciiTheme="minorHAnsi" w:hAnsiTheme="minorHAnsi" w:cstheme="minorHAnsi"/>
          <w:color w:val="0070C0"/>
        </w:rPr>
      </w:pPr>
      <w:r w:rsidRPr="00E47C93">
        <w:rPr>
          <w:rFonts w:asciiTheme="minorHAnsi" w:hAnsiTheme="minorHAnsi" w:cstheme="minorHAnsi"/>
          <w:color w:val="0070C0"/>
        </w:rPr>
        <w:t>Hall, C. M. (2008). </w:t>
      </w:r>
      <w:r w:rsidRPr="00E47C93">
        <w:rPr>
          <w:rFonts w:asciiTheme="minorHAnsi" w:hAnsiTheme="minorHAnsi" w:cstheme="minorHAnsi"/>
          <w:i/>
          <w:iCs/>
          <w:color w:val="0070C0"/>
        </w:rPr>
        <w:t>Tourism planning: policies, processes and relationships.</w:t>
      </w:r>
      <w:r w:rsidRPr="00E47C93">
        <w:rPr>
          <w:rFonts w:asciiTheme="minorHAnsi" w:hAnsiTheme="minorHAnsi" w:cstheme="minorHAnsi"/>
          <w:color w:val="0070C0"/>
        </w:rPr>
        <w:t> Pearson Education.</w:t>
      </w:r>
    </w:p>
    <w:p w:rsidR="00E47C93" w:rsidRPr="00E47C93" w:rsidRDefault="00E47C93" w:rsidP="00E47C93">
      <w:pPr>
        <w:pStyle w:val="NormalWeb"/>
        <w:numPr>
          <w:ilvl w:val="0"/>
          <w:numId w:val="3"/>
        </w:numPr>
        <w:spacing w:before="0" w:beforeAutospacing="0" w:after="0" w:afterAutospacing="0" w:line="480" w:lineRule="atLeast"/>
        <w:rPr>
          <w:rFonts w:asciiTheme="minorHAnsi" w:hAnsiTheme="minorHAnsi" w:cstheme="minorHAnsi"/>
          <w:color w:val="0070C0"/>
        </w:rPr>
      </w:pPr>
      <w:r w:rsidRPr="00E47C93">
        <w:rPr>
          <w:rFonts w:asciiTheme="minorHAnsi" w:hAnsiTheme="minorHAnsi" w:cstheme="minorHAnsi"/>
          <w:color w:val="0070C0"/>
        </w:rPr>
        <w:t>Sharpley, R. (2021). </w:t>
      </w:r>
      <w:r w:rsidRPr="00E47C93">
        <w:rPr>
          <w:rFonts w:asciiTheme="minorHAnsi" w:hAnsiTheme="minorHAnsi" w:cstheme="minorHAnsi"/>
          <w:i/>
          <w:iCs/>
          <w:color w:val="0070C0"/>
        </w:rPr>
        <w:t>Routledge handbook of the tourist experience</w:t>
      </w:r>
      <w:r w:rsidRPr="00E47C93">
        <w:rPr>
          <w:rFonts w:asciiTheme="minorHAnsi" w:hAnsiTheme="minorHAnsi" w:cstheme="minorHAnsi"/>
          <w:color w:val="0070C0"/>
        </w:rPr>
        <w:t>. Routledge.</w:t>
      </w:r>
    </w:p>
    <w:p w:rsidR="00EA737F" w:rsidRPr="00903466" w:rsidRDefault="00EA737F" w:rsidP="00EA737F">
      <w:pPr>
        <w:spacing w:line="276" w:lineRule="auto"/>
        <w:rPr>
          <w:lang w:val="en-US"/>
        </w:rPr>
      </w:pPr>
    </w:p>
    <w:sectPr w:rsidR="00EA737F" w:rsidRPr="00903466" w:rsidSect="00074DA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4138C8E2-40EB-4D7A-B908-C50BF2CC57DE}"/>
    <w:embedBold r:id="rId2" w:fontKey="{37732EE7-1C28-4F17-A8AD-849EBB53272F}"/>
    <w:embedItalic r:id="rId3" w:fontKey="{E72C9D45-E113-42C5-AB68-50F6F512C41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2D6469EB-6F3B-4887-AE04-583517C46B80}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  <w:embedRegular r:id="rId5" w:fontKey="{9A53D445-87D8-4910-B672-E0ABF3A65808}"/>
    <w:embedBold r:id="rId6" w:fontKey="{2ADC319D-81AB-4BFC-B057-2F22ABE8BAE0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7" w:fontKey="{55766457-4B96-4115-8B07-84276C575164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0B2B12"/>
    <w:multiLevelType w:val="hybridMultilevel"/>
    <w:tmpl w:val="0B6A49A0"/>
    <w:lvl w:ilvl="0" w:tplc="40090011">
      <w:start w:val="1"/>
      <w:numFmt w:val="decimal"/>
      <w:lvlText w:val="%1)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E03DBF"/>
    <w:multiLevelType w:val="hybridMultilevel"/>
    <w:tmpl w:val="8848CCE8"/>
    <w:lvl w:ilvl="0" w:tplc="8362CEE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02218A"/>
    <w:multiLevelType w:val="hybridMultilevel"/>
    <w:tmpl w:val="DA4C27BE"/>
    <w:lvl w:ilvl="0" w:tplc="40090011">
      <w:start w:val="1"/>
      <w:numFmt w:val="decimal"/>
      <w:lvlText w:val="%1)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3533E"/>
    <w:rsid w:val="00074DA4"/>
    <w:rsid w:val="001700EC"/>
    <w:rsid w:val="00174BB1"/>
    <w:rsid w:val="0019504D"/>
    <w:rsid w:val="00224FD9"/>
    <w:rsid w:val="002F4AE0"/>
    <w:rsid w:val="00353ABA"/>
    <w:rsid w:val="00384E8A"/>
    <w:rsid w:val="003D1074"/>
    <w:rsid w:val="00426865"/>
    <w:rsid w:val="00477CAA"/>
    <w:rsid w:val="00481859"/>
    <w:rsid w:val="00502E29"/>
    <w:rsid w:val="005E458B"/>
    <w:rsid w:val="006211B4"/>
    <w:rsid w:val="00661030"/>
    <w:rsid w:val="00716E23"/>
    <w:rsid w:val="00844EC2"/>
    <w:rsid w:val="008516FE"/>
    <w:rsid w:val="00903466"/>
    <w:rsid w:val="00912001"/>
    <w:rsid w:val="009C1D0A"/>
    <w:rsid w:val="00A044F7"/>
    <w:rsid w:val="00A8150E"/>
    <w:rsid w:val="00B20343"/>
    <w:rsid w:val="00B85EA7"/>
    <w:rsid w:val="00BE65DD"/>
    <w:rsid w:val="00C21EBA"/>
    <w:rsid w:val="00C612A4"/>
    <w:rsid w:val="00CC6AD1"/>
    <w:rsid w:val="00CD620A"/>
    <w:rsid w:val="00E47C93"/>
    <w:rsid w:val="00E6778A"/>
    <w:rsid w:val="00EA737F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45FF5D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074DA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74DA4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05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6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5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4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7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4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828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hp</cp:lastModifiedBy>
  <cp:revision>16</cp:revision>
  <dcterms:created xsi:type="dcterms:W3CDTF">2025-05-02T12:58:00Z</dcterms:created>
  <dcterms:modified xsi:type="dcterms:W3CDTF">2026-01-19T09:18:00Z</dcterms:modified>
</cp:coreProperties>
</file>