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0390C"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2448621C" wp14:editId="07E895D5">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88971D3" w14:textId="77777777" w:rsidR="00BD5EF8" w:rsidRDefault="00BD5EF8" w:rsidP="0019504D">
      <w:pPr>
        <w:rPr>
          <w:lang w:val="en-US"/>
        </w:rPr>
      </w:pPr>
    </w:p>
    <w:p w14:paraId="2BE09E25" w14:textId="77777777" w:rsidR="00426865" w:rsidRPr="0019504D" w:rsidRDefault="00CD620A" w:rsidP="0019504D">
      <w:pPr>
        <w:rPr>
          <w:b/>
          <w:bCs/>
          <w:lang w:val="en-US"/>
        </w:rPr>
      </w:pPr>
      <w:r>
        <w:rPr>
          <w:b/>
          <w:bCs/>
          <w:lang w:val="en-US"/>
        </w:rPr>
        <w:t>Recreation Course</w:t>
      </w:r>
    </w:p>
    <w:p w14:paraId="631FB9E5" w14:textId="77777777" w:rsidR="0019504D" w:rsidRDefault="0019504D" w:rsidP="0019504D">
      <w:pPr>
        <w:rPr>
          <w:lang w:val="en-US"/>
        </w:rPr>
      </w:pPr>
      <w:r w:rsidRPr="0019504D">
        <w:rPr>
          <w:lang w:val="en-US"/>
        </w:rPr>
        <w:t>Ass</w:t>
      </w:r>
      <w:r>
        <w:rPr>
          <w:lang w:val="en-US"/>
        </w:rPr>
        <w:t xml:space="preserve">ignment </w:t>
      </w:r>
      <w:r w:rsidR="00A95CBF">
        <w:rPr>
          <w:lang w:val="en-US"/>
        </w:rPr>
        <w:t>4</w:t>
      </w:r>
    </w:p>
    <w:p w14:paraId="532B78D5" w14:textId="77777777" w:rsidR="0019504D" w:rsidRPr="0019504D" w:rsidRDefault="00A95CBF" w:rsidP="0019504D">
      <w:pPr>
        <w:rPr>
          <w:lang w:val="en-US"/>
        </w:rPr>
      </w:pPr>
      <w:r>
        <w:rPr>
          <w:lang w:val="en-US"/>
        </w:rPr>
        <w:t>25</w:t>
      </w:r>
      <w:r w:rsidR="0019504D">
        <w:rPr>
          <w:lang w:val="en-US"/>
        </w:rPr>
        <w:t>.0</w:t>
      </w:r>
      <w:r w:rsidR="00CD620A">
        <w:rPr>
          <w:lang w:val="en-US"/>
        </w:rPr>
        <w:t>7</w:t>
      </w:r>
      <w:r w:rsidR="0019504D">
        <w:rPr>
          <w:lang w:val="en-US"/>
        </w:rPr>
        <w:t>.2025</w:t>
      </w:r>
    </w:p>
    <w:p w14:paraId="45C759C5" w14:textId="77777777" w:rsidR="0019504D" w:rsidRDefault="0019504D"/>
    <w:p w14:paraId="0BCBC4F8" w14:textId="77777777" w:rsidR="0019504D" w:rsidRDefault="0019504D"/>
    <w:p w14:paraId="23500EE0" w14:textId="77777777" w:rsidR="0019504D" w:rsidRDefault="0019504D"/>
    <w:p w14:paraId="5157645E" w14:textId="77777777" w:rsidR="0019504D" w:rsidRDefault="0019504D"/>
    <w:p w14:paraId="20B23E72" w14:textId="77777777" w:rsidR="0019504D" w:rsidRDefault="0019504D"/>
    <w:p w14:paraId="71125C26" w14:textId="77777777" w:rsidR="00CD620A" w:rsidRDefault="00CD620A"/>
    <w:p w14:paraId="68661B9B" w14:textId="77777777" w:rsidR="00CD620A" w:rsidRDefault="00CD620A"/>
    <w:p w14:paraId="303E089D" w14:textId="77777777" w:rsidR="00CD620A" w:rsidRDefault="00CD620A"/>
    <w:p w14:paraId="56DD39D0" w14:textId="77777777" w:rsidR="00CD620A" w:rsidRDefault="00CD620A"/>
    <w:p w14:paraId="7FFFC50A" w14:textId="77777777" w:rsidR="00CD620A" w:rsidRDefault="00CD620A"/>
    <w:p w14:paraId="123700BB" w14:textId="77777777" w:rsidR="0019504D" w:rsidRDefault="0019504D"/>
    <w:p w14:paraId="6323AF38" w14:textId="77777777" w:rsidR="0019504D" w:rsidRDefault="0019504D"/>
    <w:p w14:paraId="6B05D467" w14:textId="77777777" w:rsidR="00BD5EF8" w:rsidRPr="00BD5EF8" w:rsidRDefault="00CD620A" w:rsidP="00CD620A">
      <w:pPr>
        <w:spacing w:line="276" w:lineRule="auto"/>
        <w:rPr>
          <w:b/>
          <w:bCs/>
          <w:lang w:val="en-US"/>
        </w:rPr>
      </w:pPr>
      <w:r w:rsidRPr="00BD5EF8">
        <w:rPr>
          <w:b/>
          <w:bCs/>
          <w:lang w:val="en-US"/>
        </w:rPr>
        <w:t xml:space="preserve">In no more than </w:t>
      </w:r>
      <w:r w:rsidR="00A95CBF">
        <w:rPr>
          <w:b/>
          <w:bCs/>
          <w:lang w:val="en-US"/>
        </w:rPr>
        <w:t>10</w:t>
      </w:r>
      <w:r w:rsidRPr="00BD5EF8">
        <w:rPr>
          <w:b/>
          <w:bCs/>
          <w:lang w:val="en-US"/>
        </w:rPr>
        <w:t xml:space="preserve">00 words, </w:t>
      </w:r>
    </w:p>
    <w:p w14:paraId="59B2642F" w14:textId="77777777" w:rsidR="00BD5EF8" w:rsidRDefault="00BD5EF8" w:rsidP="00CD620A">
      <w:pPr>
        <w:spacing w:line="276" w:lineRule="auto"/>
        <w:rPr>
          <w:lang w:val="en-US"/>
        </w:rPr>
      </w:pPr>
    </w:p>
    <w:p w14:paraId="2BBA4727" w14:textId="77777777" w:rsidR="00903466" w:rsidRDefault="00A95CBF" w:rsidP="00A95CBF">
      <w:pPr>
        <w:pStyle w:val="ListParagraph"/>
        <w:numPr>
          <w:ilvl w:val="0"/>
          <w:numId w:val="1"/>
        </w:numPr>
        <w:spacing w:line="276" w:lineRule="auto"/>
        <w:rPr>
          <w:rFonts w:ascii="Times New Roman" w:hAnsi="Times New Roman" w:cs="Times New Roman"/>
          <w:b/>
          <w:bCs/>
          <w:lang w:val="en-US"/>
        </w:rPr>
      </w:pPr>
      <w:r w:rsidRPr="00996FB2">
        <w:rPr>
          <w:rFonts w:ascii="Times New Roman" w:hAnsi="Times New Roman" w:cs="Times New Roman"/>
          <w:b/>
          <w:bCs/>
          <w:lang w:val="en-US"/>
        </w:rPr>
        <w:t>Explain the nexus between Recreational Resource Planning and Sustainable Tourism</w:t>
      </w:r>
    </w:p>
    <w:p w14:paraId="2B6DCFD3" w14:textId="0931AB0A" w:rsidR="00996FB2" w:rsidRPr="00996FB2" w:rsidRDefault="00996FB2" w:rsidP="00996FB2">
      <w:pPr>
        <w:pStyle w:val="ListParagraph"/>
        <w:spacing w:line="276" w:lineRule="auto"/>
        <w:rPr>
          <w:rFonts w:ascii="Times New Roman" w:hAnsi="Times New Roman" w:cs="Times New Roman"/>
          <w:lang w:val="en-US"/>
        </w:rPr>
      </w:pPr>
      <w:r>
        <w:rPr>
          <w:rFonts w:ascii="Times New Roman" w:hAnsi="Times New Roman" w:cs="Times New Roman"/>
          <w:b/>
          <w:bCs/>
          <w:lang w:val="en-US"/>
        </w:rPr>
        <w:t xml:space="preserve">Answer:  </w:t>
      </w:r>
      <w:r w:rsidRPr="00996FB2">
        <w:rPr>
          <w:rFonts w:ascii="Times New Roman" w:hAnsi="Times New Roman" w:cs="Times New Roman"/>
          <w:lang w:val="en-US"/>
        </w:rPr>
        <w:t xml:space="preserve">Recreational resource planning and sustainable tourism are naturally intertwined with a shared objective of enabling </w:t>
      </w:r>
      <w:r>
        <w:rPr>
          <w:rFonts w:ascii="Times New Roman" w:hAnsi="Times New Roman" w:cs="Times New Roman"/>
          <w:lang w:val="en-US"/>
        </w:rPr>
        <w:t xml:space="preserve">the </w:t>
      </w:r>
      <w:r w:rsidRPr="00996FB2">
        <w:rPr>
          <w:rFonts w:ascii="Times New Roman" w:hAnsi="Times New Roman" w:cs="Times New Roman"/>
          <w:lang w:val="en-US"/>
        </w:rPr>
        <w:t xml:space="preserve">enjoyment of natural and cultural assets while preserving those assets for the use of future generations. This connection </w:t>
      </w:r>
      <w:r>
        <w:rPr>
          <w:rFonts w:ascii="Times New Roman" w:hAnsi="Times New Roman" w:cs="Times New Roman"/>
          <w:lang w:val="en-US"/>
        </w:rPr>
        <w:t xml:space="preserve">encompasses a holistic process that encompasses environmental planning and management, tourism planning and development, as well as community development and </w:t>
      </w:r>
      <w:r w:rsidRPr="00996FB2">
        <w:rPr>
          <w:rFonts w:ascii="Times New Roman" w:hAnsi="Times New Roman" w:cs="Times New Roman"/>
          <w:lang w:val="en-US"/>
        </w:rPr>
        <w:t xml:space="preserve">engagement. Essentially, recreational resource planning is concerned with the systematic assessment, management, and development of recreational opportunities and facilities within the </w:t>
      </w:r>
      <w:r>
        <w:rPr>
          <w:rFonts w:ascii="Times New Roman" w:hAnsi="Times New Roman" w:cs="Times New Roman"/>
          <w:lang w:val="en-US"/>
        </w:rPr>
        <w:t>limits</w:t>
      </w:r>
      <w:r w:rsidRPr="00996FB2">
        <w:rPr>
          <w:rFonts w:ascii="Times New Roman" w:hAnsi="Times New Roman" w:cs="Times New Roman"/>
          <w:lang w:val="en-US"/>
        </w:rPr>
        <w:t xml:space="preserve"> of a landscape (such as natural park areas, cultural heritage sites, and urban greenspace) where the intent is to facilitate access, enjoyment, and ecological protection of natural and cultural heritage. In contrast, sustainable tourism is a development model that optimizes the traditional economic, environmental, and social aspects of tourism development to benefit local communities while </w:t>
      </w:r>
      <w:r>
        <w:rPr>
          <w:rFonts w:ascii="Times New Roman" w:hAnsi="Times New Roman" w:cs="Times New Roman"/>
          <w:lang w:val="en-US"/>
        </w:rPr>
        <w:t xml:space="preserve">minimizing its footprint on the ecosystem, environment, and built cultural heritage elements and the </w:t>
      </w:r>
      <w:r w:rsidRPr="00996FB2">
        <w:rPr>
          <w:rFonts w:ascii="Times New Roman" w:hAnsi="Times New Roman" w:cs="Times New Roman"/>
          <w:lang w:val="en-US"/>
        </w:rPr>
        <w:t xml:space="preserve">community. A </w:t>
      </w:r>
      <w:r>
        <w:rPr>
          <w:rFonts w:ascii="Times New Roman" w:hAnsi="Times New Roman" w:cs="Times New Roman"/>
          <w:lang w:val="en-US"/>
        </w:rPr>
        <w:t>merger of recreational resource planning and sustainable tourism will support sustainable travel, ecosystem integrity, and equitable access to recreational benefits</w:t>
      </w:r>
      <w:r w:rsidRPr="00996FB2">
        <w:rPr>
          <w:rFonts w:ascii="Times New Roman" w:hAnsi="Times New Roman" w:cs="Times New Roman"/>
          <w:lang w:val="en-US"/>
        </w:rPr>
        <w:t>.</w:t>
      </w:r>
    </w:p>
    <w:p w14:paraId="7EC9083D" w14:textId="77777777" w:rsidR="00996FB2" w:rsidRDefault="00996FB2" w:rsidP="00996FB2">
      <w:pPr>
        <w:pStyle w:val="ListParagraph"/>
        <w:spacing w:line="276" w:lineRule="auto"/>
        <w:rPr>
          <w:rFonts w:ascii="Times New Roman" w:hAnsi="Times New Roman" w:cs="Times New Roman"/>
          <w:b/>
          <w:bCs/>
          <w:lang w:val="en-US"/>
        </w:rPr>
      </w:pPr>
    </w:p>
    <w:p w14:paraId="26A467B4" w14:textId="7D56A256" w:rsidR="00996FB2" w:rsidRDefault="00996FB2" w:rsidP="00996FB2">
      <w:pPr>
        <w:pStyle w:val="ListParagraph"/>
        <w:spacing w:line="276" w:lineRule="auto"/>
        <w:rPr>
          <w:rFonts w:ascii="Times New Roman" w:hAnsi="Times New Roman" w:cs="Times New Roman"/>
          <w:lang w:val="en-US"/>
        </w:rPr>
      </w:pPr>
      <w:r w:rsidRPr="00996FB2">
        <w:rPr>
          <w:rFonts w:ascii="Times New Roman" w:hAnsi="Times New Roman" w:cs="Times New Roman"/>
          <w:lang w:val="en-US"/>
        </w:rPr>
        <w:t xml:space="preserve">One of the most significant components that connects recreational resource planning to sustainable tourism is the desire for conservation and stewardship of the environment. Effective recreational resource planning necessitates a solid understanding of the destination's natural and cultural attributes, with specific focus on its ecological sensitivity, carrying capacity, and specific attributes that make the destination attractive to visitors. Proposal stages bring together stakeholders and constituents with the goals of developing an organization around a framework that </w:t>
      </w:r>
      <w:r w:rsidRPr="00996FB2">
        <w:rPr>
          <w:rFonts w:ascii="Times New Roman" w:hAnsi="Times New Roman" w:cs="Times New Roman"/>
          <w:lang w:val="en-US"/>
        </w:rPr>
        <w:lastRenderedPageBreak/>
        <w:t>supports recreational use of an area without damaging the resources that provide the basis for the visitation. Similarly, sustainable tourism requires that tourism development is socially and ecologically responsible, meaning that in planning the development of tourism infrastructure and the experiences of visitors, the planning ensures the health of the ecosystem can withstand the use by visitors. In protected areas, such as national parks, recreational resource planning ensures that the development of hiking trails, campsites, and visitor centers can be developed without causing significant soil erosion, habitat fragmentation or disturbing wildlife. In other words, by securing a recreational use in alignment with environmental thresholds, recreational resource planners and tourism developers can work collaboratively to ensure that tourism is sustainable.</w:t>
      </w:r>
      <w:r>
        <w:rPr>
          <w:rFonts w:ascii="Times New Roman" w:hAnsi="Times New Roman" w:cs="Times New Roman"/>
          <w:lang w:val="en-US"/>
        </w:rPr>
        <w:t xml:space="preserve"> </w:t>
      </w:r>
    </w:p>
    <w:p w14:paraId="568FB85B" w14:textId="77777777" w:rsidR="00996FB2" w:rsidRDefault="00996FB2" w:rsidP="00996FB2">
      <w:pPr>
        <w:pStyle w:val="ListParagraph"/>
        <w:spacing w:line="276" w:lineRule="auto"/>
        <w:rPr>
          <w:rFonts w:ascii="Times New Roman" w:hAnsi="Times New Roman" w:cs="Times New Roman"/>
          <w:lang w:val="en-US"/>
        </w:rPr>
      </w:pPr>
    </w:p>
    <w:p w14:paraId="6662DA15" w14:textId="62ADD2A7" w:rsidR="00996FB2" w:rsidRDefault="00996FB2" w:rsidP="00996FB2">
      <w:pPr>
        <w:pStyle w:val="ListParagraph"/>
        <w:spacing w:line="276" w:lineRule="auto"/>
        <w:rPr>
          <w:rFonts w:ascii="Times New Roman" w:hAnsi="Times New Roman" w:cs="Times New Roman"/>
          <w:lang w:val="en-US"/>
        </w:rPr>
      </w:pPr>
      <w:r w:rsidRPr="00996FB2">
        <w:rPr>
          <w:rFonts w:ascii="Times New Roman" w:hAnsi="Times New Roman" w:cs="Times New Roman"/>
          <w:lang w:val="en-US"/>
        </w:rPr>
        <w:t>Another component of the nexus is the management of visitor experience and behaviors. Sustainable tourism and recreational planning both have the goal of providing positive, relevant, and educational experiences that tourists can enjoy. Recreational resource planners can employ zoning, the design of facilities</w:t>
      </w:r>
      <w:r>
        <w:rPr>
          <w:rFonts w:ascii="Times New Roman" w:hAnsi="Times New Roman" w:cs="Times New Roman"/>
          <w:lang w:val="en-US"/>
        </w:rPr>
        <w:t>,</w:t>
      </w:r>
      <w:r w:rsidRPr="00996FB2">
        <w:rPr>
          <w:rFonts w:ascii="Times New Roman" w:hAnsi="Times New Roman" w:cs="Times New Roman"/>
          <w:lang w:val="en-US"/>
        </w:rPr>
        <w:t xml:space="preserve"> and </w:t>
      </w:r>
      <w:r>
        <w:rPr>
          <w:rFonts w:ascii="Times New Roman" w:hAnsi="Times New Roman" w:cs="Times New Roman"/>
          <w:lang w:val="en-US"/>
        </w:rPr>
        <w:t xml:space="preserve">the </w:t>
      </w:r>
      <w:r w:rsidRPr="00996FB2">
        <w:rPr>
          <w:rFonts w:ascii="Times New Roman" w:hAnsi="Times New Roman" w:cs="Times New Roman"/>
          <w:lang w:val="en-US"/>
        </w:rPr>
        <w:t>use of interpretive signs or materials to steer the visitor experience through landscapes that will heighten the overall experience while trying to limit the environmental and social impacts. All of these actions are appropriately aligned with sustainable tourism</w:t>
      </w:r>
      <w:r>
        <w:rPr>
          <w:rFonts w:ascii="Times New Roman" w:hAnsi="Times New Roman" w:cs="Times New Roman"/>
          <w:lang w:val="en-US"/>
        </w:rPr>
        <w:t>,</w:t>
      </w:r>
      <w:r w:rsidRPr="00996FB2">
        <w:rPr>
          <w:rFonts w:ascii="Times New Roman" w:hAnsi="Times New Roman" w:cs="Times New Roman"/>
          <w:lang w:val="en-US"/>
        </w:rPr>
        <w:t xml:space="preserve"> which is to promote an understanding and respect for the local culture and the ecosystem. For example, interpretive programs at heritage sites or eco-lodges educate the visitor about the local history and biodiversity can shape responsible behaviors in visitors in various ways</w:t>
      </w:r>
      <w:r>
        <w:rPr>
          <w:rFonts w:ascii="Times New Roman" w:hAnsi="Times New Roman" w:cs="Times New Roman"/>
          <w:lang w:val="en-US"/>
        </w:rPr>
        <w:t>,</w:t>
      </w:r>
      <w:r w:rsidRPr="00996FB2">
        <w:rPr>
          <w:rFonts w:ascii="Times New Roman" w:hAnsi="Times New Roman" w:cs="Times New Roman"/>
          <w:lang w:val="en-US"/>
        </w:rPr>
        <w:t xml:space="preserve"> such as less waste, respect for customs</w:t>
      </w:r>
      <w:r>
        <w:rPr>
          <w:rFonts w:ascii="Times New Roman" w:hAnsi="Times New Roman" w:cs="Times New Roman"/>
          <w:lang w:val="en-US"/>
        </w:rPr>
        <w:t>,</w:t>
      </w:r>
      <w:r w:rsidRPr="00996FB2">
        <w:rPr>
          <w:rFonts w:ascii="Times New Roman" w:hAnsi="Times New Roman" w:cs="Times New Roman"/>
          <w:lang w:val="en-US"/>
        </w:rPr>
        <w:t xml:space="preserve"> and support for conservation. The management of visitor flows is an aspect </w:t>
      </w:r>
      <w:r>
        <w:rPr>
          <w:rFonts w:ascii="Times New Roman" w:hAnsi="Times New Roman" w:cs="Times New Roman"/>
          <w:lang w:val="en-US"/>
        </w:rPr>
        <w:t xml:space="preserve">that </w:t>
      </w:r>
      <w:r w:rsidRPr="00996FB2">
        <w:rPr>
          <w:rFonts w:ascii="Times New Roman" w:hAnsi="Times New Roman" w:cs="Times New Roman"/>
          <w:lang w:val="en-US"/>
        </w:rPr>
        <w:t xml:space="preserve">effective planning considers. Effective planning is also mindful of </w:t>
      </w:r>
      <w:r>
        <w:rPr>
          <w:rFonts w:ascii="Times New Roman" w:hAnsi="Times New Roman" w:cs="Times New Roman"/>
          <w:lang w:val="en-US"/>
        </w:rPr>
        <w:t>overcrowding</w:t>
      </w:r>
      <w:r w:rsidRPr="00996FB2">
        <w:rPr>
          <w:rFonts w:ascii="Times New Roman" w:hAnsi="Times New Roman" w:cs="Times New Roman"/>
          <w:lang w:val="en-US"/>
        </w:rPr>
        <w:t xml:space="preserve"> and providing an effective experience for both the visitor and the site.</w:t>
      </w:r>
    </w:p>
    <w:p w14:paraId="4283C523" w14:textId="77777777" w:rsidR="00996FB2" w:rsidRDefault="00996FB2" w:rsidP="00996FB2">
      <w:pPr>
        <w:pStyle w:val="ListParagraph"/>
        <w:spacing w:line="276" w:lineRule="auto"/>
        <w:rPr>
          <w:rFonts w:ascii="Times New Roman" w:hAnsi="Times New Roman" w:cs="Times New Roman"/>
          <w:lang w:val="en-US"/>
        </w:rPr>
      </w:pPr>
    </w:p>
    <w:p w14:paraId="1D313E00" w14:textId="77777777" w:rsidR="00996FB2" w:rsidRDefault="00996FB2" w:rsidP="00996FB2">
      <w:pPr>
        <w:pStyle w:val="ListParagraph"/>
        <w:spacing w:line="276" w:lineRule="auto"/>
        <w:rPr>
          <w:rFonts w:ascii="Times New Roman" w:hAnsi="Times New Roman" w:cs="Times New Roman"/>
          <w:lang w:val="en-US"/>
        </w:rPr>
      </w:pPr>
    </w:p>
    <w:p w14:paraId="68D0FA54" w14:textId="2D5DD7DD" w:rsidR="00996FB2" w:rsidRDefault="00996FB2" w:rsidP="00996FB2">
      <w:pPr>
        <w:pStyle w:val="ListParagraph"/>
        <w:spacing w:line="276" w:lineRule="auto"/>
        <w:rPr>
          <w:rFonts w:ascii="Times New Roman" w:hAnsi="Times New Roman" w:cs="Times New Roman"/>
          <w:lang w:val="en-US"/>
        </w:rPr>
      </w:pPr>
      <w:r w:rsidRPr="00996FB2">
        <w:rPr>
          <w:rFonts w:ascii="Times New Roman" w:hAnsi="Times New Roman" w:cs="Times New Roman"/>
          <w:lang w:val="en-US"/>
        </w:rPr>
        <w:t xml:space="preserve">Community engagement and local benefit sharing provide yet another important overlap between recreational resource planning and sustainable tourism. Recreational development must consider the priorities and aspirations of local communities, who are not only the stewards of the natural and cultural resources but also potential participants in tourism-related opportunities. Sustainable tourism </w:t>
      </w:r>
      <w:r>
        <w:rPr>
          <w:rFonts w:ascii="Times New Roman" w:hAnsi="Times New Roman" w:cs="Times New Roman"/>
          <w:lang w:val="en-US"/>
        </w:rPr>
        <w:t>implies</w:t>
      </w:r>
      <w:r w:rsidRPr="00996FB2">
        <w:rPr>
          <w:rFonts w:ascii="Times New Roman" w:hAnsi="Times New Roman" w:cs="Times New Roman"/>
          <w:lang w:val="en-US"/>
        </w:rPr>
        <w:t xml:space="preserve"> the necessity of local input in tourism planning and management, and of ensuring that economic benefits – in the forms of employment, income generation</w:t>
      </w:r>
      <w:r>
        <w:rPr>
          <w:rFonts w:ascii="Times New Roman" w:hAnsi="Times New Roman" w:cs="Times New Roman"/>
          <w:lang w:val="en-US"/>
        </w:rPr>
        <w:t>,</w:t>
      </w:r>
      <w:r w:rsidRPr="00996FB2">
        <w:rPr>
          <w:rFonts w:ascii="Times New Roman" w:hAnsi="Times New Roman" w:cs="Times New Roman"/>
          <w:lang w:val="en-US"/>
        </w:rPr>
        <w:t xml:space="preserve"> and capacity building – </w:t>
      </w:r>
      <w:r>
        <w:rPr>
          <w:rFonts w:ascii="Times New Roman" w:hAnsi="Times New Roman" w:cs="Times New Roman"/>
          <w:lang w:val="en-US"/>
        </w:rPr>
        <w:t xml:space="preserve">are </w:t>
      </w:r>
      <w:r w:rsidRPr="00996FB2">
        <w:rPr>
          <w:rFonts w:ascii="Times New Roman" w:hAnsi="Times New Roman" w:cs="Times New Roman"/>
          <w:lang w:val="en-US"/>
        </w:rPr>
        <w:t>accrued to the communities that host the opportunities. To this end, recreational planners will seek to collaborate with locals so development plans reflect local values and aspirations. For example, by integrating local knowledge, for example</w:t>
      </w:r>
      <w:r>
        <w:rPr>
          <w:rFonts w:ascii="Times New Roman" w:hAnsi="Times New Roman" w:cs="Times New Roman"/>
          <w:lang w:val="en-US"/>
        </w:rPr>
        <w:t>,</w:t>
      </w:r>
      <w:r w:rsidRPr="00996FB2">
        <w:rPr>
          <w:rFonts w:ascii="Times New Roman" w:hAnsi="Times New Roman" w:cs="Times New Roman"/>
          <w:lang w:val="en-US"/>
        </w:rPr>
        <w:t xml:space="preserve"> indigenous knowledge, in the development of trails or interpretive elements for a cultural site, enhanced authenticity is achieved while fostering ownership among members of the community. Additionally, sustainable tourism aims to support local businesses by way of guiding services to handicrafts and food production, thus facilitating the integration of recreational resource planning with more localised development ambitions.</w:t>
      </w:r>
    </w:p>
    <w:p w14:paraId="7F1E35C9" w14:textId="4C03C8C6" w:rsidR="00996FB2" w:rsidRPr="00996FB2" w:rsidRDefault="00996FB2" w:rsidP="00996FB2">
      <w:pPr>
        <w:pStyle w:val="ListParagraph"/>
        <w:spacing w:line="276" w:lineRule="auto"/>
        <w:rPr>
          <w:rFonts w:ascii="Times New Roman" w:hAnsi="Times New Roman" w:cs="Times New Roman"/>
          <w:lang w:val="en-US"/>
        </w:rPr>
      </w:pPr>
      <w:r w:rsidRPr="00996FB2">
        <w:rPr>
          <w:rFonts w:ascii="Times New Roman" w:hAnsi="Times New Roman" w:cs="Times New Roman"/>
          <w:lang w:val="en-US"/>
        </w:rPr>
        <w:lastRenderedPageBreak/>
        <w:t>In conclusion, the links between recreational resource planning and sustainable tourism is intricate and tightly woven together. Both fields focus on allowing people to travel to natural areas or cultural resources and explore those resources in a respectful, responsible, and regenerative manner. By working together in the realms of conservation, visitor management, capacity building within communities and governance arrangements, recreational resource planning and sustainable tourism is an effective combination for developing a sustainable type of tourism. As tourism continues to increase throughout the world, there will increasingly be a need for recreational resource planning to be included in tourism development activities to protect the integrity of destinations, support visitor experiences, and help ensure that tourism is a sustainable force for social, economic and environmental good.</w:t>
      </w:r>
    </w:p>
    <w:sectPr w:rsidR="00996FB2" w:rsidRPr="00996F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34B487C7-CD2B-46F7-A076-366209DC24D4}"/>
    <w:embedBold r:id="rId2" w:fontKey="{3A6E768E-D984-4A99-B99D-7D942AA3804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976FE09F-5DF1-4C51-98B3-950E6A17A2D6}"/>
  </w:font>
  <w:font w:name="Calibri Light">
    <w:panose1 w:val="020F0302020204030204"/>
    <w:charset w:val="00"/>
    <w:family w:val="swiss"/>
    <w:pitch w:val="variable"/>
    <w:sig w:usb0="E4002EFF" w:usb1="C200247B" w:usb2="00000009" w:usb3="00000000" w:csb0="000001FF" w:csb1="00000000"/>
    <w:embedRegular r:id="rId4" w:fontKey="{31599C94-2F8F-46CA-9DB5-75E8757086E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442511"/>
    <w:multiLevelType w:val="hybridMultilevel"/>
    <w:tmpl w:val="524A785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30056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77CAA"/>
    <w:rsid w:val="00502E29"/>
    <w:rsid w:val="005E458B"/>
    <w:rsid w:val="006D6A3E"/>
    <w:rsid w:val="00844EC2"/>
    <w:rsid w:val="008516FE"/>
    <w:rsid w:val="00903466"/>
    <w:rsid w:val="00996FB2"/>
    <w:rsid w:val="009C1D0A"/>
    <w:rsid w:val="00A044F7"/>
    <w:rsid w:val="00A8150E"/>
    <w:rsid w:val="00A95CBF"/>
    <w:rsid w:val="00B20343"/>
    <w:rsid w:val="00B85EA7"/>
    <w:rsid w:val="00BD5EF8"/>
    <w:rsid w:val="00BE65DD"/>
    <w:rsid w:val="00C612A4"/>
    <w:rsid w:val="00CC0F96"/>
    <w:rsid w:val="00CC6AD1"/>
    <w:rsid w:val="00CD620A"/>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395FF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BD5E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848</Words>
  <Characters>5351</Characters>
  <Application>Microsoft Office Word</Application>
  <DocSecurity>0</DocSecurity>
  <Lines>104</Lines>
  <Paragraphs>12</Paragraphs>
  <ScaleCrop>false</ScaleCrop>
  <Company/>
  <LinksUpToDate>false</LinksUpToDate>
  <CharactersWithSpaces>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Avtar Aheer</cp:lastModifiedBy>
  <cp:revision>7</cp:revision>
  <dcterms:created xsi:type="dcterms:W3CDTF">2025-05-02T12:58:00Z</dcterms:created>
  <dcterms:modified xsi:type="dcterms:W3CDTF">2025-07-25T18:32:00Z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4329402d-7ad3-4b06-bf0d-f055e5feab2f</vt:lpwstr>
  </property>
</Properties>
</file>