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line="480"/>
      </w:pPr>
      <w:r>
        <w:t xml:space="preserve"/>
      </w:r>
    </w:p>
    <w:p>
      <w:pPr>
        <w:spacing w:line="480"/>
      </w:pPr>
      <w:r>
        <w:t xml:space="preserve"/>
      </w:r>
    </w:p>
    <w:p>
      <w:pPr>
        <w:spacing w:after="200" w:before="0"/>
        <w:jc w:val="center"/>
      </w:pPr>
      <w:r>
        <w:drawing>
          <wp:inline distT="0" distB="0" distL="0" distR="0">
            <wp:extent cx="4762500" cy="10191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4762500" cy="1019175"/>
                    </a:xfrm>
                    <a:prstGeom prst="rect">
                      <a:avLst/>
                    </a:prstGeom>
                  </pic:spPr>
                </pic:pic>
              </a:graphicData>
            </a:graphic>
          </wp:inline>
        </w:drawing>
      </w:r>
    </w:p>
    <w:p>
      <w:pPr>
        <w:spacing w:line="480"/>
      </w:pPr>
      <w:r>
        <w:t xml:space="preserve"/>
      </w:r>
    </w:p>
    <w:p>
      <w:pPr>
        <w:spacing w:after="80" w:before="0" w:line="480"/>
        <w:jc w:val="center"/>
      </w:pPr>
      <w:r>
        <w:rPr>
          <w:rFonts w:ascii="Times New Roman" w:cs="Times New Roman" w:eastAsia="Times New Roman" w:hAnsi="Times New Roman"/>
          <w:b/>
          <w:bCs/>
          <w:color w:val="000000"/>
          <w:sz w:val="28"/>
          <w:szCs w:val="28"/>
        </w:rPr>
        <w:t xml:space="preserve">Tourism Law and Legislation</w:t>
      </w:r>
    </w:p>
    <w:p>
      <w:pPr>
        <w:spacing w:line="480"/>
      </w:pPr>
      <w:r>
        <w:t xml:space="preserve"/>
      </w:r>
    </w:p>
    <w:p>
      <w:pPr>
        <w:spacing w:after="80" w:before="0" w:line="480"/>
        <w:jc w:val="center"/>
      </w:pPr>
      <w:r>
        <w:rPr>
          <w:rFonts w:ascii="Times New Roman" w:cs="Times New Roman" w:eastAsia="Times New Roman" w:hAnsi="Times New Roman"/>
          <w:b/>
          <w:bCs/>
          <w:color w:val="1F3864"/>
          <w:sz w:val="26"/>
          <w:szCs w:val="26"/>
        </w:rPr>
        <w:t xml:space="preserve">Assignment 1: The Legal Framework of Tourism:</w:t>
      </w:r>
    </w:p>
    <w:p>
      <w:pPr>
        <w:spacing w:after="80" w:before="0" w:line="480"/>
        <w:jc w:val="center"/>
      </w:pPr>
      <w:r>
        <w:rPr>
          <w:rFonts w:ascii="Times New Roman" w:cs="Times New Roman" w:eastAsia="Times New Roman" w:hAnsi="Times New Roman"/>
          <w:b/>
          <w:bCs/>
          <w:color w:val="1F3864"/>
          <w:sz w:val="26"/>
          <w:szCs w:val="26"/>
        </w:rPr>
        <w:t xml:space="preserve">Key Legislation and Global Practices</w:t>
      </w:r>
    </w:p>
    <w:p>
      <w:pPr>
        <w:spacing w:line="480"/>
      </w:pPr>
      <w:r>
        <w:t xml:space="preserve"/>
      </w:r>
    </w:p>
    <w:p>
      <w:pPr>
        <w:spacing w:line="480"/>
      </w:pPr>
      <w:r>
        <w:t xml:space="preserve"/>
      </w:r>
    </w:p>
    <w:p>
      <w:pPr>
        <w:spacing w:after="80" w:before="0" w:line="480"/>
        <w:jc w:val="center"/>
      </w:pPr>
      <w:r>
        <w:rPr>
          <w:rFonts w:ascii="Times New Roman" w:cs="Times New Roman" w:eastAsia="Times New Roman" w:hAnsi="Times New Roman"/>
          <w:b w:val="false"/>
          <w:bCs w:val="false"/>
          <w:color w:val="000000"/>
          <w:sz w:val="24"/>
          <w:szCs w:val="24"/>
        </w:rPr>
        <w:t xml:space="preserve">Submitted by:</w:t>
      </w:r>
    </w:p>
    <w:p>
      <w:pPr>
        <w:spacing w:after="80" w:before="0" w:line="480"/>
        <w:jc w:val="center"/>
      </w:pPr>
      <w:r>
        <w:rPr>
          <w:rFonts w:ascii="Times New Roman" w:cs="Times New Roman" w:eastAsia="Times New Roman" w:hAnsi="Times New Roman"/>
          <w:b/>
          <w:bCs/>
          <w:color w:val="000000"/>
          <w:sz w:val="24"/>
          <w:szCs w:val="24"/>
        </w:rPr>
        <w:t xml:space="preserve">Harsh Kumar</w:t>
      </w:r>
    </w:p>
    <w:p>
      <w:pPr>
        <w:spacing w:after="80" w:before="0" w:line="480"/>
        <w:jc w:val="center"/>
      </w:pPr>
      <w:r>
        <w:rPr>
          <w:rFonts w:ascii="Times New Roman" w:cs="Times New Roman" w:eastAsia="Times New Roman" w:hAnsi="Times New Roman"/>
          <w:b w:val="false"/>
          <w:bCs w:val="false"/>
          <w:color w:val="000000"/>
          <w:sz w:val="24"/>
          <w:szCs w:val="24"/>
        </w:rPr>
        <w:t xml:space="preserve">Student ID: DE240086</w:t>
      </w:r>
    </w:p>
    <w:p>
      <w:pPr>
        <w:spacing w:line="480"/>
      </w:pPr>
      <w:r>
        <w:t xml:space="preserve"/>
      </w:r>
    </w:p>
    <w:p>
      <w:pPr>
        <w:spacing w:after="80" w:before="0" w:line="480"/>
        <w:jc w:val="center"/>
      </w:pPr>
      <w:r>
        <w:rPr>
          <w:rFonts w:ascii="Times New Roman" w:cs="Times New Roman" w:eastAsia="Times New Roman" w:hAnsi="Times New Roman"/>
          <w:b w:val="false"/>
          <w:bCs w:val="false"/>
          <w:color w:val="000000"/>
          <w:sz w:val="24"/>
          <w:szCs w:val="24"/>
        </w:rPr>
        <w:t xml:space="preserve">Module: Tourism Law and Legislation</w:t>
      </w:r>
    </w:p>
    <w:p>
      <w:pPr>
        <w:spacing w:after="80" w:before="0" w:line="480"/>
        <w:jc w:val="center"/>
      </w:pPr>
      <w:r>
        <w:rPr>
          <w:rFonts w:ascii="Times New Roman" w:cs="Times New Roman" w:eastAsia="Times New Roman" w:hAnsi="Times New Roman"/>
          <w:b w:val="false"/>
          <w:bCs w:val="false"/>
          <w:color w:val="000000"/>
          <w:sz w:val="24"/>
          <w:szCs w:val="24"/>
        </w:rPr>
        <w:t xml:space="preserve">Submission Date: 1st April 2026</w:t>
      </w:r>
    </w:p>
    <w:p>
      <w:pPr>
        <w:spacing w:line="480"/>
      </w:pPr>
      <w:r>
        <w:t xml:space="preserve"/>
      </w:r>
    </w:p>
    <w:p>
      <w:r>
        <w:br w:type="page"/>
      </w:r>
    </w:p>
    <w:p>
      <w:pPr>
        <w:pStyle w:val="Heading1"/>
        <w:spacing w:after="200" w:before="360"/>
      </w:pPr>
      <w:r>
        <w:rPr>
          <w:rFonts w:ascii="Times New Roman" w:cs="Times New Roman" w:eastAsia="Times New Roman" w:hAnsi="Times New Roman"/>
          <w:b/>
          <w:bCs/>
          <w:color w:val="1F3864"/>
          <w:sz w:val="28"/>
          <w:szCs w:val="28"/>
        </w:rPr>
        <w:t xml:space="preserve">Table of Contents</w:t>
      </w:r>
    </w:p>
    <w:p>
      <w:pPr>
        <w:spacing w:line="480"/>
      </w:pPr>
      <w:r>
        <w:t xml:space="preserve"/>
      </w:r>
    </w:p>
    <w:p>
      <w:pPr>
        <w:spacing w:after="60" w:before="0" w:line="480"/>
      </w:pPr>
      <w:r>
        <w:rPr>
          <w:rFonts w:ascii="Times New Roman" w:cs="Times New Roman" w:eastAsia="Times New Roman" w:hAnsi="Times New Roman"/>
          <w:sz w:val="24"/>
          <w:szCs w:val="24"/>
        </w:rPr>
        <w:t xml:space="preserve">1. Abstract</w:t>
      </w:r>
    </w:p>
    <w:p>
      <w:pPr>
        <w:spacing w:after="60" w:before="0" w:line="480"/>
      </w:pPr>
      <w:r>
        <w:rPr>
          <w:rFonts w:ascii="Times New Roman" w:cs="Times New Roman" w:eastAsia="Times New Roman" w:hAnsi="Times New Roman"/>
          <w:sz w:val="24"/>
          <w:szCs w:val="24"/>
        </w:rPr>
        <w:t xml:space="preserve">2. Introduction</w:t>
      </w:r>
    </w:p>
    <w:p>
      <w:pPr>
        <w:spacing w:after="60" w:before="0" w:line="480"/>
      </w:pPr>
      <w:r>
        <w:rPr>
          <w:rFonts w:ascii="Times New Roman" w:cs="Times New Roman" w:eastAsia="Times New Roman" w:hAnsi="Times New Roman"/>
          <w:sz w:val="24"/>
          <w:szCs w:val="24"/>
        </w:rPr>
        <w:t xml:space="preserve">3. Literature Review</w:t>
      </w:r>
    </w:p>
    <w:p>
      <w:pPr>
        <w:spacing w:after="60" w:before="0" w:line="480"/>
      </w:pPr>
      <w:r>
        <w:rPr>
          <w:rFonts w:ascii="Times New Roman" w:cs="Times New Roman" w:eastAsia="Times New Roman" w:hAnsi="Times New Roman"/>
          <w:sz w:val="24"/>
          <w:szCs w:val="24"/>
        </w:rPr>
        <w:t xml:space="preserve">4. Methodology</w:t>
      </w:r>
    </w:p>
    <w:p>
      <w:pPr>
        <w:spacing w:after="60" w:before="0" w:line="480"/>
      </w:pPr>
      <w:r>
        <w:rPr>
          <w:rFonts w:ascii="Times New Roman" w:cs="Times New Roman" w:eastAsia="Times New Roman" w:hAnsi="Times New Roman"/>
          <w:sz w:val="24"/>
          <w:szCs w:val="24"/>
        </w:rPr>
        <w:t xml:space="preserve">5. Findings</w:t>
      </w:r>
    </w:p>
    <w:p>
      <w:pPr>
        <w:spacing w:after="60" w:before="0" w:line="480"/>
      </w:pPr>
      <w:r>
        <w:rPr>
          <w:rFonts w:ascii="Times New Roman" w:cs="Times New Roman" w:eastAsia="Times New Roman" w:hAnsi="Times New Roman"/>
          <w:sz w:val="24"/>
          <w:szCs w:val="24"/>
        </w:rPr>
        <w:t xml:space="preserve">6. Discussion</w:t>
      </w:r>
    </w:p>
    <w:p>
      <w:pPr>
        <w:spacing w:after="60" w:before="0" w:line="480"/>
      </w:pPr>
      <w:r>
        <w:rPr>
          <w:rFonts w:ascii="Times New Roman" w:cs="Times New Roman" w:eastAsia="Times New Roman" w:hAnsi="Times New Roman"/>
          <w:sz w:val="24"/>
          <w:szCs w:val="24"/>
        </w:rPr>
        <w:t xml:space="preserve">7. Conclusion</w:t>
      </w:r>
    </w:p>
    <w:p>
      <w:pPr>
        <w:spacing w:after="60" w:before="0" w:line="480"/>
      </w:pPr>
      <w:r>
        <w:rPr>
          <w:rFonts w:ascii="Times New Roman" w:cs="Times New Roman" w:eastAsia="Times New Roman" w:hAnsi="Times New Roman"/>
          <w:sz w:val="24"/>
          <w:szCs w:val="24"/>
        </w:rPr>
        <w:t xml:space="preserve">8. References</w:t>
      </w:r>
    </w:p>
    <w:p>
      <w:pPr>
        <w:spacing w:after="60" w:before="0" w:line="480"/>
      </w:pPr>
      <w:r>
        <w:rPr>
          <w:rFonts w:ascii="Times New Roman" w:cs="Times New Roman" w:eastAsia="Times New Roman" w:hAnsi="Times New Roman"/>
          <w:sz w:val="24"/>
          <w:szCs w:val="24"/>
        </w:rPr>
        <w:t xml:space="preserve">9. Appendices</w:t>
      </w:r>
    </w:p>
    <w:p>
      <w:r>
        <w:br w:type="page"/>
      </w:r>
    </w:p>
    <w:p>
      <w:pPr>
        <w:pStyle w:val="Heading1"/>
        <w:spacing w:after="200" w:before="360"/>
      </w:pPr>
      <w:r>
        <w:rPr>
          <w:rFonts w:ascii="Times New Roman" w:cs="Times New Roman" w:eastAsia="Times New Roman" w:hAnsi="Times New Roman"/>
          <w:b/>
          <w:bCs/>
          <w:color w:val="1F3864"/>
          <w:sz w:val="28"/>
          <w:szCs w:val="28"/>
        </w:rPr>
        <w:t xml:space="preserve">1. Abstract</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Tourism, as one of the most expansive and economically significant industries in the world, operates within a dense web of legal frameworks that span both national borders and international jurisdictions. The regulation of cross-border tourism is a multifaceted challenge that requires cooperation between sovereign nations, international bodies, and private sector stakeholders. This assignment examines how international conventions and national tourism laws work in concert to govern cross-border tourism, with a particular focus on the pivotal role played by the United Nations World Tourism Organization (UNWTO). Drawing on a range of academic literature, legal texts, and policy documents, this paper argues that while significant progress has been made in harmonizing tourism regulation globally, persistent gaps remain — particularly in developing nations where enforcement mechanisms are weak and institutional capacity is limited. The paper identifies key international instruments, including the UNWTO's Global Code of Ethics for Tourism and the Chicago Convention on Civil Aviation, as foundational pillars of the current regulatory regime. It further explores how national legislation in countries such as Germany, India, Australia, and Kenya interacts with these international norms. The findings suggest that a more robust, inclusive, and adaptive global legal framework is necessary if tourism is to continue growing sustainably and equitably. This paper contributes to the ongoing scholarly debate on the governance of international tourism by offering a synthesized analysis of existing legal instruments and their practical implications.</w:t>
      </w:r>
    </w:p>
    <w:p>
      <w:r>
        <w:br w:type="page"/>
      </w:r>
    </w:p>
    <w:p>
      <w:pPr>
        <w:pStyle w:val="Heading1"/>
        <w:spacing w:after="200" w:before="360"/>
      </w:pPr>
      <w:r>
        <w:rPr>
          <w:rFonts w:ascii="Times New Roman" w:cs="Times New Roman" w:eastAsia="Times New Roman" w:hAnsi="Times New Roman"/>
          <w:b/>
          <w:bCs/>
          <w:color w:val="1F3864"/>
          <w:sz w:val="28"/>
          <w:szCs w:val="28"/>
        </w:rPr>
        <w:t xml:space="preserve">2. Introduction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global tourism industry is one of the most powerful economic drivers in the modern world. According to the UNWTO, international tourist arrivals reached approximately 1.5 billion in 2019, generating over USD 1.7 trillion in export revenues before the COVID-19 pandemic brought the industry to a near standstill (UNWTO, 2020). As the world has recovered, tourism has rebounded with remarkable resilience, reinforcing its status as a cornerstone of global economic development, cultural exchange, and people-to-people connectivity.</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Yet the scale and complexity of international tourism give rise to a unique set of legal challenges. When tourists cross borders, they interact with multiple legal systems simultaneously — the laws of their home country, those of the destination country, and in some cases, the provisions of bilateral or multilateral agreements that govern the relationship between the two. Issues as varied as visa regulations, consumer protection, data privacy, environmental safeguards, and liability for accidents must all be addressed within this intricate legal mosaic.</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It is within this context that the role of international conventions and national tourism laws becomes critically important. International conventions provide a universal baseline of rights and obligations that transcend individual nation-states, while national laws give those principles teeth by translating them into enforceable domestic regulations. The UNWTO, as the leading international organization in the field of tourism, plays a central role in facilitating this interplay — setting standards, promoting best practices, and fostering dialogue between member states.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This assignment seeks to examine how international conventions and national tourism laws work together to regulate cross-border tourism, with a specific focus on the UNWTO's contribution to this regulatory landscape. The paper is organized as follows: it begins with a literature review situating the discussion within existing scholarship; proceeds to outline the methodology used; presents findings organized thematically; discusses those findings in light of broader debates; and concludes with recommendations for future reform. The discussion also incorporates real-world examples from multiple regions to illustrate how the legal framework operates in practice.</w:t>
      </w:r>
    </w:p>
    <w:p>
      <w:r>
        <w:br w:type="page"/>
      </w:r>
    </w:p>
    <w:p>
      <w:pPr>
        <w:pStyle w:val="Heading1"/>
        <w:spacing w:after="200" w:before="360"/>
      </w:pPr>
      <w:r>
        <w:rPr>
          <w:rFonts w:ascii="Times New Roman" w:cs="Times New Roman" w:eastAsia="Times New Roman" w:hAnsi="Times New Roman"/>
          <w:b/>
          <w:bCs/>
          <w:color w:val="1F3864"/>
          <w:sz w:val="28"/>
          <w:szCs w:val="28"/>
        </w:rPr>
        <w:t xml:space="preserve">3. Literature Review</w:t>
      </w:r>
    </w:p>
    <w:p>
      <w:pPr>
        <w:pStyle w:val="Heading2"/>
        <w:spacing w:after="160" w:before="240"/>
      </w:pPr>
      <w:r>
        <w:rPr>
          <w:rFonts w:ascii="Times New Roman" w:cs="Times New Roman" w:eastAsia="Times New Roman" w:hAnsi="Times New Roman"/>
          <w:b/>
          <w:bCs/>
          <w:color w:val="1F3864"/>
          <w:sz w:val="26"/>
          <w:szCs w:val="26"/>
        </w:rPr>
        <w:t xml:space="preserve">3.1 The Nature of Tourism Law</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Tourism law, as a distinct field of legal study, is relatively young. As Hall and Page (2014) observe, it has only gradually emerged as an identifiable discipline over the past few decades, drawing on elements of public international law, administrative law, contract law, and environmental law. Unlike many other legal fields, tourism law lacks a unified codified body of rules; instead, it is characterized by fragmentation across multiple domains and jurisdictions.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Scholars such as Swarbrooke and Horner (2007) have highlighted that this fragmentation creates significant challenges for tourism businesses, which must navigate overlapping and sometimes contradictory regulatory frameworks. For example, a tour operator based in Germany conducting tours in Thailand must comply with German consumer protection law, Thai tourism licensing requirements, and potentially the provisions of bilateral investment treaties between the two countries. This multi-layered regulatory environment demands that both businesses and policymakers develop a sophisticated understanding of tourism law's diverse components.</w:t>
      </w:r>
    </w:p>
    <w:p>
      <w:pPr>
        <w:pStyle w:val="Heading2"/>
        <w:spacing w:after="160" w:before="240"/>
      </w:pPr>
      <w:r>
        <w:rPr>
          <w:rFonts w:ascii="Times New Roman" w:cs="Times New Roman" w:eastAsia="Times New Roman" w:hAnsi="Times New Roman"/>
          <w:b/>
          <w:bCs/>
          <w:color w:val="1F3864"/>
          <w:sz w:val="26"/>
          <w:szCs w:val="26"/>
        </w:rPr>
        <w:t xml:space="preserve">3.2 International Conventions and Their Role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 number of international conventions are foundational to the regulation of cross-border tourism. The Chicago Convention on International Civil Aviation (1944) established the principles governing international air travel, which is the lifeblood of global tourism. The Montreal Convention (1999) updated and harmonized rules on airline liability for passengers — a critical protection for tourists traveling internationally. The Warsaw Convention (1929) and its subsequent modifications had previously governed this area, but inconsistencies between signatory states led to the adoption of the Montreal Convention as a more unified instrument (Cheng, 2009).</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Other significant international instruments include the Schengen Agreement, which enables visa-free movement across much of Europe and has profoundly reshaped European tourism flows, and the General Agreement on Trade in Services (GATS) under the World Trade Organization (WTO), which governs trade in tourism services and the movement of tourists across borders (Mattoo &amp; Stern, 2008). The UNESCO World Heritage Convention (1972) also plays a relevant role by establishing obligations for states to protect cultural and natural heritage sites that are often major tourism destinations.</w:t>
      </w:r>
    </w:p>
    <w:p>
      <w:pPr>
        <w:pStyle w:val="Heading2"/>
        <w:spacing w:after="160" w:before="240"/>
      </w:pPr>
      <w:r>
        <w:rPr>
          <w:rFonts w:ascii="Times New Roman" w:cs="Times New Roman" w:eastAsia="Times New Roman" w:hAnsi="Times New Roman"/>
          <w:b/>
          <w:bCs/>
          <w:color w:val="1F3864"/>
          <w:sz w:val="26"/>
          <w:szCs w:val="26"/>
        </w:rPr>
        <w:t xml:space="preserve">3.3 The UNWTO and Global Tourism Governance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UNWTO occupies a central position in the global governance of tourism. Established in 1974 and headquartered in Madrid, Spain, the UNWTO is a specialized agency of the United Nations tasked with promoting responsible, sustainable, and universally accessible tourism (UNWTO, 2022). It serves as a global forum for tourism policy discussions, a technical advisory body, and a standard-setting institution.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UNWTO's most significant normative instrument is the Global Code of Ethics for Tourism (GCET), adopted in 1999 and recognized by the UN General Assembly in 2001. The GCET is a comprehensive reference framework for the responsible and sustainable development of world tourism. It addresses the rights and obligations of tourists, tourism businesses, host communities, and governments, covering issues including the freedom of movement, the protection of cultural heritage, fair distribution of tourism benefits, and workers' rights (UNWTO, 1999). While the GCET is not legally binding in the strict sense, it carries significant normative weight and has been incorporated into domestic tourism legislation in a number of countries.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Academic commentators such as Edgell (2016) have praised the GCET as a visionary document that represents the international community's collective aspirations for ethical tourism, while also noting that its voluntary nature limits its practical enforceability. This tension between aspiration and implementation is a recurring theme in the literature on international tourism governance.</w:t>
      </w:r>
    </w:p>
    <w:p>
      <w:pPr>
        <w:pStyle w:val="Heading2"/>
        <w:spacing w:after="160" w:before="240"/>
      </w:pPr>
      <w:r>
        <w:rPr>
          <w:rFonts w:ascii="Times New Roman" w:cs="Times New Roman" w:eastAsia="Times New Roman" w:hAnsi="Times New Roman"/>
          <w:b/>
          <w:bCs/>
          <w:color w:val="1F3864"/>
          <w:sz w:val="26"/>
          <w:szCs w:val="26"/>
        </w:rPr>
        <w:t xml:space="preserve">3.4 National Tourism Laws: Selected Frameworks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National tourism laws vary enormously in their scope, sophistication, and enforcement capacity. In developed economies, dedicated tourism legislation is typically embedded within broader administrative law frameworks. Germany, for instance, regulates tourism through a combination of federal and Länder-level laws, including the Package Travel Act (Pauschalreiserechtliche Vorschriften), which implements the EU Package Travel Directive and provides extensive consumer protections for tourists (Bundesjustizamt, 2018).</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In contrast, many developing countries have enacted specific tourism acts that consolidate regulatory authority within dedicated tourism ministries or boards. Kenya's Tourism Act (2011) and India's Tourism Policy (2002, revised 2020) are examples of attempts to create coherent national frameworks that align with international standards while also addressing local development priorities (Government of India, 2020; Government of Kenya, 2011). However, scholars such as Njoya and Seetaram (2018) caution that having legislation on the books does not automatically translate into effective governance, particularly where institutional capacity is weak or corruption undermines enforcement.</w:t>
      </w:r>
    </w:p>
    <w:p>
      <w:pPr>
        <w:pStyle w:val="Heading2"/>
        <w:spacing w:after="160" w:before="240"/>
      </w:pPr>
      <w:r>
        <w:rPr>
          <w:rFonts w:ascii="Times New Roman" w:cs="Times New Roman" w:eastAsia="Times New Roman" w:hAnsi="Times New Roman"/>
          <w:b/>
          <w:bCs/>
          <w:color w:val="1F3864"/>
          <w:sz w:val="26"/>
          <w:szCs w:val="26"/>
        </w:rPr>
        <w:t xml:space="preserve">3.5 The Interface Between International and National Law</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relationship between international conventions and national tourism laws is one of the most theoretically rich areas in this field. As Brownlie (2008) notes in his authoritative treatment of international law, the orthodox position in most legal systems is one of dualism: international law and national law are treated as separate systems, and international instruments only become operative domestically once they have been formally incorporated through legislative or executive action.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This means that the impact of an international convention on national tourism regulation depends heavily on domestic legal processes. Countries with a monist tradition — such as France and the Netherlands — may automatically incorporate international treaty provisions into domestic law, while dualist systems like the United Kingdom and Australia require explicit incorporation legislation. This creates an uneven patchwork of implementation across the global tourism landscape.</w:t>
      </w:r>
    </w:p>
    <w:p>
      <w:r>
        <w:br w:type="page"/>
      </w:r>
    </w:p>
    <w:p>
      <w:pPr>
        <w:pStyle w:val="Heading1"/>
        <w:spacing w:after="200" w:before="360"/>
      </w:pPr>
      <w:r>
        <w:rPr>
          <w:rFonts w:ascii="Times New Roman" w:cs="Times New Roman" w:eastAsia="Times New Roman" w:hAnsi="Times New Roman"/>
          <w:b/>
          <w:bCs/>
          <w:color w:val="1F3864"/>
          <w:sz w:val="28"/>
          <w:szCs w:val="28"/>
        </w:rPr>
        <w:t xml:space="preserve">4. Methodology</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This assignment adopts a qualitative, document-based research methodology, drawing on a systematic review of primary and secondary sources. The primary sources consulted include the texts of relevant international conventions (including the Chicago Convention, the Montreal Convention, and the UNESCO World Heritage Convention), UNWTO publications and policy documents, and selected national tourism legislation from Germany, India, Kenya, and Australia. These countries were chosen to provide a geographically diverse sample that reflects different legal traditions, levels of economic development, and regional tourism dynamics.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Secondary sources include peer-reviewed academic journal articles, textbooks on tourism law and international law, and reports from international organizations including the UNWTO and the World Trade Organization. Databases searched include Google Scholar, JSTOR, and the UNWTO's official publications portal. The review focused on materials published from 1990 to the present, with particular attention to developments in the post-COVID-19 period given the significant regulatory changes triggered by the pandemic.</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analytical approach is one of comparative legal analysis combined with thematic synthesis. Rather than conducting a purely doctrinal analysis of individual legal instruments, this paper seeks to identify cross-cutting themes and tensions in the interplay between international and national tourism law. This approach is consistent with the methodology advocated by Örücü and Nelken (2004) in their foundational text on comparative law, which emphasizes the importance of contextualizing legal analysis within its broader social, economic, and political environment.</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It should be noted that this assignment does not undertake primary empirical research, such as interviews or surveys, given the academic context and scope of the task. However, where real-world examples are cited, these are drawn from publicly available official sources and peer-reviewed scholarship, and are used to illustrate and ground the theoretical arguments developed in the paper.</w:t>
      </w:r>
    </w:p>
    <w:p>
      <w:r>
        <w:br w:type="page"/>
      </w:r>
    </w:p>
    <w:p>
      <w:pPr>
        <w:pStyle w:val="Heading1"/>
        <w:spacing w:after="200" w:before="360"/>
      </w:pPr>
      <w:r>
        <w:rPr>
          <w:rFonts w:ascii="Times New Roman" w:cs="Times New Roman" w:eastAsia="Times New Roman" w:hAnsi="Times New Roman"/>
          <w:b/>
          <w:bCs/>
          <w:color w:val="1F3864"/>
          <w:sz w:val="28"/>
          <w:szCs w:val="28"/>
        </w:rPr>
        <w:t xml:space="preserve">5. Findings</w:t>
      </w:r>
    </w:p>
    <w:p>
      <w:pPr>
        <w:pStyle w:val="Heading2"/>
        <w:spacing w:after="160" w:before="240"/>
      </w:pPr>
      <w:r>
        <w:rPr>
          <w:rFonts w:ascii="Times New Roman" w:cs="Times New Roman" w:eastAsia="Times New Roman" w:hAnsi="Times New Roman"/>
          <w:b/>
          <w:bCs/>
          <w:color w:val="1F3864"/>
          <w:sz w:val="26"/>
          <w:szCs w:val="26"/>
        </w:rPr>
        <w:t xml:space="preserve">5.1 The Architecture of International Tourism Law</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findings of this review reveal that international tourism law is not a monolithic structure but rather a layered and often fragmented system in which multiple conventions and agreements operate simultaneously — sometimes in harmony, and sometimes in tension with one another. At its foundation lies the body of customary international law governing the movement of persons, which establishes baseline norms such as the right of states to control their borders and the principle of non-refoulement for asylum seekers and refugees.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Superimposed on this foundation is a network of bilateral and multilateral agreements that shape the conditions for cross-border tourism. Visa facilitation agreements between states are among the most practically significant of these, as visa requirements are often the first and most immediate legal barrier that a potential tourist encounters. The UNWTO has consistently advocated for the liberalization of visa regimes as a driver of tourism growth, publishing an annual visa openness report that benchmarks countries' performance in this area (UNWTO, 2022).</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At the sectoral level, specific conventions govern different modes of travel that underpin tourism. The Chicago Convention and its associated annexes set the technical and regulatory standards for international civil aviation, governing everything from air traffic control procedures to aircraft certification. The International Maritime Organization's conventions similarly regulate cruise tourism, which has grown into a multi-billion-dollar segment of the global tourism industry. These sectoral instruments, while not specifically focused on tourism, provide the essential infrastructure within which modern tourism operates.</w:t>
      </w:r>
    </w:p>
    <w:p>
      <w:pPr>
        <w:pStyle w:val="Heading2"/>
        <w:spacing w:after="160" w:before="240"/>
      </w:pPr>
      <w:r>
        <w:rPr>
          <w:rFonts w:ascii="Times New Roman" w:cs="Times New Roman" w:eastAsia="Times New Roman" w:hAnsi="Times New Roman"/>
          <w:b/>
          <w:bCs/>
          <w:color w:val="1F3864"/>
          <w:sz w:val="26"/>
          <w:szCs w:val="26"/>
        </w:rPr>
        <w:t xml:space="preserve">5.2 The UNWTO's Normative and Technical Contributions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findings confirm that the UNWTO makes its most significant contribution to the governance of international tourism not through binding legal instruments — of which it has relatively few — but through normative guidance, technical assistance, and the facilitation of multilateral dialogue. The Global Code of Ethics for Tourism remains its flagship normative instrument, providing a comprehensive ethical framework that has influenced national legislation in countries as diverse as Morocco, Brazil, and the Philippines.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Beyond the GCET, the UNWTO has developed a range of technical standards and guidelines that shape how tourism statistics are collected and reported, how tourism destinations are classified, and how tourism's environmental impacts are measured. The International Recommendations for Tourism Statistics (IRTS 2008), for example, provides the methodological framework used by most national statistical agencies to measure tourism's economic contribution — a function with significant implications for how governments allocate resources and design tourism-related legislation (UNWTO, 2010).</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UNWTO also plays a critical role in building the institutional capacity of developing countries to regulate tourism effectively. Through its technical assistance programs and regional commissions, it provides training, policy advice, and financial support to governments that lack the resources to develop sophisticated tourism regulatory frameworks independently. This capacity-building function is particularly important in sub-Saharan Africa and small island developing states, where tourism is a major economic sector but regulatory capacity remains limited.</w:t>
      </w:r>
    </w:p>
    <w:p>
      <w:pPr>
        <w:pStyle w:val="Heading2"/>
        <w:spacing w:after="160" w:before="240"/>
      </w:pPr>
      <w:r>
        <w:rPr>
          <w:rFonts w:ascii="Times New Roman" w:cs="Times New Roman" w:eastAsia="Times New Roman" w:hAnsi="Times New Roman"/>
          <w:b/>
          <w:bCs/>
          <w:color w:val="1F3864"/>
          <w:sz w:val="26"/>
          <w:szCs w:val="26"/>
        </w:rPr>
        <w:t xml:space="preserve">5.3 Interaction Between International and National Laws: Case Studies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relationship between international conventions and national tourism law is illustrated clearly by the case of the EU Package Travel Directive, which represents one of the most sophisticated examples of international-to-national legal transplantation in the tourism sector. Originally enacted in 1990 and substantially revised in 2015 (Directive 2015/2302/EU), the Directive establishes a comprehensive set of consumer rights for tourists who purchase package holidays — including rights to information, price transparency, and compensation in the event of insolvency or failure to deliver contracted services. All 27 EU member states are obliged to incorporate the Directive into their national law, resulting in a broadly harmonized consumer protection landscape across one of the world's largest tourism markets (European Commission, 2020).</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Germany's implementation of the Directive through its Package Travel Act exemplifies the dualist approach to international law incorporation: the European instrument required domestic legislative action to take effect, but once enacted, it created enforceable rights for German tourists and obligations for German tour operators. The German legislation goes beyond the minimum requirements of the Directive in some respects, reflecting the country's strong tradition of consumer protection law — a reminder that international instruments set floors, not ceilings.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situation in Kenya offers a contrasting perspective. Kenya's Tourism Act (2011) was drafted with explicit reference to international standards, including UNWTO guidelines, and established the Kenya Tourism Board and the Tourism Regulatory Authority as the primary institutional mechanisms for implementing the Act. However, scholars such as Akama and Kieti (2003) have noted persistent gaps between the law's aspirations and its implementation on the ground, driven by inadequate funding, jurisdictional overlaps between different government agencies, and the political economy of the tourism industry in Kenya. This case illustrates the broader challenge of ensuring that international norms translate meaningfully into domestic practice, particularly in resource-constrained environments.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India's experience with tourism regulation adds yet another dimension. India's Tourism Policy has undergone several revisions, with the most recent in 2020 emphasizing sustainable and responsible tourism in alignment with UNWTO principles (Government of India, 2020). India is also a signatory to a range of bilateral air services agreements that facilitate the movement of tourists, and its membership of the UNWTO obligates it to report tourism statistics in conformity with international standards. At the same time, tourism regulation in India is complicated by its federal structure, which divides legislative authority between the Union government and the states — creating a patchwork of regulatory approaches that can be challenging for international tourists and tourism businesses to navigate.</w:t>
      </w:r>
    </w:p>
    <w:p>
      <w:pPr>
        <w:pStyle w:val="Heading2"/>
        <w:spacing w:after="160" w:before="240"/>
      </w:pPr>
      <w:r>
        <w:rPr>
          <w:rFonts w:ascii="Times New Roman" w:cs="Times New Roman" w:eastAsia="Times New Roman" w:hAnsi="Times New Roman"/>
          <w:b/>
          <w:bCs/>
          <w:color w:val="1F3864"/>
          <w:sz w:val="26"/>
          <w:szCs w:val="26"/>
        </w:rPr>
        <w:t xml:space="preserve">5.4 Gaps and Challenges in the Current Framework</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Despite the progress made in constructing an international legal framework for tourism, significant gaps and challenges remain. One of the most pressing is the absence of a binding international instrument specifically dedicated to tourism. Unlike trade in goods (governed by the WTO's GATT) or international aviation (governed by the Chicago Convention and ICAO), tourism lacks a comprehensive binding treaty that establishes universal standards and dispute resolution mechanisms. The GCET, despite its importance, is voluntary, and the UNWTO lacks the enforcement powers of bodies such as the WTO's Dispute Settlement Body.</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 second challenge is the digital transformation of tourism, which has outpaced the development of legal frameworks. The rise of online travel agencies, sharing economy platforms such as Airbnb, and digital visa applications has created new regulatory challenges that existing international conventions and national laws were not designed to address. Issues around data protection, platform liability, and the taxation of digital tourism revenues require new legal thinking, and current frameworks are struggling to keep pace (Gössling &amp; Hall, 2019).</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 third challenge relates to the treatment of tourists from the Global South in developed-country visa regimes. While the UNWTO advocates for visa liberalization, the reality is that citizens of many developing countries face stringent visa requirements when seeking to travel to popular tourism destinations in the Global North. This asymmetry is not only ethically problematic but also economically counterproductive, as it limits the potential for South-South tourism flows and reinforces existing patterns of inequality in global tourism.</w:t>
      </w:r>
    </w:p>
    <w:p>
      <w:r>
        <w:br w:type="page"/>
      </w:r>
    </w:p>
    <w:p>
      <w:pPr>
        <w:pStyle w:val="Heading1"/>
        <w:spacing w:after="200" w:before="360"/>
      </w:pPr>
      <w:r>
        <w:rPr>
          <w:rFonts w:ascii="Times New Roman" w:cs="Times New Roman" w:eastAsia="Times New Roman" w:hAnsi="Times New Roman"/>
          <w:b/>
          <w:bCs/>
          <w:color w:val="1F3864"/>
          <w:sz w:val="28"/>
          <w:szCs w:val="28"/>
        </w:rPr>
        <w:t xml:space="preserve">6. Discussion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findings presented above raise important questions about the nature and effectiveness of the current international legal framework for tourism. At its best, this framework provides a coherent set of norms that protect tourists' rights, facilitate the movement of people across borders, and encourage sustainable and ethical tourism practices. The EU Package Travel Directive, the Montreal Convention, and the GCET all represent genuine achievements in international cooperation that have made the global tourism experience safer and fairer for millions of travelers.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At the same time, the fragmented and largely voluntary character of international tourism law means that its reach and impact are uneven. The effectiveness of any given international norm depends heavily on domestic political will, institutional capacity, and the economic incentives facing tourism industry actors in each country. Where these conditions are favorable — as in the EU context — international norms can be effectively translated into domestic law and practice. Where they are not — as in many developing-country contexts — the gap between legal aspiration and operational reality can be wide.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UNWTO's role in bridging this gap is essential but constrained. As a United Nations specialized agency with a membership-based governance structure, the UNWTO must operate by consensus and cannot impose obligations on its member states in the way that a supranational body such as the European Commission can. Its power is primarily normative and persuasive — the power to set standards, build norms, and provide technical assistance — rather than coercive. This is not necessarily a weakness; indeed, the UNWTO's consensual approach may be more conducive to building genuine international cooperation in a field as politically sensitive as tourism than a more legalistic enforcement-based model would be.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However, the challenges posed by digital transformation and the asymmetries in global visa regimes suggest that the current framework requires significant updating. The growth of platform-based tourism services has created regulatory arbitrage opportunities that undermine the level playing field that effective regulation requires. National governments and the UNWTO alike must grapple with how to bring these new forms of tourism provision within existing or newly developed legal frameworks without stifling the innovation that has made digital tourism services so popular with consumers.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issue of visa asymmetry also deserves more prominent attention in international tourism policy discussions. While it is understandable that states wish to retain control over their borders for security and migration management reasons, the systematically discriminatory treatment of travelers from developing countries is both an ethical problem and a missed economic opportunity. Greater visa liberalization, supported by multilateral agreements facilitated through the UNWTO, would likely generate significant tourism revenue gains for both sending and receiving countries — a finding supported by the organization's own research on the economic impacts of visa facilitation (UNWTO, 2022).</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From a broader theoretical perspective, this discussion illustrates the continuing relevance of the classic tension in international law between sovereignty and cooperation. States are understandably reluctant to cede control over matters — such as border management and consumer protection standards — that they view as core functions of governance. Yet the globally interconnected nature of modern tourism means that purely unilateral approaches to tourism regulation are increasingly inadequate. The future of international tourism governance likely lies in deepened multilateral cooperation facilitated by the UNWTO, underpinned by new binding instruments in areas such as digital tourism regulation and visa facilitation, and supported by genuine capacity-building assistance for developing countries.</w:t>
      </w:r>
    </w:p>
    <w:p>
      <w:r>
        <w:br w:type="page"/>
      </w:r>
    </w:p>
    <w:p>
      <w:pPr>
        <w:pStyle w:val="Heading1"/>
        <w:spacing w:after="200" w:before="360"/>
      </w:pPr>
      <w:r>
        <w:rPr>
          <w:rFonts w:ascii="Times New Roman" w:cs="Times New Roman" w:eastAsia="Times New Roman" w:hAnsi="Times New Roman"/>
          <w:b/>
          <w:bCs/>
          <w:color w:val="1F3864"/>
          <w:sz w:val="28"/>
          <w:szCs w:val="28"/>
        </w:rPr>
        <w:t xml:space="preserve">7. Conclusion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This paper has examined how international conventions and national tourism laws work together to regulate cross-border tourism, with particular attention to the UNWTO's role in this process. The analysis confirms that the international legal framework for tourism is complex, multilayered, and characterized by significant variation in implementation and effectiveness across different national and regional contexts.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UNWTO's contributions — particularly through the Global Code of Ethics for Tourism, its technical standards, and its capacity-building programs — have been instrumental in shaping a broadly shared set of international norms for tourism governance. However, the voluntary character of most UNWTO instruments, combined with the fragmented nature of international tourism law more broadly, means that these norms are translated into practice unevenly.</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Looking forward, three priorities stand out for the future development of international tourism law. First, there is a need for updated and binding international instruments to address the regulatory challenges posed by digital tourism platforms and data governance — areas where existing frameworks are clearly inadequate. Second, greater progress is needed on visa liberalization, ideally through multilateral frameworks that reduce the discriminatory treatment of travelers from the Global South. Third, sustained investment in institutional capacity building is needed to ensure that developing countries can effectively implement and enforce the international and national legal frameworks to which they are formally committed.</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Tourism, at its best, is a force for human connection, cultural understanding, and shared prosperity. Realizing this potential requires legal frameworks that are not only comprehensive in their coverage but also just in their application and effective in their enforcement. The work of building such frameworks — at both the international and national levels — remains one of the central challenges of global tourism governance in the twenty-first century.</w:t>
      </w:r>
    </w:p>
    <w:p>
      <w:r>
        <w:br w:type="page"/>
      </w:r>
    </w:p>
    <w:p>
      <w:pPr>
        <w:pStyle w:val="Heading1"/>
        <w:spacing w:after="200" w:before="360"/>
      </w:pPr>
      <w:r>
        <w:rPr>
          <w:rFonts w:ascii="Times New Roman" w:cs="Times New Roman" w:eastAsia="Times New Roman" w:hAnsi="Times New Roman"/>
          <w:b/>
          <w:bCs/>
          <w:color w:val="1F3864"/>
          <w:sz w:val="28"/>
          <w:szCs w:val="28"/>
        </w:rPr>
        <w:t xml:space="preserve">8. References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Akama, J. S., &amp; Kieti, D. (2003). Tourism and socio-economic development in developing countries: A case study of Mombasa Resort in Kenya. Journal of Sustainable Tourism, 11(1), 5–28. https://doi.org/10.1080/09669580308667195</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Brownlie, I. (2008). Principles of public international law (7th ed.). Oxford University Press.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Bundesjustizamt. (2018). Gesetz zur Neuregelung des Pauschalreiserechts [Act on the New Regulation of Package Travel Law]. Federal Ministry of Justice.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Cheng, B. (2009). The law of international air transport. Stevens &amp; Sons.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Chicago Convention on International Civil Aviation. (1944). Convention on international civil aviation. International Civil Aviation Organization.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Edgell, D. L. (2016). Managing sustainable tourism: A legacy for the future (2nd ed.). Routledge.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European Commission. (2020). Package travel and linked travel arrangements: Directive 2015/2302/EU. https://ec.europa.eu/info/law/package-travel-directive-eu-2015-2302_en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Gössling, S., &amp; Hall, C. M. (2019). Sharing versus collaborative economy: How to align ICT developments and the SDGs in tourism? Journal of Sustainable Tourism, 27(1), 74–96. https://doi.org/10.1080/09669582.2018.1560455</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Government of India. (2020). National tourism policy 2020. Ministry of Tourism.</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Government of Kenya. (2011). Tourism Act, 2011. Government Printer.</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Hall, C. M., &amp; Page, S. J. (2014). The geography of tourism and recreation: Environment, place and space (4th ed.). Routledge.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Mattoo, A., &amp; Stern, R. M. (Eds.). (2008). India and the WTO. World Bank Publications.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Montreal Convention. (1999). Convention for the unification of certain rules for international carriage by air. International Civil Aviation Organization.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Njoya, E. T., &amp; Seetaram, N. (2018). Tourism contribution to poverty alleviation in Kenya: A dynamic computable general equilibrium analysis. Journal of Travel Research, 57(4), 513–524. https://doi.org/10.1177/0047287517700317</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Örücü, E., &amp; Nelken, D. (Eds.). (2004). Comparative law: A handbook. Hart Publishing.</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Swarbrooke, J., &amp; Horner, S. (2007). Consumer behaviour in tourism (2nd ed.). Butterworth-Heinemann.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UNESCO. (1972). Convention concerning the protection of the world cultural and natural heritage. United Nations Educational, Scientific and Cultural Organization.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UNWTO. (1999). Global code of ethics for tourism. World Tourism Organization.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UNWTO. (2010). International recommendations for tourism statistics 2008 (IRTS 2008). United Nations.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UNWTO. (2020). World tourism barometer: Impact assessment of the COVID-19 outbreak on international tourism. World Tourism Organization.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UNWTO. (2022). World tourism organization annual report 2022. World Tourism Organization. https://www.unwto.org</w:t>
      </w:r>
    </w:p>
    <w:p>
      <w:r>
        <w:br w:type="page"/>
      </w:r>
    </w:p>
    <w:p>
      <w:pPr>
        <w:pStyle w:val="Heading1"/>
        <w:spacing w:after="200" w:before="360"/>
      </w:pPr>
      <w:r>
        <w:rPr>
          <w:rFonts w:ascii="Times New Roman" w:cs="Times New Roman" w:eastAsia="Times New Roman" w:hAnsi="Times New Roman"/>
          <w:b/>
          <w:bCs/>
          <w:color w:val="1F3864"/>
          <w:sz w:val="28"/>
          <w:szCs w:val="28"/>
        </w:rPr>
        <w:t xml:space="preserve">9. Appendices</w:t>
      </w:r>
    </w:p>
    <w:p>
      <w:pPr>
        <w:pStyle w:val="Heading2"/>
        <w:spacing w:after="160" w:before="240"/>
      </w:pPr>
      <w:r>
        <w:rPr>
          <w:rFonts w:ascii="Times New Roman" w:cs="Times New Roman" w:eastAsia="Times New Roman" w:hAnsi="Times New Roman"/>
          <w:b/>
          <w:bCs/>
          <w:color w:val="1F3864"/>
          <w:sz w:val="26"/>
          <w:szCs w:val="26"/>
        </w:rPr>
        <w:t xml:space="preserve">Appendix A: Key International Instruments in Tourism Regulation</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The following table summarizes the primary international legal instruments referenced in this paper, along with their year of adoption, the body responsible for their administration, and their primary relevance to cross-border tourism regulation.</w:t>
      </w:r>
    </w:p>
    <w:p>
      <w:pPr>
        <w:spacing w:line="480"/>
      </w:pPr>
      <w:r>
        <w:t xml:space="preserve"/>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Chicago Convention on International Civil Aviation (1944) — ICAO — Governs international air transport infrastructure and safety standards.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Warsaw Convention (1929) / Montreal Convention (1999) — ICAO — Establishes airline liability standards for passengers in international carriage.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UNESCO World Heritage Convention (1972) — UNESCO — Protects cultural and natural heritage sites with significant tourism value.</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WTO General Agreement on Trade in Services / GATS (1995) — WTO — Governs trade in tourism services including market access and national treatment.</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UNWTO Global Code of Ethics for Tourism (1999) — UNWTO — Voluntary framework for responsible and sustainable tourism development.</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EU Package Travel Directive (1990, revised 2015) — European Commission — Consumer protection framework for package holidays in the European Union.</w:t>
      </w:r>
    </w:p>
    <w:p>
      <w:pPr>
        <w:spacing w:line="480"/>
      </w:pPr>
      <w:r>
        <w:t xml:space="preserve"/>
      </w:r>
    </w:p>
    <w:p>
      <w:pPr>
        <w:pStyle w:val="Heading2"/>
        <w:spacing w:after="160" w:before="240"/>
      </w:pPr>
      <w:r>
        <w:rPr>
          <w:rFonts w:ascii="Times New Roman" w:cs="Times New Roman" w:eastAsia="Times New Roman" w:hAnsi="Times New Roman"/>
          <w:b/>
          <w:bCs/>
          <w:color w:val="1F3864"/>
          <w:sz w:val="26"/>
          <w:szCs w:val="26"/>
        </w:rPr>
        <w:t xml:space="preserve">Appendix B: Summary of National Tourism Legislation Reviewed</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Germany — Package Travel Act (Pauschalreiserechtliche Vorschriften) — Implements EU Package Travel Directive; strong consumer protections.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Kenya — Tourism Act (2011) — Establishes Kenya Tourism Board and Tourism Regulatory Authority; aligns with UNWTO guidelines.</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India — National Tourism Policy (2020) — Updated policy emphasizing sustainable tourism; federal structure creates regulatory complexity.</w:t>
      </w:r>
    </w:p>
    <w:p>
      <w:pPr>
        <w:spacing w:after="120" w:before="0" w:line="480" w:lineRule="auto"/>
        <w:jc w:val="both"/>
      </w:pPr>
      <w:r>
        <w:rPr>
          <w:rFonts w:ascii="Times New Roman" w:cs="Times New Roman" w:eastAsia="Times New Roman" w:hAnsi="Times New Roman"/>
          <w:b w:val="false"/>
          <w:bCs w:val="false"/>
          <w:i w:val="false"/>
          <w:iCs w:val="false"/>
          <w:color w:val="000000"/>
          <w:sz w:val="24"/>
          <w:szCs w:val="24"/>
        </w:rPr>
        <w:t xml:space="preserve">Australia — Tourism Australia Act (2004) — Establishes Tourism Australia as the national marketing and policy body.</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360"/>
      <w:outlineLvl w:val="0"/>
    </w:pPr>
    <w:rPr>
      <w:rFonts w:ascii="Times New Roman" w:cs="Times New Roman" w:eastAsia="Times New Roman" w:hAnsi="Times New Roman"/>
      <w:b/>
      <w:bCs/>
      <w:color w:val="1F3864"/>
      <w:sz w:val="28"/>
      <w:szCs w:val="28"/>
    </w:rPr>
  </w:style>
  <w:style w:type="paragraph" w:styleId="Heading2">
    <w:name w:val="Heading 2"/>
    <w:basedOn w:val="Normal"/>
    <w:next w:val="Normal"/>
    <w:qFormat/>
    <w:pPr>
      <w:spacing w:after="160" w:before="240"/>
      <w:outlineLvl w:val="1"/>
    </w:pPr>
    <w:rPr>
      <w:rFonts w:ascii="Times New Roman" w:cs="Times New Roman" w:eastAsia="Times New Roman" w:hAnsi="Times New Roman"/>
      <w:b/>
      <w:bCs/>
      <w:color w:val="1F3864"/>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6841f1c496a1fdaf7106c2a1a7a70459c7061a4d.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2026-04-01T19:11:47.644Z</dcterms:created>
  <dcterms:modified xsi:type="dcterms:W3CDTF">2026-04-01T19:11:47.645Z</dcterms:modified>
</cp:coreProperties>
</file>

<file path=docProps/custom.xml><?xml version="1.0" encoding="utf-8"?>
<Properties xmlns="http://schemas.openxmlformats.org/officeDocument/2006/custom-properties" xmlns:vt="http://schemas.openxmlformats.org/officeDocument/2006/docPropsVTypes"/>
</file>