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191A2" w14:textId="77777777" w:rsidR="005F18BA" w:rsidRPr="00406EDB" w:rsidRDefault="005F18BA" w:rsidP="00B03725">
      <w:pPr>
        <w:spacing w:line="480" w:lineRule="auto"/>
        <w:jc w:val="center"/>
        <w:rPr>
          <w:rFonts w:ascii="Calibri" w:hAnsi="Calibri" w:cs="Calibri"/>
          <w:b/>
          <w:bCs/>
          <w:szCs w:val="24"/>
        </w:rPr>
      </w:pPr>
      <w:r w:rsidRPr="00406EDB">
        <w:rPr>
          <w:rFonts w:ascii="Calibri" w:hAnsi="Calibri" w:cs="Calibri"/>
          <w:b/>
          <w:bCs/>
          <w:noProof/>
          <w:szCs w:val="24"/>
        </w:rPr>
        <w:drawing>
          <wp:inline distT="0" distB="0" distL="0" distR="0" wp14:anchorId="0BD6B81F" wp14:editId="47623CE0">
            <wp:extent cx="2648320" cy="743054"/>
            <wp:effectExtent l="0" t="0" r="0" b="0"/>
            <wp:docPr id="1945696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96584" name=""/>
                    <pic:cNvPicPr/>
                  </pic:nvPicPr>
                  <pic:blipFill>
                    <a:blip r:embed="rId4"/>
                    <a:stretch>
                      <a:fillRect/>
                    </a:stretch>
                  </pic:blipFill>
                  <pic:spPr>
                    <a:xfrm>
                      <a:off x="0" y="0"/>
                      <a:ext cx="2648320" cy="743054"/>
                    </a:xfrm>
                    <a:prstGeom prst="rect">
                      <a:avLst/>
                    </a:prstGeom>
                  </pic:spPr>
                </pic:pic>
              </a:graphicData>
            </a:graphic>
          </wp:inline>
        </w:drawing>
      </w:r>
    </w:p>
    <w:p w14:paraId="4D4CC107" w14:textId="77777777" w:rsidR="005F18BA" w:rsidRPr="00406EDB" w:rsidRDefault="005F18BA" w:rsidP="00B03725">
      <w:pPr>
        <w:spacing w:line="480" w:lineRule="auto"/>
        <w:jc w:val="center"/>
        <w:rPr>
          <w:rFonts w:ascii="Calibri" w:hAnsi="Calibri" w:cs="Calibri"/>
          <w:b/>
          <w:bCs/>
          <w:szCs w:val="24"/>
        </w:rPr>
      </w:pPr>
      <w:r w:rsidRPr="00406EDB">
        <w:rPr>
          <w:rFonts w:ascii="Calibri" w:hAnsi="Calibri" w:cs="Calibri"/>
          <w:b/>
          <w:bCs/>
          <w:szCs w:val="24"/>
        </w:rPr>
        <w:t xml:space="preserve">Bachelors in tourism and recreation </w:t>
      </w:r>
    </w:p>
    <w:p w14:paraId="149606D5" w14:textId="77777777" w:rsidR="005F18BA" w:rsidRPr="00406EDB" w:rsidRDefault="005F18BA" w:rsidP="00B03725">
      <w:pPr>
        <w:spacing w:line="480" w:lineRule="auto"/>
        <w:jc w:val="center"/>
        <w:rPr>
          <w:rFonts w:ascii="Calibri" w:hAnsi="Calibri" w:cs="Calibri"/>
          <w:b/>
          <w:bCs/>
          <w:szCs w:val="24"/>
        </w:rPr>
      </w:pPr>
      <w:r w:rsidRPr="00406EDB">
        <w:rPr>
          <w:rFonts w:ascii="Calibri" w:hAnsi="Calibri" w:cs="Calibri"/>
          <w:b/>
          <w:bCs/>
          <w:szCs w:val="24"/>
        </w:rPr>
        <w:t>Business Organization and Human Resource Management</w:t>
      </w:r>
    </w:p>
    <w:p w14:paraId="5A90D253" w14:textId="77777777" w:rsidR="005F18BA" w:rsidRPr="00406EDB" w:rsidRDefault="005F18BA" w:rsidP="00B03725">
      <w:pPr>
        <w:spacing w:line="480" w:lineRule="auto"/>
        <w:jc w:val="center"/>
        <w:rPr>
          <w:rFonts w:ascii="Calibri" w:hAnsi="Calibri" w:cs="Calibri"/>
          <w:szCs w:val="24"/>
        </w:rPr>
      </w:pPr>
    </w:p>
    <w:p w14:paraId="00E195CB" w14:textId="77777777" w:rsidR="005F18BA" w:rsidRPr="00406EDB" w:rsidRDefault="005F18BA" w:rsidP="00B03725">
      <w:pPr>
        <w:spacing w:line="480" w:lineRule="auto"/>
        <w:rPr>
          <w:rFonts w:ascii="Calibri" w:hAnsi="Calibri" w:cs="Calibri"/>
          <w:b/>
          <w:bCs/>
          <w:szCs w:val="24"/>
        </w:rPr>
      </w:pPr>
      <w:r w:rsidRPr="00406EDB">
        <w:rPr>
          <w:rFonts w:ascii="Calibri" w:hAnsi="Calibri" w:cs="Calibri"/>
          <w:szCs w:val="24"/>
        </w:rPr>
        <w:drawing>
          <wp:inline distT="0" distB="0" distL="0" distR="0" wp14:anchorId="1EC63F62" wp14:editId="367A5C8F">
            <wp:extent cx="5943600" cy="3526155"/>
            <wp:effectExtent l="0" t="0" r="0" b="0"/>
            <wp:docPr id="1975618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618061" name=""/>
                    <pic:cNvPicPr/>
                  </pic:nvPicPr>
                  <pic:blipFill>
                    <a:blip r:embed="rId5"/>
                    <a:stretch>
                      <a:fillRect/>
                    </a:stretch>
                  </pic:blipFill>
                  <pic:spPr>
                    <a:xfrm>
                      <a:off x="0" y="0"/>
                      <a:ext cx="5943600" cy="3526155"/>
                    </a:xfrm>
                    <a:prstGeom prst="rect">
                      <a:avLst/>
                    </a:prstGeom>
                  </pic:spPr>
                </pic:pic>
              </a:graphicData>
            </a:graphic>
          </wp:inline>
        </w:drawing>
      </w:r>
    </w:p>
    <w:p w14:paraId="693C45D7" w14:textId="77777777" w:rsidR="005F18BA" w:rsidRPr="00406EDB" w:rsidRDefault="005F18BA" w:rsidP="00B03725">
      <w:pPr>
        <w:spacing w:line="480" w:lineRule="auto"/>
        <w:jc w:val="center"/>
        <w:rPr>
          <w:rFonts w:ascii="Calibri" w:hAnsi="Calibri" w:cs="Calibri"/>
          <w:b/>
          <w:bCs/>
          <w:szCs w:val="24"/>
        </w:rPr>
      </w:pPr>
    </w:p>
    <w:p w14:paraId="485032AE" w14:textId="77777777" w:rsidR="005F18BA" w:rsidRPr="00406EDB" w:rsidRDefault="005F18BA" w:rsidP="00B03725">
      <w:pPr>
        <w:spacing w:line="480" w:lineRule="auto"/>
        <w:jc w:val="center"/>
        <w:rPr>
          <w:rFonts w:ascii="Calibri" w:hAnsi="Calibri" w:cs="Calibri"/>
          <w:b/>
          <w:bCs/>
          <w:szCs w:val="24"/>
        </w:rPr>
      </w:pPr>
    </w:p>
    <w:p w14:paraId="35B5A0DB" w14:textId="77777777" w:rsidR="005F18BA" w:rsidRPr="00406EDB" w:rsidRDefault="005F18BA" w:rsidP="00B03725">
      <w:pPr>
        <w:spacing w:line="480" w:lineRule="auto"/>
        <w:rPr>
          <w:rFonts w:ascii="Calibri" w:hAnsi="Calibri" w:cs="Calibri"/>
          <w:b/>
          <w:bCs/>
          <w:szCs w:val="24"/>
        </w:rPr>
      </w:pPr>
    </w:p>
    <w:p w14:paraId="13E8AF01" w14:textId="77777777" w:rsidR="005F18BA" w:rsidRPr="00406EDB" w:rsidRDefault="005F18BA" w:rsidP="00B03725">
      <w:pPr>
        <w:spacing w:line="480" w:lineRule="auto"/>
        <w:jc w:val="center"/>
        <w:rPr>
          <w:rFonts w:ascii="Calibri" w:hAnsi="Calibri" w:cs="Calibri"/>
          <w:b/>
          <w:bCs/>
          <w:szCs w:val="24"/>
        </w:rPr>
      </w:pPr>
    </w:p>
    <w:p w14:paraId="608E6ABD" w14:textId="77777777" w:rsidR="005F18BA" w:rsidRPr="00406EDB" w:rsidRDefault="005F18BA" w:rsidP="00B03725">
      <w:pPr>
        <w:spacing w:line="480" w:lineRule="auto"/>
        <w:rPr>
          <w:rFonts w:ascii="Calibri" w:hAnsi="Calibri" w:cs="Calibri"/>
          <w:b/>
          <w:bCs/>
          <w:szCs w:val="24"/>
        </w:rPr>
      </w:pPr>
    </w:p>
    <w:sdt>
      <w:sdtPr>
        <w:rPr>
          <w:rFonts w:ascii="Calibri" w:eastAsiaTheme="minorHAnsi" w:hAnsi="Calibri" w:cs="Calibri"/>
          <w:color w:val="auto"/>
          <w:kern w:val="2"/>
          <w:sz w:val="24"/>
          <w:szCs w:val="21"/>
          <w:lang w:val="en-GB" w:bidi="hi-IN"/>
          <w14:ligatures w14:val="standardContextual"/>
        </w:rPr>
        <w:id w:val="-1538275456"/>
        <w:docPartObj>
          <w:docPartGallery w:val="Table of Contents"/>
          <w:docPartUnique/>
        </w:docPartObj>
      </w:sdtPr>
      <w:sdtEndPr>
        <w:rPr>
          <w:b/>
          <w:bCs/>
          <w:noProof/>
        </w:rPr>
      </w:sdtEndPr>
      <w:sdtContent>
        <w:p w14:paraId="52A1C966" w14:textId="77777777" w:rsidR="005F18BA" w:rsidRPr="00406EDB" w:rsidRDefault="005F18BA" w:rsidP="00B03725">
          <w:pPr>
            <w:pStyle w:val="TOCHeading"/>
            <w:spacing w:line="480" w:lineRule="auto"/>
            <w:rPr>
              <w:rFonts w:ascii="Calibri" w:hAnsi="Calibri" w:cs="Calibri"/>
              <w:color w:val="auto"/>
            </w:rPr>
          </w:pPr>
          <w:r w:rsidRPr="00406EDB">
            <w:rPr>
              <w:rFonts w:ascii="Calibri" w:hAnsi="Calibri" w:cs="Calibri"/>
              <w:color w:val="auto"/>
            </w:rPr>
            <w:t>Contents</w:t>
          </w:r>
        </w:p>
        <w:p w14:paraId="23B827BF" w14:textId="77777777" w:rsidR="005F18BA" w:rsidRPr="00406EDB" w:rsidRDefault="005F18BA" w:rsidP="00B03725">
          <w:pPr>
            <w:pStyle w:val="TOC1"/>
            <w:tabs>
              <w:tab w:val="right" w:leader="dot" w:pos="9350"/>
            </w:tabs>
            <w:spacing w:line="480" w:lineRule="auto"/>
            <w:rPr>
              <w:rFonts w:ascii="Calibri" w:hAnsi="Calibri" w:cs="Calibri"/>
              <w:noProof/>
            </w:rPr>
          </w:pPr>
          <w:r w:rsidRPr="00406EDB">
            <w:rPr>
              <w:rFonts w:ascii="Calibri" w:hAnsi="Calibri" w:cs="Calibri"/>
            </w:rPr>
            <w:fldChar w:fldCharType="begin"/>
          </w:r>
          <w:r w:rsidRPr="00406EDB">
            <w:rPr>
              <w:rFonts w:ascii="Calibri" w:hAnsi="Calibri" w:cs="Calibri"/>
            </w:rPr>
            <w:instrText xml:space="preserve"> TOC \o "1-3" \h \z \u </w:instrText>
          </w:r>
          <w:r w:rsidRPr="00406EDB">
            <w:rPr>
              <w:rFonts w:ascii="Calibri" w:hAnsi="Calibri" w:cs="Calibri"/>
            </w:rPr>
            <w:fldChar w:fldCharType="separate"/>
          </w:r>
          <w:hyperlink w:anchor="_Toc220957850" w:history="1">
            <w:r w:rsidRPr="00406EDB">
              <w:rPr>
                <w:rStyle w:val="Hyperlink"/>
                <w:rFonts w:ascii="Calibri" w:hAnsi="Calibri" w:cs="Calibri"/>
                <w:noProof/>
                <w:color w:val="auto"/>
              </w:rPr>
              <w:t>Abstract</w:t>
            </w:r>
            <w:r w:rsidRPr="00406EDB">
              <w:rPr>
                <w:rFonts w:ascii="Calibri" w:hAnsi="Calibri" w:cs="Calibri"/>
                <w:noProof/>
                <w:webHidden/>
              </w:rPr>
              <w:tab/>
            </w:r>
            <w:r w:rsidRPr="00406EDB">
              <w:rPr>
                <w:rFonts w:ascii="Calibri" w:hAnsi="Calibri" w:cs="Calibri"/>
                <w:noProof/>
                <w:webHidden/>
              </w:rPr>
              <w:fldChar w:fldCharType="begin"/>
            </w:r>
            <w:r w:rsidRPr="00406EDB">
              <w:rPr>
                <w:rFonts w:ascii="Calibri" w:hAnsi="Calibri" w:cs="Calibri"/>
                <w:noProof/>
                <w:webHidden/>
              </w:rPr>
              <w:instrText xml:space="preserve"> PAGEREF _Toc220957850 \h </w:instrText>
            </w:r>
            <w:r w:rsidRPr="00406EDB">
              <w:rPr>
                <w:rFonts w:ascii="Calibri" w:hAnsi="Calibri" w:cs="Calibri"/>
                <w:noProof/>
                <w:webHidden/>
              </w:rPr>
            </w:r>
            <w:r w:rsidRPr="00406EDB">
              <w:rPr>
                <w:rFonts w:ascii="Calibri" w:hAnsi="Calibri" w:cs="Calibri"/>
                <w:noProof/>
                <w:webHidden/>
              </w:rPr>
              <w:fldChar w:fldCharType="separate"/>
            </w:r>
            <w:r w:rsidRPr="00406EDB">
              <w:rPr>
                <w:rFonts w:ascii="Calibri" w:hAnsi="Calibri" w:cs="Calibri"/>
                <w:noProof/>
                <w:webHidden/>
              </w:rPr>
              <w:t>3</w:t>
            </w:r>
            <w:r w:rsidRPr="00406EDB">
              <w:rPr>
                <w:rFonts w:ascii="Calibri" w:hAnsi="Calibri" w:cs="Calibri"/>
                <w:noProof/>
                <w:webHidden/>
              </w:rPr>
              <w:fldChar w:fldCharType="end"/>
            </w:r>
          </w:hyperlink>
        </w:p>
        <w:p w14:paraId="6AD98E1F" w14:textId="77777777" w:rsidR="005F18BA" w:rsidRPr="00406EDB" w:rsidRDefault="005F18BA" w:rsidP="00B03725">
          <w:pPr>
            <w:pStyle w:val="TOC1"/>
            <w:tabs>
              <w:tab w:val="right" w:leader="dot" w:pos="9350"/>
            </w:tabs>
            <w:spacing w:line="480" w:lineRule="auto"/>
            <w:rPr>
              <w:rFonts w:ascii="Calibri" w:hAnsi="Calibri" w:cs="Calibri"/>
              <w:noProof/>
            </w:rPr>
          </w:pPr>
          <w:hyperlink w:anchor="_Toc220957851" w:history="1">
            <w:r w:rsidRPr="00406EDB">
              <w:rPr>
                <w:rStyle w:val="Hyperlink"/>
                <w:rFonts w:ascii="Calibri" w:hAnsi="Calibri" w:cs="Calibri"/>
                <w:noProof/>
                <w:color w:val="auto"/>
              </w:rPr>
              <w:t>Introduction</w:t>
            </w:r>
            <w:r w:rsidRPr="00406EDB">
              <w:rPr>
                <w:rFonts w:ascii="Calibri" w:hAnsi="Calibri" w:cs="Calibri"/>
                <w:noProof/>
                <w:webHidden/>
              </w:rPr>
              <w:tab/>
            </w:r>
            <w:r w:rsidRPr="00406EDB">
              <w:rPr>
                <w:rFonts w:ascii="Calibri" w:hAnsi="Calibri" w:cs="Calibri"/>
                <w:noProof/>
                <w:webHidden/>
              </w:rPr>
              <w:fldChar w:fldCharType="begin"/>
            </w:r>
            <w:r w:rsidRPr="00406EDB">
              <w:rPr>
                <w:rFonts w:ascii="Calibri" w:hAnsi="Calibri" w:cs="Calibri"/>
                <w:noProof/>
                <w:webHidden/>
              </w:rPr>
              <w:instrText xml:space="preserve"> PAGEREF _Toc220957851 \h </w:instrText>
            </w:r>
            <w:r w:rsidRPr="00406EDB">
              <w:rPr>
                <w:rFonts w:ascii="Calibri" w:hAnsi="Calibri" w:cs="Calibri"/>
                <w:noProof/>
                <w:webHidden/>
              </w:rPr>
            </w:r>
            <w:r w:rsidRPr="00406EDB">
              <w:rPr>
                <w:rFonts w:ascii="Calibri" w:hAnsi="Calibri" w:cs="Calibri"/>
                <w:noProof/>
                <w:webHidden/>
              </w:rPr>
              <w:fldChar w:fldCharType="separate"/>
            </w:r>
            <w:r w:rsidRPr="00406EDB">
              <w:rPr>
                <w:rFonts w:ascii="Calibri" w:hAnsi="Calibri" w:cs="Calibri"/>
                <w:noProof/>
                <w:webHidden/>
              </w:rPr>
              <w:t>3</w:t>
            </w:r>
            <w:r w:rsidRPr="00406EDB">
              <w:rPr>
                <w:rFonts w:ascii="Calibri" w:hAnsi="Calibri" w:cs="Calibri"/>
                <w:noProof/>
                <w:webHidden/>
              </w:rPr>
              <w:fldChar w:fldCharType="end"/>
            </w:r>
          </w:hyperlink>
        </w:p>
        <w:p w14:paraId="372E1CE5" w14:textId="77777777" w:rsidR="005F18BA" w:rsidRPr="00406EDB" w:rsidRDefault="005F18BA" w:rsidP="00B03725">
          <w:pPr>
            <w:pStyle w:val="TOC1"/>
            <w:tabs>
              <w:tab w:val="right" w:leader="dot" w:pos="9350"/>
            </w:tabs>
            <w:spacing w:line="480" w:lineRule="auto"/>
            <w:rPr>
              <w:rFonts w:ascii="Calibri" w:hAnsi="Calibri" w:cs="Calibri"/>
              <w:noProof/>
            </w:rPr>
          </w:pPr>
          <w:hyperlink w:anchor="_Toc220957852" w:history="1">
            <w:r w:rsidRPr="00406EDB">
              <w:rPr>
                <w:rStyle w:val="Hyperlink"/>
                <w:rFonts w:ascii="Calibri" w:hAnsi="Calibri" w:cs="Calibri"/>
                <w:noProof/>
                <w:color w:val="auto"/>
              </w:rPr>
              <w:t>Literature Review</w:t>
            </w:r>
            <w:r w:rsidRPr="00406EDB">
              <w:rPr>
                <w:rFonts w:ascii="Calibri" w:hAnsi="Calibri" w:cs="Calibri"/>
                <w:noProof/>
                <w:webHidden/>
              </w:rPr>
              <w:tab/>
            </w:r>
            <w:r w:rsidRPr="00406EDB">
              <w:rPr>
                <w:rFonts w:ascii="Calibri" w:hAnsi="Calibri" w:cs="Calibri"/>
                <w:noProof/>
                <w:webHidden/>
              </w:rPr>
              <w:fldChar w:fldCharType="begin"/>
            </w:r>
            <w:r w:rsidRPr="00406EDB">
              <w:rPr>
                <w:rFonts w:ascii="Calibri" w:hAnsi="Calibri" w:cs="Calibri"/>
                <w:noProof/>
                <w:webHidden/>
              </w:rPr>
              <w:instrText xml:space="preserve"> PAGEREF _Toc220957852 \h </w:instrText>
            </w:r>
            <w:r w:rsidRPr="00406EDB">
              <w:rPr>
                <w:rFonts w:ascii="Calibri" w:hAnsi="Calibri" w:cs="Calibri"/>
                <w:noProof/>
                <w:webHidden/>
              </w:rPr>
            </w:r>
            <w:r w:rsidRPr="00406EDB">
              <w:rPr>
                <w:rFonts w:ascii="Calibri" w:hAnsi="Calibri" w:cs="Calibri"/>
                <w:noProof/>
                <w:webHidden/>
              </w:rPr>
              <w:fldChar w:fldCharType="separate"/>
            </w:r>
            <w:r w:rsidRPr="00406EDB">
              <w:rPr>
                <w:rFonts w:ascii="Calibri" w:hAnsi="Calibri" w:cs="Calibri"/>
                <w:noProof/>
                <w:webHidden/>
              </w:rPr>
              <w:t>5</w:t>
            </w:r>
            <w:r w:rsidRPr="00406EDB">
              <w:rPr>
                <w:rFonts w:ascii="Calibri" w:hAnsi="Calibri" w:cs="Calibri"/>
                <w:noProof/>
                <w:webHidden/>
              </w:rPr>
              <w:fldChar w:fldCharType="end"/>
            </w:r>
          </w:hyperlink>
        </w:p>
        <w:p w14:paraId="7F174ABD" w14:textId="77777777" w:rsidR="005F18BA" w:rsidRPr="00406EDB" w:rsidRDefault="005F18BA" w:rsidP="00B03725">
          <w:pPr>
            <w:pStyle w:val="TOC1"/>
            <w:tabs>
              <w:tab w:val="right" w:leader="dot" w:pos="9350"/>
            </w:tabs>
            <w:spacing w:line="480" w:lineRule="auto"/>
            <w:rPr>
              <w:rFonts w:ascii="Calibri" w:hAnsi="Calibri" w:cs="Calibri"/>
              <w:noProof/>
            </w:rPr>
          </w:pPr>
          <w:hyperlink w:anchor="_Toc220957853" w:history="1">
            <w:r w:rsidRPr="00406EDB">
              <w:rPr>
                <w:rStyle w:val="Hyperlink"/>
                <w:rFonts w:ascii="Calibri" w:hAnsi="Calibri" w:cs="Calibri"/>
                <w:b/>
                <w:bCs/>
                <w:noProof/>
                <w:color w:val="auto"/>
              </w:rPr>
              <w:t>Methodology</w:t>
            </w:r>
            <w:r w:rsidRPr="00406EDB">
              <w:rPr>
                <w:rFonts w:ascii="Calibri" w:hAnsi="Calibri" w:cs="Calibri"/>
                <w:noProof/>
                <w:webHidden/>
              </w:rPr>
              <w:tab/>
            </w:r>
            <w:r w:rsidRPr="00406EDB">
              <w:rPr>
                <w:rFonts w:ascii="Calibri" w:hAnsi="Calibri" w:cs="Calibri"/>
                <w:noProof/>
                <w:webHidden/>
              </w:rPr>
              <w:fldChar w:fldCharType="begin"/>
            </w:r>
            <w:r w:rsidRPr="00406EDB">
              <w:rPr>
                <w:rFonts w:ascii="Calibri" w:hAnsi="Calibri" w:cs="Calibri"/>
                <w:noProof/>
                <w:webHidden/>
              </w:rPr>
              <w:instrText xml:space="preserve"> PAGEREF _Toc220957853 \h </w:instrText>
            </w:r>
            <w:r w:rsidRPr="00406EDB">
              <w:rPr>
                <w:rFonts w:ascii="Calibri" w:hAnsi="Calibri" w:cs="Calibri"/>
                <w:noProof/>
                <w:webHidden/>
              </w:rPr>
            </w:r>
            <w:r w:rsidRPr="00406EDB">
              <w:rPr>
                <w:rFonts w:ascii="Calibri" w:hAnsi="Calibri" w:cs="Calibri"/>
                <w:noProof/>
                <w:webHidden/>
              </w:rPr>
              <w:fldChar w:fldCharType="separate"/>
            </w:r>
            <w:r w:rsidRPr="00406EDB">
              <w:rPr>
                <w:rFonts w:ascii="Calibri" w:hAnsi="Calibri" w:cs="Calibri"/>
                <w:noProof/>
                <w:webHidden/>
              </w:rPr>
              <w:t>9</w:t>
            </w:r>
            <w:r w:rsidRPr="00406EDB">
              <w:rPr>
                <w:rFonts w:ascii="Calibri" w:hAnsi="Calibri" w:cs="Calibri"/>
                <w:noProof/>
                <w:webHidden/>
              </w:rPr>
              <w:fldChar w:fldCharType="end"/>
            </w:r>
          </w:hyperlink>
        </w:p>
        <w:p w14:paraId="3B9B34CA" w14:textId="77777777" w:rsidR="005F18BA" w:rsidRPr="00406EDB" w:rsidRDefault="005F18BA" w:rsidP="00B03725">
          <w:pPr>
            <w:pStyle w:val="TOC1"/>
            <w:tabs>
              <w:tab w:val="right" w:leader="dot" w:pos="9350"/>
            </w:tabs>
            <w:spacing w:line="480" w:lineRule="auto"/>
            <w:rPr>
              <w:rFonts w:ascii="Calibri" w:hAnsi="Calibri" w:cs="Calibri"/>
              <w:noProof/>
            </w:rPr>
          </w:pPr>
          <w:hyperlink w:anchor="_Toc220957854" w:history="1">
            <w:r w:rsidRPr="00406EDB">
              <w:rPr>
                <w:rStyle w:val="Hyperlink"/>
                <w:rFonts w:ascii="Calibri" w:hAnsi="Calibri" w:cs="Calibri"/>
                <w:b/>
                <w:bCs/>
                <w:noProof/>
                <w:color w:val="auto"/>
              </w:rPr>
              <w:t>Findings</w:t>
            </w:r>
            <w:r w:rsidRPr="00406EDB">
              <w:rPr>
                <w:rFonts w:ascii="Calibri" w:hAnsi="Calibri" w:cs="Calibri"/>
                <w:noProof/>
                <w:webHidden/>
              </w:rPr>
              <w:tab/>
            </w:r>
            <w:r w:rsidRPr="00406EDB">
              <w:rPr>
                <w:rFonts w:ascii="Calibri" w:hAnsi="Calibri" w:cs="Calibri"/>
                <w:noProof/>
                <w:webHidden/>
              </w:rPr>
              <w:fldChar w:fldCharType="begin"/>
            </w:r>
            <w:r w:rsidRPr="00406EDB">
              <w:rPr>
                <w:rFonts w:ascii="Calibri" w:hAnsi="Calibri" w:cs="Calibri"/>
                <w:noProof/>
                <w:webHidden/>
              </w:rPr>
              <w:instrText xml:space="preserve"> PAGEREF _Toc220957854 \h </w:instrText>
            </w:r>
            <w:r w:rsidRPr="00406EDB">
              <w:rPr>
                <w:rFonts w:ascii="Calibri" w:hAnsi="Calibri" w:cs="Calibri"/>
                <w:noProof/>
                <w:webHidden/>
              </w:rPr>
            </w:r>
            <w:r w:rsidRPr="00406EDB">
              <w:rPr>
                <w:rFonts w:ascii="Calibri" w:hAnsi="Calibri" w:cs="Calibri"/>
                <w:noProof/>
                <w:webHidden/>
              </w:rPr>
              <w:fldChar w:fldCharType="separate"/>
            </w:r>
            <w:r w:rsidRPr="00406EDB">
              <w:rPr>
                <w:rFonts w:ascii="Calibri" w:hAnsi="Calibri" w:cs="Calibri"/>
                <w:noProof/>
                <w:webHidden/>
              </w:rPr>
              <w:t>10</w:t>
            </w:r>
            <w:r w:rsidRPr="00406EDB">
              <w:rPr>
                <w:rFonts w:ascii="Calibri" w:hAnsi="Calibri" w:cs="Calibri"/>
                <w:noProof/>
                <w:webHidden/>
              </w:rPr>
              <w:fldChar w:fldCharType="end"/>
            </w:r>
          </w:hyperlink>
        </w:p>
        <w:p w14:paraId="4C44F43C" w14:textId="77777777" w:rsidR="005F18BA" w:rsidRPr="00406EDB" w:rsidRDefault="005F18BA" w:rsidP="00B03725">
          <w:pPr>
            <w:pStyle w:val="TOC1"/>
            <w:tabs>
              <w:tab w:val="right" w:leader="dot" w:pos="9350"/>
            </w:tabs>
            <w:spacing w:line="480" w:lineRule="auto"/>
            <w:rPr>
              <w:rFonts w:ascii="Calibri" w:hAnsi="Calibri" w:cs="Calibri"/>
              <w:noProof/>
            </w:rPr>
          </w:pPr>
          <w:hyperlink w:anchor="_Toc220957855" w:history="1">
            <w:r w:rsidRPr="00406EDB">
              <w:rPr>
                <w:rStyle w:val="Hyperlink"/>
                <w:rFonts w:ascii="Calibri" w:hAnsi="Calibri" w:cs="Calibri"/>
                <w:noProof/>
                <w:color w:val="auto"/>
              </w:rPr>
              <w:t>Discussion</w:t>
            </w:r>
            <w:r w:rsidRPr="00406EDB">
              <w:rPr>
                <w:rFonts w:ascii="Calibri" w:hAnsi="Calibri" w:cs="Calibri"/>
                <w:noProof/>
                <w:webHidden/>
              </w:rPr>
              <w:tab/>
            </w:r>
            <w:r w:rsidRPr="00406EDB">
              <w:rPr>
                <w:rFonts w:ascii="Calibri" w:hAnsi="Calibri" w:cs="Calibri"/>
                <w:noProof/>
                <w:webHidden/>
              </w:rPr>
              <w:fldChar w:fldCharType="begin"/>
            </w:r>
            <w:r w:rsidRPr="00406EDB">
              <w:rPr>
                <w:rFonts w:ascii="Calibri" w:hAnsi="Calibri" w:cs="Calibri"/>
                <w:noProof/>
                <w:webHidden/>
              </w:rPr>
              <w:instrText xml:space="preserve"> PAGEREF _Toc220957855 \h </w:instrText>
            </w:r>
            <w:r w:rsidRPr="00406EDB">
              <w:rPr>
                <w:rFonts w:ascii="Calibri" w:hAnsi="Calibri" w:cs="Calibri"/>
                <w:noProof/>
                <w:webHidden/>
              </w:rPr>
            </w:r>
            <w:r w:rsidRPr="00406EDB">
              <w:rPr>
                <w:rFonts w:ascii="Calibri" w:hAnsi="Calibri" w:cs="Calibri"/>
                <w:noProof/>
                <w:webHidden/>
              </w:rPr>
              <w:fldChar w:fldCharType="separate"/>
            </w:r>
            <w:r w:rsidRPr="00406EDB">
              <w:rPr>
                <w:rFonts w:ascii="Calibri" w:hAnsi="Calibri" w:cs="Calibri"/>
                <w:noProof/>
                <w:webHidden/>
              </w:rPr>
              <w:t>12</w:t>
            </w:r>
            <w:r w:rsidRPr="00406EDB">
              <w:rPr>
                <w:rFonts w:ascii="Calibri" w:hAnsi="Calibri" w:cs="Calibri"/>
                <w:noProof/>
                <w:webHidden/>
              </w:rPr>
              <w:fldChar w:fldCharType="end"/>
            </w:r>
          </w:hyperlink>
        </w:p>
        <w:p w14:paraId="0C5A8D3F" w14:textId="77777777" w:rsidR="005F18BA" w:rsidRPr="00406EDB" w:rsidRDefault="005F18BA" w:rsidP="00B03725">
          <w:pPr>
            <w:pStyle w:val="TOC1"/>
            <w:tabs>
              <w:tab w:val="right" w:leader="dot" w:pos="9350"/>
            </w:tabs>
            <w:spacing w:line="480" w:lineRule="auto"/>
            <w:rPr>
              <w:rFonts w:ascii="Calibri" w:hAnsi="Calibri" w:cs="Calibri"/>
              <w:noProof/>
            </w:rPr>
          </w:pPr>
          <w:hyperlink w:anchor="_Toc220957856" w:history="1">
            <w:r w:rsidRPr="00406EDB">
              <w:rPr>
                <w:rStyle w:val="Hyperlink"/>
                <w:rFonts w:ascii="Calibri" w:hAnsi="Calibri" w:cs="Calibri"/>
                <w:noProof/>
                <w:color w:val="auto"/>
              </w:rPr>
              <w:t>Conclusion</w:t>
            </w:r>
            <w:r w:rsidRPr="00406EDB">
              <w:rPr>
                <w:rFonts w:ascii="Calibri" w:hAnsi="Calibri" w:cs="Calibri"/>
                <w:noProof/>
                <w:webHidden/>
              </w:rPr>
              <w:tab/>
            </w:r>
            <w:r w:rsidRPr="00406EDB">
              <w:rPr>
                <w:rFonts w:ascii="Calibri" w:hAnsi="Calibri" w:cs="Calibri"/>
                <w:noProof/>
                <w:webHidden/>
              </w:rPr>
              <w:fldChar w:fldCharType="begin"/>
            </w:r>
            <w:r w:rsidRPr="00406EDB">
              <w:rPr>
                <w:rFonts w:ascii="Calibri" w:hAnsi="Calibri" w:cs="Calibri"/>
                <w:noProof/>
                <w:webHidden/>
              </w:rPr>
              <w:instrText xml:space="preserve"> PAGEREF _Toc220957856 \h </w:instrText>
            </w:r>
            <w:r w:rsidRPr="00406EDB">
              <w:rPr>
                <w:rFonts w:ascii="Calibri" w:hAnsi="Calibri" w:cs="Calibri"/>
                <w:noProof/>
                <w:webHidden/>
              </w:rPr>
            </w:r>
            <w:r w:rsidRPr="00406EDB">
              <w:rPr>
                <w:rFonts w:ascii="Calibri" w:hAnsi="Calibri" w:cs="Calibri"/>
                <w:noProof/>
                <w:webHidden/>
              </w:rPr>
              <w:fldChar w:fldCharType="separate"/>
            </w:r>
            <w:r w:rsidRPr="00406EDB">
              <w:rPr>
                <w:rFonts w:ascii="Calibri" w:hAnsi="Calibri" w:cs="Calibri"/>
                <w:noProof/>
                <w:webHidden/>
              </w:rPr>
              <w:t>15</w:t>
            </w:r>
            <w:r w:rsidRPr="00406EDB">
              <w:rPr>
                <w:rFonts w:ascii="Calibri" w:hAnsi="Calibri" w:cs="Calibri"/>
                <w:noProof/>
                <w:webHidden/>
              </w:rPr>
              <w:fldChar w:fldCharType="end"/>
            </w:r>
          </w:hyperlink>
        </w:p>
        <w:p w14:paraId="08E96F80" w14:textId="77777777" w:rsidR="005F18BA" w:rsidRPr="00406EDB" w:rsidRDefault="005F18BA" w:rsidP="00B03725">
          <w:pPr>
            <w:pStyle w:val="TOC1"/>
            <w:tabs>
              <w:tab w:val="right" w:leader="dot" w:pos="9350"/>
            </w:tabs>
            <w:spacing w:line="480" w:lineRule="auto"/>
            <w:rPr>
              <w:rFonts w:ascii="Calibri" w:hAnsi="Calibri" w:cs="Calibri"/>
              <w:noProof/>
            </w:rPr>
          </w:pPr>
          <w:hyperlink w:anchor="_Toc220957857" w:history="1">
            <w:r w:rsidRPr="00406EDB">
              <w:rPr>
                <w:rStyle w:val="Hyperlink"/>
                <w:rFonts w:ascii="Calibri" w:hAnsi="Calibri" w:cs="Calibri"/>
                <w:noProof/>
                <w:color w:val="auto"/>
              </w:rPr>
              <w:t>References</w:t>
            </w:r>
            <w:r w:rsidRPr="00406EDB">
              <w:rPr>
                <w:rFonts w:ascii="Calibri" w:hAnsi="Calibri" w:cs="Calibri"/>
                <w:noProof/>
                <w:webHidden/>
              </w:rPr>
              <w:tab/>
            </w:r>
            <w:r w:rsidRPr="00406EDB">
              <w:rPr>
                <w:rFonts w:ascii="Calibri" w:hAnsi="Calibri" w:cs="Calibri"/>
                <w:noProof/>
                <w:webHidden/>
              </w:rPr>
              <w:fldChar w:fldCharType="begin"/>
            </w:r>
            <w:r w:rsidRPr="00406EDB">
              <w:rPr>
                <w:rFonts w:ascii="Calibri" w:hAnsi="Calibri" w:cs="Calibri"/>
                <w:noProof/>
                <w:webHidden/>
              </w:rPr>
              <w:instrText xml:space="preserve"> PAGEREF _Toc220957857 \h </w:instrText>
            </w:r>
            <w:r w:rsidRPr="00406EDB">
              <w:rPr>
                <w:rFonts w:ascii="Calibri" w:hAnsi="Calibri" w:cs="Calibri"/>
                <w:noProof/>
                <w:webHidden/>
              </w:rPr>
            </w:r>
            <w:r w:rsidRPr="00406EDB">
              <w:rPr>
                <w:rFonts w:ascii="Calibri" w:hAnsi="Calibri" w:cs="Calibri"/>
                <w:noProof/>
                <w:webHidden/>
              </w:rPr>
              <w:fldChar w:fldCharType="separate"/>
            </w:r>
            <w:r w:rsidRPr="00406EDB">
              <w:rPr>
                <w:rFonts w:ascii="Calibri" w:hAnsi="Calibri" w:cs="Calibri"/>
                <w:noProof/>
                <w:webHidden/>
              </w:rPr>
              <w:t>16</w:t>
            </w:r>
            <w:r w:rsidRPr="00406EDB">
              <w:rPr>
                <w:rFonts w:ascii="Calibri" w:hAnsi="Calibri" w:cs="Calibri"/>
                <w:noProof/>
                <w:webHidden/>
              </w:rPr>
              <w:fldChar w:fldCharType="end"/>
            </w:r>
          </w:hyperlink>
        </w:p>
        <w:p w14:paraId="7E672B28" w14:textId="77777777" w:rsidR="005F18BA" w:rsidRPr="00406EDB" w:rsidRDefault="005F18BA" w:rsidP="00B03725">
          <w:pPr>
            <w:spacing w:line="480" w:lineRule="auto"/>
            <w:rPr>
              <w:rFonts w:ascii="Calibri" w:hAnsi="Calibri" w:cs="Calibri"/>
            </w:rPr>
          </w:pPr>
          <w:r w:rsidRPr="00406EDB">
            <w:rPr>
              <w:rFonts w:ascii="Calibri" w:hAnsi="Calibri" w:cs="Calibri"/>
              <w:b/>
              <w:bCs/>
              <w:noProof/>
            </w:rPr>
            <w:fldChar w:fldCharType="end"/>
          </w:r>
        </w:p>
      </w:sdtContent>
    </w:sdt>
    <w:p w14:paraId="56EF9D6F" w14:textId="77777777" w:rsidR="005F18BA" w:rsidRPr="00406EDB" w:rsidRDefault="005F18BA" w:rsidP="00B03725">
      <w:pPr>
        <w:spacing w:line="480" w:lineRule="auto"/>
        <w:rPr>
          <w:rFonts w:ascii="Calibri" w:hAnsi="Calibri" w:cs="Calibri"/>
          <w:b/>
          <w:bCs/>
          <w:szCs w:val="24"/>
        </w:rPr>
      </w:pPr>
    </w:p>
    <w:p w14:paraId="51B35D11" w14:textId="77777777" w:rsidR="005F18BA" w:rsidRPr="00406EDB" w:rsidRDefault="005F18BA" w:rsidP="00B03725">
      <w:pPr>
        <w:spacing w:line="480" w:lineRule="auto"/>
        <w:rPr>
          <w:rFonts w:ascii="Calibri" w:hAnsi="Calibri" w:cs="Calibri"/>
          <w:b/>
          <w:bCs/>
          <w:szCs w:val="24"/>
        </w:rPr>
      </w:pPr>
    </w:p>
    <w:p w14:paraId="2D51FD9C" w14:textId="77777777" w:rsidR="005F18BA" w:rsidRPr="00406EDB" w:rsidRDefault="005F18BA" w:rsidP="00B03725">
      <w:pPr>
        <w:spacing w:line="480" w:lineRule="auto"/>
        <w:rPr>
          <w:rFonts w:ascii="Calibri" w:hAnsi="Calibri" w:cs="Calibri"/>
          <w:b/>
          <w:bCs/>
          <w:szCs w:val="24"/>
        </w:rPr>
      </w:pPr>
    </w:p>
    <w:p w14:paraId="716F7EFF" w14:textId="77777777" w:rsidR="00047BCE" w:rsidRPr="00406EDB" w:rsidRDefault="00047BCE" w:rsidP="00B03725">
      <w:pPr>
        <w:spacing w:line="480" w:lineRule="auto"/>
        <w:rPr>
          <w:rFonts w:ascii="Calibri" w:hAnsi="Calibri" w:cs="Calibri"/>
          <w:b/>
          <w:bCs/>
          <w:szCs w:val="24"/>
        </w:rPr>
      </w:pPr>
    </w:p>
    <w:p w14:paraId="7761AC9C" w14:textId="77777777" w:rsidR="00047BCE" w:rsidRPr="00406EDB" w:rsidRDefault="00047BCE" w:rsidP="00B03725">
      <w:pPr>
        <w:spacing w:line="480" w:lineRule="auto"/>
        <w:rPr>
          <w:rFonts w:ascii="Calibri" w:hAnsi="Calibri" w:cs="Calibri"/>
          <w:b/>
          <w:bCs/>
          <w:szCs w:val="24"/>
        </w:rPr>
      </w:pPr>
    </w:p>
    <w:p w14:paraId="15518700" w14:textId="77777777" w:rsidR="00047BCE" w:rsidRPr="00406EDB" w:rsidRDefault="00047BCE" w:rsidP="00B03725">
      <w:pPr>
        <w:spacing w:line="480" w:lineRule="auto"/>
        <w:rPr>
          <w:rFonts w:ascii="Calibri" w:hAnsi="Calibri" w:cs="Calibri"/>
          <w:b/>
          <w:bCs/>
          <w:szCs w:val="24"/>
        </w:rPr>
      </w:pPr>
    </w:p>
    <w:p w14:paraId="3D7B1294" w14:textId="77777777" w:rsidR="005F18BA" w:rsidRPr="00406EDB" w:rsidRDefault="005F18BA" w:rsidP="00B03725">
      <w:pPr>
        <w:pStyle w:val="Heading1"/>
        <w:spacing w:line="480" w:lineRule="auto"/>
        <w:rPr>
          <w:rFonts w:ascii="Calibri" w:hAnsi="Calibri" w:cs="Calibri"/>
          <w:b/>
          <w:bCs/>
          <w:color w:val="auto"/>
          <w:sz w:val="24"/>
          <w:szCs w:val="24"/>
        </w:rPr>
      </w:pPr>
      <w:bookmarkStart w:id="0" w:name="_Toc220957850"/>
      <w:r w:rsidRPr="00406EDB">
        <w:rPr>
          <w:rFonts w:ascii="Calibri" w:hAnsi="Calibri" w:cs="Calibri"/>
          <w:b/>
          <w:bCs/>
          <w:color w:val="auto"/>
          <w:sz w:val="24"/>
          <w:szCs w:val="24"/>
        </w:rPr>
        <w:lastRenderedPageBreak/>
        <w:t>Abstract</w:t>
      </w:r>
      <w:bookmarkEnd w:id="0"/>
      <w:r w:rsidRPr="00406EDB">
        <w:rPr>
          <w:rFonts w:ascii="Calibri" w:hAnsi="Calibri" w:cs="Calibri"/>
          <w:b/>
          <w:bCs/>
          <w:color w:val="auto"/>
          <w:sz w:val="24"/>
          <w:szCs w:val="24"/>
        </w:rPr>
        <w:t xml:space="preserve"> </w:t>
      </w:r>
    </w:p>
    <w:p w14:paraId="384EAA71" w14:textId="79C0F487" w:rsidR="005F18BA" w:rsidRPr="00406EDB" w:rsidRDefault="0070535D" w:rsidP="00B03725">
      <w:pPr>
        <w:spacing w:line="480" w:lineRule="auto"/>
        <w:rPr>
          <w:rFonts w:ascii="Calibri" w:hAnsi="Calibri" w:cs="Calibri"/>
          <w:szCs w:val="24"/>
        </w:rPr>
      </w:pPr>
      <w:r w:rsidRPr="00406EDB">
        <w:rPr>
          <w:rFonts w:ascii="Calibri" w:hAnsi="Calibri" w:cs="Calibri"/>
          <w:szCs w:val="24"/>
        </w:rPr>
        <w:t xml:space="preserve">Employee engagement has become a key factor that define organizational performance within the hospitality sector since service quality, customer satisfaction, and brand reputation rely directly on employee attitudes and </w:t>
      </w:r>
      <w:proofErr w:type="spellStart"/>
      <w:r w:rsidRPr="00406EDB">
        <w:rPr>
          <w:rFonts w:ascii="Calibri" w:hAnsi="Calibri" w:cs="Calibri"/>
          <w:szCs w:val="24"/>
        </w:rPr>
        <w:t>behaviors</w:t>
      </w:r>
      <w:proofErr w:type="spellEnd"/>
      <w:r w:rsidRPr="00406EDB">
        <w:rPr>
          <w:rFonts w:ascii="Calibri" w:hAnsi="Calibri" w:cs="Calibri"/>
          <w:szCs w:val="24"/>
        </w:rPr>
        <w:t xml:space="preserve">. Labor intensity, emotional </w:t>
      </w:r>
      <w:proofErr w:type="spellStart"/>
      <w:r w:rsidRPr="00406EDB">
        <w:rPr>
          <w:rFonts w:ascii="Calibri" w:hAnsi="Calibri" w:cs="Calibri"/>
          <w:szCs w:val="24"/>
        </w:rPr>
        <w:t>labor</w:t>
      </w:r>
      <w:proofErr w:type="spellEnd"/>
      <w:r w:rsidRPr="00406EDB">
        <w:rPr>
          <w:rFonts w:ascii="Calibri" w:hAnsi="Calibri" w:cs="Calibri"/>
          <w:szCs w:val="24"/>
        </w:rPr>
        <w:t xml:space="preserve">, employee turnover, and intermittent demand levels necessitate the use of effective Human Resource Management (HRM) practices to maintain workforce motivation and engagement. This assignment reviews the strategic position of HRM in improving employee engagement in hospitality organisations, especially in relation to hotels, resorts, and international hospitality chains. It examines the effects of HRM practices like training and development, performance management, career planning, and employee well-being initiatives on employee satisfaction, retention, and service delivery outcomes. Moreover, the research critically analyses how leadership styles and </w:t>
      </w:r>
      <w:proofErr w:type="spellStart"/>
      <w:r w:rsidRPr="00406EDB">
        <w:rPr>
          <w:rFonts w:ascii="Calibri" w:hAnsi="Calibri" w:cs="Calibri"/>
          <w:szCs w:val="24"/>
        </w:rPr>
        <w:t>favorable</w:t>
      </w:r>
      <w:proofErr w:type="spellEnd"/>
      <w:r w:rsidRPr="00406EDB">
        <w:rPr>
          <w:rFonts w:ascii="Calibri" w:hAnsi="Calibri" w:cs="Calibri"/>
          <w:szCs w:val="24"/>
        </w:rPr>
        <w:t xml:space="preserve"> working environments influence employee engagement and commitment to the organization. The consistency of HRM strategies with the operational objectives of the hospitality industry, including service excellence, guest satisfaction, and operational efficiency, is also evaluated. The assignment uses empirical research and case studies of top hospitality organizations to identify best practices that have been effective in increasing employee engagement and organizational performance. This paper will prove that employee engagement is not only a product of HR but a strategic asset that, in a highly competitive global market, allows hospitality organizations to gain competitive advantage, service consistency, and long-term sustainability through the synthesis of theoretical views and practical evidence (Albrecht et al., 2015; Karatepe, 2013).</w:t>
      </w:r>
    </w:p>
    <w:p w14:paraId="7D4948BC" w14:textId="77777777" w:rsidR="0070535D" w:rsidRPr="00406EDB" w:rsidRDefault="0070535D" w:rsidP="00B03725">
      <w:pPr>
        <w:spacing w:line="480" w:lineRule="auto"/>
        <w:rPr>
          <w:rFonts w:ascii="Calibri" w:hAnsi="Calibri" w:cs="Calibri"/>
          <w:b/>
          <w:bCs/>
          <w:szCs w:val="24"/>
        </w:rPr>
      </w:pPr>
    </w:p>
    <w:p w14:paraId="3CED7756" w14:textId="77777777" w:rsidR="005F18BA" w:rsidRPr="00406EDB" w:rsidRDefault="005F18BA" w:rsidP="00B03725">
      <w:pPr>
        <w:pStyle w:val="Heading1"/>
        <w:spacing w:line="480" w:lineRule="auto"/>
        <w:rPr>
          <w:rFonts w:ascii="Calibri" w:hAnsi="Calibri" w:cs="Calibri"/>
          <w:b/>
          <w:bCs/>
          <w:color w:val="auto"/>
          <w:sz w:val="24"/>
          <w:szCs w:val="24"/>
        </w:rPr>
      </w:pPr>
      <w:bookmarkStart w:id="1" w:name="_Toc220957851"/>
      <w:r w:rsidRPr="00406EDB">
        <w:rPr>
          <w:rFonts w:ascii="Calibri" w:hAnsi="Calibri" w:cs="Calibri"/>
          <w:b/>
          <w:bCs/>
          <w:color w:val="auto"/>
          <w:sz w:val="24"/>
          <w:szCs w:val="24"/>
        </w:rPr>
        <w:lastRenderedPageBreak/>
        <w:t>Introduction</w:t>
      </w:r>
      <w:bookmarkEnd w:id="1"/>
      <w:r w:rsidRPr="00406EDB">
        <w:rPr>
          <w:rFonts w:ascii="Calibri" w:hAnsi="Calibri" w:cs="Calibri"/>
          <w:b/>
          <w:bCs/>
          <w:color w:val="auto"/>
          <w:sz w:val="24"/>
          <w:szCs w:val="24"/>
        </w:rPr>
        <w:t xml:space="preserve"> </w:t>
      </w:r>
    </w:p>
    <w:p w14:paraId="706FB88E" w14:textId="77777777" w:rsidR="00DF11BD" w:rsidRPr="00406EDB" w:rsidRDefault="00DF11BD" w:rsidP="00DF11BD">
      <w:pPr>
        <w:spacing w:line="480" w:lineRule="auto"/>
        <w:rPr>
          <w:rFonts w:ascii="Calibri" w:hAnsi="Calibri" w:cs="Calibri"/>
          <w:szCs w:val="24"/>
        </w:rPr>
      </w:pPr>
      <w:r w:rsidRPr="00406EDB">
        <w:rPr>
          <w:rFonts w:ascii="Calibri" w:hAnsi="Calibri" w:cs="Calibri"/>
          <w:szCs w:val="24"/>
        </w:rPr>
        <w:t xml:space="preserve">The hospitality sector is inherently service based, and it depends on human experience </w:t>
      </w:r>
      <w:proofErr w:type="gramStart"/>
      <w:r w:rsidRPr="00406EDB">
        <w:rPr>
          <w:rFonts w:ascii="Calibri" w:hAnsi="Calibri" w:cs="Calibri"/>
          <w:szCs w:val="24"/>
        </w:rPr>
        <w:t>in order to</w:t>
      </w:r>
      <w:proofErr w:type="gramEnd"/>
      <w:r w:rsidRPr="00406EDB">
        <w:rPr>
          <w:rFonts w:ascii="Calibri" w:hAnsi="Calibri" w:cs="Calibri"/>
          <w:szCs w:val="24"/>
        </w:rPr>
        <w:t xml:space="preserve"> build memorable guest experiences and maintain competitive advantage. Hospitality organizations rely on employee attitudes, emotional intelligence, and service </w:t>
      </w:r>
      <w:proofErr w:type="spellStart"/>
      <w:r w:rsidRPr="00406EDB">
        <w:rPr>
          <w:rFonts w:ascii="Calibri" w:hAnsi="Calibri" w:cs="Calibri"/>
          <w:szCs w:val="24"/>
        </w:rPr>
        <w:t>behaviors</w:t>
      </w:r>
      <w:proofErr w:type="spellEnd"/>
      <w:r w:rsidRPr="00406EDB">
        <w:rPr>
          <w:rFonts w:ascii="Calibri" w:hAnsi="Calibri" w:cs="Calibri"/>
          <w:szCs w:val="24"/>
        </w:rPr>
        <w:t xml:space="preserve"> to provide uniformity in service quality as opposed to capital-intensive industries. Therefore, Human Resource Management (HRM) is central to the development of employee engagement, motivation, and performance. Employee engagement, most often described as a </w:t>
      </w:r>
      <w:proofErr w:type="spellStart"/>
      <w:r w:rsidRPr="00406EDB">
        <w:rPr>
          <w:rFonts w:ascii="Calibri" w:hAnsi="Calibri" w:cs="Calibri"/>
          <w:szCs w:val="24"/>
        </w:rPr>
        <w:t>favorable</w:t>
      </w:r>
      <w:proofErr w:type="spellEnd"/>
      <w:r w:rsidRPr="00406EDB">
        <w:rPr>
          <w:rFonts w:ascii="Calibri" w:hAnsi="Calibri" w:cs="Calibri"/>
          <w:szCs w:val="24"/>
        </w:rPr>
        <w:t>, satisfying, job-related condition of vitality, commitment, and engagement, has been identified by many as a major cause of organizational success in service sectors (Schaufeli et al., 2002). When applied to hospitality, engaged employees will be more inclined to provide better service, demonstrate discretionary effort, and lead to increased guest satisfaction and loyalty.</w:t>
      </w:r>
    </w:p>
    <w:p w14:paraId="09080305" w14:textId="77777777" w:rsidR="00DF11BD" w:rsidRPr="00406EDB" w:rsidRDefault="00DF11BD" w:rsidP="00DF11BD">
      <w:pPr>
        <w:spacing w:line="480" w:lineRule="auto"/>
        <w:rPr>
          <w:rFonts w:ascii="Calibri" w:hAnsi="Calibri" w:cs="Calibri"/>
          <w:szCs w:val="24"/>
        </w:rPr>
      </w:pPr>
    </w:p>
    <w:p w14:paraId="13688BCB" w14:textId="77777777" w:rsidR="00DF11BD" w:rsidRPr="00406EDB" w:rsidRDefault="00DF11BD" w:rsidP="00DF11BD">
      <w:pPr>
        <w:spacing w:line="480" w:lineRule="auto"/>
        <w:rPr>
          <w:rFonts w:ascii="Calibri" w:hAnsi="Calibri" w:cs="Calibri"/>
          <w:szCs w:val="24"/>
        </w:rPr>
      </w:pPr>
      <w:r w:rsidRPr="00406EDB">
        <w:rPr>
          <w:rFonts w:ascii="Calibri" w:hAnsi="Calibri" w:cs="Calibri"/>
          <w:szCs w:val="24"/>
        </w:rPr>
        <w:t xml:space="preserve">Nevertheless, the hospitality industry still struggles with ongoing HR issues such as high turnover rates, job insecurity, extended hours, emotional work, and insufficient career advancement opportunities. These obstacles tend to frustrate staff morale and organizational dedication, disengagement and diminished service quality. Studies show that disengaged hospitality employees are more likely to burn out, abscond, and turn over, thereby costing more on recruitment and service delivery (Karatepe &amp; </w:t>
      </w:r>
      <w:proofErr w:type="spellStart"/>
      <w:r w:rsidRPr="00406EDB">
        <w:rPr>
          <w:rFonts w:ascii="Calibri" w:hAnsi="Calibri" w:cs="Calibri"/>
          <w:szCs w:val="24"/>
        </w:rPr>
        <w:t>Uludag</w:t>
      </w:r>
      <w:proofErr w:type="spellEnd"/>
      <w:r w:rsidRPr="00406EDB">
        <w:rPr>
          <w:rFonts w:ascii="Calibri" w:hAnsi="Calibri" w:cs="Calibri"/>
          <w:szCs w:val="24"/>
        </w:rPr>
        <w:t>, 2007). Consequently, hospitality organizations need to implement strategic HRM practices that focus on employee engagement and welfare in addition to operational effectiveness.</w:t>
      </w:r>
    </w:p>
    <w:p w14:paraId="2CC7AE55" w14:textId="77777777" w:rsidR="00DF11BD" w:rsidRPr="00406EDB" w:rsidRDefault="00DF11BD" w:rsidP="00DF11BD">
      <w:pPr>
        <w:spacing w:line="480" w:lineRule="auto"/>
        <w:rPr>
          <w:rFonts w:ascii="Calibri" w:hAnsi="Calibri" w:cs="Calibri"/>
          <w:szCs w:val="24"/>
        </w:rPr>
      </w:pPr>
    </w:p>
    <w:p w14:paraId="0377C694" w14:textId="77777777" w:rsidR="00DF11BD" w:rsidRPr="00406EDB" w:rsidRDefault="00DF11BD" w:rsidP="00DF11BD">
      <w:pPr>
        <w:spacing w:line="480" w:lineRule="auto"/>
        <w:rPr>
          <w:rFonts w:ascii="Calibri" w:hAnsi="Calibri" w:cs="Calibri"/>
          <w:szCs w:val="24"/>
        </w:rPr>
      </w:pPr>
      <w:r w:rsidRPr="00406EDB">
        <w:rPr>
          <w:rFonts w:ascii="Calibri" w:hAnsi="Calibri" w:cs="Calibri"/>
          <w:szCs w:val="24"/>
        </w:rPr>
        <w:lastRenderedPageBreak/>
        <w:t>HRM practices, including training and development, performance appraisal, rewards and recognition, and career development play central roles in improving employee engagement in organizations. Ongoing training provides employees with the abilities and confidence to do the job well, and with transparent performance management systems they have a sense of fairness and motivation (</w:t>
      </w:r>
      <w:proofErr w:type="spellStart"/>
      <w:r w:rsidRPr="00406EDB">
        <w:rPr>
          <w:rFonts w:ascii="Calibri" w:hAnsi="Calibri" w:cs="Calibri"/>
          <w:szCs w:val="24"/>
        </w:rPr>
        <w:t>Boselie</w:t>
      </w:r>
      <w:proofErr w:type="spellEnd"/>
      <w:r w:rsidRPr="00406EDB">
        <w:rPr>
          <w:rFonts w:ascii="Calibri" w:hAnsi="Calibri" w:cs="Calibri"/>
          <w:szCs w:val="24"/>
        </w:rPr>
        <w:t xml:space="preserve"> et al., 2005). Opportunities in career development also improve employee commitment by indicating long-term investment in employee professional development. Such HR practices are directly related to the quality of service and customer satisfaction in hospitality environments, where frontline employees directly interact with guests and determine their perception.</w:t>
      </w:r>
    </w:p>
    <w:p w14:paraId="2509CB1F" w14:textId="77777777" w:rsidR="00DF11BD" w:rsidRPr="00406EDB" w:rsidRDefault="00DF11BD" w:rsidP="00DF11BD">
      <w:pPr>
        <w:spacing w:line="480" w:lineRule="auto"/>
        <w:rPr>
          <w:rFonts w:ascii="Calibri" w:hAnsi="Calibri" w:cs="Calibri"/>
          <w:szCs w:val="24"/>
        </w:rPr>
      </w:pPr>
    </w:p>
    <w:p w14:paraId="03C23650" w14:textId="77777777" w:rsidR="00DF11BD" w:rsidRPr="00406EDB" w:rsidRDefault="00DF11BD" w:rsidP="00DF11BD">
      <w:pPr>
        <w:spacing w:line="480" w:lineRule="auto"/>
        <w:rPr>
          <w:rFonts w:ascii="Calibri" w:hAnsi="Calibri" w:cs="Calibri"/>
          <w:szCs w:val="24"/>
        </w:rPr>
      </w:pPr>
      <w:r w:rsidRPr="00406EDB">
        <w:rPr>
          <w:rFonts w:ascii="Calibri" w:hAnsi="Calibri" w:cs="Calibri"/>
          <w:szCs w:val="24"/>
        </w:rPr>
        <w:t>The leadership style is another key factor in determining staff involvement in hospitality organizations. Transformational and supportive leadership styles have been demonstrated to build trust, psychological safety, and empowerment among employees, thus increasing the level of engagement (</w:t>
      </w:r>
      <w:proofErr w:type="spellStart"/>
      <w:r w:rsidRPr="00406EDB">
        <w:rPr>
          <w:rFonts w:ascii="Calibri" w:hAnsi="Calibri" w:cs="Calibri"/>
          <w:szCs w:val="24"/>
        </w:rPr>
        <w:t>Breevaart</w:t>
      </w:r>
      <w:proofErr w:type="spellEnd"/>
      <w:r w:rsidRPr="00406EDB">
        <w:rPr>
          <w:rFonts w:ascii="Calibri" w:hAnsi="Calibri" w:cs="Calibri"/>
          <w:szCs w:val="24"/>
        </w:rPr>
        <w:t xml:space="preserve"> et al., 2014). Authoritarian or transactional leadership style, on the other hand, can lead to increased tension and emotional burnout, especially within the stressful hospitality setting. Moreover, employee well-being programs, such as work-life balance policies, mental health support, and generally inclusive workplace practices, have become increasingly relevant in combating burnout and maintaining long-term engagement.</w:t>
      </w:r>
    </w:p>
    <w:p w14:paraId="4CAA4A91" w14:textId="77777777" w:rsidR="00DF11BD" w:rsidRPr="00406EDB" w:rsidRDefault="00DF11BD" w:rsidP="00DF11BD">
      <w:pPr>
        <w:spacing w:line="480" w:lineRule="auto"/>
        <w:rPr>
          <w:rFonts w:ascii="Calibri" w:hAnsi="Calibri" w:cs="Calibri"/>
          <w:szCs w:val="24"/>
        </w:rPr>
      </w:pPr>
    </w:p>
    <w:p w14:paraId="46A5CCC6" w14:textId="3BFB7CA9" w:rsidR="00B03725" w:rsidRPr="00406EDB" w:rsidRDefault="00DF11BD" w:rsidP="00DF11BD">
      <w:pPr>
        <w:spacing w:line="480" w:lineRule="auto"/>
        <w:rPr>
          <w:rFonts w:ascii="Calibri" w:hAnsi="Calibri" w:cs="Calibri"/>
          <w:szCs w:val="24"/>
        </w:rPr>
      </w:pPr>
      <w:r w:rsidRPr="00406EDB">
        <w:rPr>
          <w:rFonts w:ascii="Calibri" w:hAnsi="Calibri" w:cs="Calibri"/>
          <w:szCs w:val="24"/>
        </w:rPr>
        <w:t xml:space="preserve">It is important to align HRM strategies with strategic goals of hospitality organizations to ensure operational efficiency and sustainable performance. Engaged employees also help in reducing </w:t>
      </w:r>
      <w:r w:rsidRPr="00406EDB">
        <w:rPr>
          <w:rFonts w:ascii="Calibri" w:hAnsi="Calibri" w:cs="Calibri"/>
          <w:szCs w:val="24"/>
        </w:rPr>
        <w:lastRenderedPageBreak/>
        <w:t xml:space="preserve">turnover rates, better service consistency, and better guest experiences, which form the core of the success of the hospitality industry. The most successful hospitality organizations have shown that investments in people-oriented HRM practices and yields are measurable in terms of employee and customer outcomes. Consequently, this assignment aims to critically </w:t>
      </w:r>
      <w:proofErr w:type="spellStart"/>
      <w:r w:rsidRPr="00406EDB">
        <w:rPr>
          <w:rFonts w:ascii="Calibri" w:hAnsi="Calibri" w:cs="Calibri"/>
          <w:szCs w:val="24"/>
        </w:rPr>
        <w:t>analyze</w:t>
      </w:r>
      <w:proofErr w:type="spellEnd"/>
      <w:r w:rsidRPr="00406EDB">
        <w:rPr>
          <w:rFonts w:ascii="Calibri" w:hAnsi="Calibri" w:cs="Calibri"/>
          <w:szCs w:val="24"/>
        </w:rPr>
        <w:t xml:space="preserve"> the role of HRM in promoting employee engagement in the hospitality industry, assess the effects of HR practices and leadership to employee outcomes, and explore practical case studies that demonstrate effective employee engagement practice.</w:t>
      </w:r>
    </w:p>
    <w:p w14:paraId="5AD96E9F" w14:textId="77777777" w:rsidR="00B03725" w:rsidRPr="00406EDB" w:rsidRDefault="00B03725" w:rsidP="00B03725">
      <w:pPr>
        <w:spacing w:line="480" w:lineRule="auto"/>
        <w:rPr>
          <w:rFonts w:ascii="Calibri" w:hAnsi="Calibri" w:cs="Calibri"/>
          <w:szCs w:val="24"/>
        </w:rPr>
      </w:pPr>
    </w:p>
    <w:p w14:paraId="55826315" w14:textId="77777777" w:rsidR="00B03725" w:rsidRPr="00406EDB" w:rsidRDefault="00B03725" w:rsidP="00B03725">
      <w:pPr>
        <w:spacing w:line="480" w:lineRule="auto"/>
        <w:rPr>
          <w:rFonts w:ascii="Calibri" w:hAnsi="Calibri" w:cs="Calibri"/>
          <w:szCs w:val="24"/>
        </w:rPr>
      </w:pPr>
    </w:p>
    <w:p w14:paraId="15501379" w14:textId="77777777" w:rsidR="00B03725" w:rsidRPr="00406EDB" w:rsidRDefault="00B03725" w:rsidP="00B03725">
      <w:pPr>
        <w:spacing w:line="480" w:lineRule="auto"/>
        <w:rPr>
          <w:rFonts w:ascii="Calibri" w:hAnsi="Calibri" w:cs="Calibri"/>
          <w:szCs w:val="24"/>
        </w:rPr>
      </w:pPr>
    </w:p>
    <w:p w14:paraId="111C7142" w14:textId="77777777" w:rsidR="00B03725" w:rsidRPr="00406EDB" w:rsidRDefault="00B03725" w:rsidP="00B03725">
      <w:pPr>
        <w:spacing w:line="480" w:lineRule="auto"/>
        <w:rPr>
          <w:rFonts w:ascii="Calibri" w:hAnsi="Calibri" w:cs="Calibri"/>
          <w:szCs w:val="24"/>
        </w:rPr>
      </w:pPr>
    </w:p>
    <w:p w14:paraId="090358E3" w14:textId="77777777" w:rsidR="00B03725" w:rsidRPr="00406EDB" w:rsidRDefault="00B03725" w:rsidP="00B03725">
      <w:pPr>
        <w:spacing w:line="480" w:lineRule="auto"/>
        <w:rPr>
          <w:rFonts w:ascii="Calibri" w:hAnsi="Calibri" w:cs="Calibri"/>
          <w:szCs w:val="24"/>
        </w:rPr>
      </w:pPr>
    </w:p>
    <w:p w14:paraId="1EE2B71A" w14:textId="77777777" w:rsidR="00B03725" w:rsidRPr="00406EDB" w:rsidRDefault="00B03725" w:rsidP="00B03725">
      <w:pPr>
        <w:spacing w:line="480" w:lineRule="auto"/>
        <w:rPr>
          <w:rFonts w:ascii="Calibri" w:hAnsi="Calibri" w:cs="Calibri"/>
          <w:b/>
          <w:bCs/>
          <w:szCs w:val="24"/>
        </w:rPr>
      </w:pPr>
    </w:p>
    <w:p w14:paraId="3B2D34A8" w14:textId="77777777" w:rsidR="005F18BA" w:rsidRPr="00406EDB" w:rsidRDefault="005F18BA" w:rsidP="00B03725">
      <w:pPr>
        <w:spacing w:line="480" w:lineRule="auto"/>
        <w:rPr>
          <w:rFonts w:ascii="Calibri" w:hAnsi="Calibri" w:cs="Calibri"/>
          <w:b/>
          <w:bCs/>
          <w:szCs w:val="24"/>
        </w:rPr>
      </w:pPr>
    </w:p>
    <w:p w14:paraId="5049EDCB" w14:textId="77777777" w:rsidR="005F18BA" w:rsidRPr="00406EDB" w:rsidRDefault="005F18BA" w:rsidP="00B03725">
      <w:pPr>
        <w:spacing w:line="480" w:lineRule="auto"/>
        <w:rPr>
          <w:rFonts w:ascii="Calibri" w:hAnsi="Calibri" w:cs="Calibri"/>
          <w:b/>
          <w:bCs/>
          <w:szCs w:val="24"/>
        </w:rPr>
      </w:pPr>
    </w:p>
    <w:p w14:paraId="3F3459A4" w14:textId="77777777" w:rsidR="005F18BA" w:rsidRPr="00406EDB" w:rsidRDefault="005F18BA" w:rsidP="00B03725">
      <w:pPr>
        <w:spacing w:line="480" w:lineRule="auto"/>
        <w:rPr>
          <w:rFonts w:ascii="Calibri" w:hAnsi="Calibri" w:cs="Calibri"/>
          <w:b/>
          <w:bCs/>
          <w:szCs w:val="24"/>
        </w:rPr>
      </w:pPr>
    </w:p>
    <w:p w14:paraId="565FBAB3" w14:textId="77777777" w:rsidR="005F18BA" w:rsidRPr="00406EDB" w:rsidRDefault="005F18BA" w:rsidP="00B03725">
      <w:pPr>
        <w:spacing w:line="480" w:lineRule="auto"/>
        <w:rPr>
          <w:rFonts w:ascii="Calibri" w:hAnsi="Calibri" w:cs="Calibri"/>
          <w:b/>
          <w:bCs/>
          <w:szCs w:val="24"/>
        </w:rPr>
      </w:pPr>
    </w:p>
    <w:p w14:paraId="446C5ACE" w14:textId="77777777" w:rsidR="005F18BA" w:rsidRPr="00406EDB" w:rsidRDefault="005F18BA" w:rsidP="00B03725">
      <w:pPr>
        <w:spacing w:line="480" w:lineRule="auto"/>
        <w:rPr>
          <w:rFonts w:ascii="Calibri" w:hAnsi="Calibri" w:cs="Calibri"/>
          <w:b/>
          <w:bCs/>
          <w:szCs w:val="24"/>
        </w:rPr>
      </w:pPr>
    </w:p>
    <w:p w14:paraId="0BE46E0D" w14:textId="77777777" w:rsidR="005F18BA" w:rsidRPr="00406EDB" w:rsidRDefault="005F18BA" w:rsidP="00B03725">
      <w:pPr>
        <w:pStyle w:val="Heading1"/>
        <w:spacing w:line="480" w:lineRule="auto"/>
        <w:rPr>
          <w:rFonts w:ascii="Calibri" w:hAnsi="Calibri" w:cs="Calibri"/>
          <w:b/>
          <w:bCs/>
          <w:color w:val="auto"/>
          <w:sz w:val="24"/>
          <w:szCs w:val="24"/>
        </w:rPr>
      </w:pPr>
      <w:bookmarkStart w:id="2" w:name="_Toc220957852"/>
      <w:r w:rsidRPr="00406EDB">
        <w:rPr>
          <w:rFonts w:ascii="Calibri" w:hAnsi="Calibri" w:cs="Calibri"/>
          <w:b/>
          <w:bCs/>
          <w:color w:val="auto"/>
          <w:sz w:val="24"/>
          <w:szCs w:val="24"/>
        </w:rPr>
        <w:lastRenderedPageBreak/>
        <w:t>Literature Review</w:t>
      </w:r>
      <w:bookmarkEnd w:id="2"/>
    </w:p>
    <w:p w14:paraId="2BE334C5" w14:textId="477FBB31" w:rsidR="002850D4" w:rsidRPr="00406EDB" w:rsidRDefault="002850D4" w:rsidP="002850D4">
      <w:pPr>
        <w:spacing w:line="480" w:lineRule="auto"/>
        <w:rPr>
          <w:rFonts w:ascii="Calibri" w:hAnsi="Calibri" w:cs="Calibri"/>
          <w:b/>
          <w:bCs/>
          <w:szCs w:val="24"/>
        </w:rPr>
      </w:pPr>
      <w:r w:rsidRPr="00406EDB">
        <w:rPr>
          <w:rFonts w:ascii="Calibri" w:hAnsi="Calibri" w:cs="Calibri"/>
          <w:b/>
          <w:bCs/>
          <w:szCs w:val="24"/>
        </w:rPr>
        <w:t>Employee Engagement in the Hospitality Industry.</w:t>
      </w:r>
    </w:p>
    <w:p w14:paraId="4220A16E" w14:textId="45D591CF" w:rsidR="002850D4" w:rsidRPr="00406EDB" w:rsidRDefault="002850D4" w:rsidP="002850D4">
      <w:pPr>
        <w:spacing w:line="480" w:lineRule="auto"/>
        <w:rPr>
          <w:rFonts w:ascii="Calibri" w:hAnsi="Calibri" w:cs="Calibri"/>
          <w:szCs w:val="24"/>
        </w:rPr>
      </w:pPr>
      <w:r w:rsidRPr="00406EDB">
        <w:rPr>
          <w:rFonts w:ascii="Calibri" w:hAnsi="Calibri" w:cs="Calibri"/>
          <w:szCs w:val="24"/>
        </w:rPr>
        <w:t xml:space="preserve">Employee engagement has emerged as a core construct in the literature on human resources and organizational </w:t>
      </w:r>
      <w:proofErr w:type="spellStart"/>
      <w:r w:rsidRPr="00406EDB">
        <w:rPr>
          <w:rFonts w:ascii="Calibri" w:hAnsi="Calibri" w:cs="Calibri"/>
          <w:szCs w:val="24"/>
        </w:rPr>
        <w:t>behavior</w:t>
      </w:r>
      <w:proofErr w:type="spellEnd"/>
      <w:r w:rsidRPr="00406EDB">
        <w:rPr>
          <w:rFonts w:ascii="Calibri" w:hAnsi="Calibri" w:cs="Calibri"/>
          <w:szCs w:val="24"/>
        </w:rPr>
        <w:t xml:space="preserve">, especially in service-driven sectors like hospitality. Engagement is typically theorized as an affirmative, satisfactory work-related psychological condition that is vibrant, committed, and engaged (Schaufeli et al., 2002). Contrasting with job satisfaction, which implies passive contentment, employee engagement is a dynamic and motivational relationship to work roles. Communication in hospitality environments is especially important as emotion </w:t>
      </w:r>
      <w:proofErr w:type="spellStart"/>
      <w:r w:rsidRPr="00406EDB">
        <w:rPr>
          <w:rFonts w:ascii="Calibri" w:hAnsi="Calibri" w:cs="Calibri"/>
          <w:szCs w:val="24"/>
        </w:rPr>
        <w:t>labor</w:t>
      </w:r>
      <w:proofErr w:type="spellEnd"/>
      <w:r w:rsidRPr="00406EDB">
        <w:rPr>
          <w:rFonts w:ascii="Calibri" w:hAnsi="Calibri" w:cs="Calibri"/>
          <w:szCs w:val="24"/>
        </w:rPr>
        <w:t xml:space="preserve"> and service </w:t>
      </w:r>
      <w:proofErr w:type="spellStart"/>
      <w:r w:rsidRPr="00406EDB">
        <w:rPr>
          <w:rFonts w:ascii="Calibri" w:hAnsi="Calibri" w:cs="Calibri"/>
          <w:szCs w:val="24"/>
        </w:rPr>
        <w:t>behaviors</w:t>
      </w:r>
      <w:proofErr w:type="spellEnd"/>
      <w:r w:rsidRPr="00406EDB">
        <w:rPr>
          <w:rFonts w:ascii="Calibri" w:hAnsi="Calibri" w:cs="Calibri"/>
          <w:szCs w:val="24"/>
        </w:rPr>
        <w:t xml:space="preserve"> directly affect customer perceptions and organizational results.</w:t>
      </w:r>
    </w:p>
    <w:p w14:paraId="78DDBE0B" w14:textId="77777777" w:rsidR="002850D4" w:rsidRPr="00406EDB" w:rsidRDefault="002850D4" w:rsidP="002850D4">
      <w:pPr>
        <w:spacing w:line="480" w:lineRule="auto"/>
        <w:rPr>
          <w:rFonts w:ascii="Calibri" w:hAnsi="Calibri" w:cs="Calibri"/>
          <w:szCs w:val="24"/>
        </w:rPr>
      </w:pPr>
      <w:r w:rsidRPr="00406EDB">
        <w:rPr>
          <w:rFonts w:ascii="Calibri" w:hAnsi="Calibri" w:cs="Calibri"/>
          <w:szCs w:val="24"/>
        </w:rPr>
        <w:t xml:space="preserve">The hospitality sector offers an exceptional employment environment characterized by extended working hours, emotional </w:t>
      </w:r>
      <w:proofErr w:type="spellStart"/>
      <w:r w:rsidRPr="00406EDB">
        <w:rPr>
          <w:rFonts w:ascii="Calibri" w:hAnsi="Calibri" w:cs="Calibri"/>
          <w:szCs w:val="24"/>
        </w:rPr>
        <w:t>labor</w:t>
      </w:r>
      <w:proofErr w:type="spellEnd"/>
      <w:r w:rsidRPr="00406EDB">
        <w:rPr>
          <w:rFonts w:ascii="Calibri" w:hAnsi="Calibri" w:cs="Calibri"/>
          <w:szCs w:val="24"/>
        </w:rPr>
        <w:t xml:space="preserve">, seasonal hiring, and </w:t>
      </w:r>
      <w:proofErr w:type="spellStart"/>
      <w:r w:rsidRPr="00406EDB">
        <w:rPr>
          <w:rFonts w:ascii="Calibri" w:hAnsi="Calibri" w:cs="Calibri"/>
          <w:szCs w:val="24"/>
        </w:rPr>
        <w:t>labor</w:t>
      </w:r>
      <w:proofErr w:type="spellEnd"/>
      <w:r w:rsidRPr="00406EDB">
        <w:rPr>
          <w:rFonts w:ascii="Calibri" w:hAnsi="Calibri" w:cs="Calibri"/>
          <w:szCs w:val="24"/>
        </w:rPr>
        <w:t xml:space="preserve"> mobility. Such circumstances complicate and necessitate maintaining employee engagement. The studies show that engaged employees in the hospitality industry manifest better service quality, organizational commitment, and reduced turnover intentions (Karatepe, 2013). Employee engagement, in turn, is increasingly considered not only as a HR deliverable but as a strategic resource leading to competitive advantage within hospitality organizations.</w:t>
      </w:r>
    </w:p>
    <w:p w14:paraId="6DD097F7" w14:textId="77777777" w:rsidR="002850D4" w:rsidRPr="00406EDB" w:rsidRDefault="002850D4" w:rsidP="002850D4">
      <w:pPr>
        <w:spacing w:line="480" w:lineRule="auto"/>
        <w:rPr>
          <w:rFonts w:ascii="Calibri" w:hAnsi="Calibri" w:cs="Calibri"/>
          <w:b/>
          <w:bCs/>
          <w:szCs w:val="24"/>
        </w:rPr>
      </w:pPr>
    </w:p>
    <w:p w14:paraId="2B8C7C0D" w14:textId="77777777" w:rsidR="002850D4" w:rsidRPr="00406EDB" w:rsidRDefault="002850D4" w:rsidP="002850D4">
      <w:pPr>
        <w:spacing w:line="480" w:lineRule="auto"/>
        <w:rPr>
          <w:rFonts w:ascii="Calibri" w:hAnsi="Calibri" w:cs="Calibri"/>
          <w:b/>
          <w:bCs/>
          <w:szCs w:val="24"/>
        </w:rPr>
      </w:pPr>
    </w:p>
    <w:p w14:paraId="48999962" w14:textId="123F50E7" w:rsidR="002850D4" w:rsidRPr="00406EDB" w:rsidRDefault="002850D4" w:rsidP="002850D4">
      <w:pPr>
        <w:spacing w:line="480" w:lineRule="auto"/>
        <w:rPr>
          <w:rFonts w:ascii="Calibri" w:hAnsi="Calibri" w:cs="Calibri"/>
          <w:b/>
          <w:bCs/>
          <w:szCs w:val="24"/>
        </w:rPr>
      </w:pPr>
      <w:r w:rsidRPr="00406EDB">
        <w:rPr>
          <w:rFonts w:ascii="Calibri" w:hAnsi="Calibri" w:cs="Calibri"/>
          <w:b/>
          <w:bCs/>
          <w:szCs w:val="24"/>
        </w:rPr>
        <w:t>Theoretical Underpinnings of HRM-Employee Engagement.</w:t>
      </w:r>
    </w:p>
    <w:p w14:paraId="18CBDDAC" w14:textId="220F73AE" w:rsidR="002850D4" w:rsidRPr="00406EDB" w:rsidRDefault="002850D4" w:rsidP="002850D4">
      <w:pPr>
        <w:spacing w:line="480" w:lineRule="auto"/>
        <w:rPr>
          <w:rFonts w:ascii="Calibri" w:hAnsi="Calibri" w:cs="Calibri"/>
          <w:szCs w:val="24"/>
        </w:rPr>
      </w:pPr>
      <w:r w:rsidRPr="00406EDB">
        <w:rPr>
          <w:rFonts w:ascii="Calibri" w:hAnsi="Calibri" w:cs="Calibri"/>
          <w:szCs w:val="24"/>
        </w:rPr>
        <w:lastRenderedPageBreak/>
        <w:t xml:space="preserve">Human Resource Management (HRM) and its association with employee engagement have a strong foundation through various theoretical frameworks, which are well established. According to Social Exchange Theory, employees respond to </w:t>
      </w:r>
      <w:proofErr w:type="spellStart"/>
      <w:r w:rsidRPr="00406EDB">
        <w:rPr>
          <w:rFonts w:ascii="Calibri" w:hAnsi="Calibri" w:cs="Calibri"/>
          <w:szCs w:val="24"/>
        </w:rPr>
        <w:t>favorable</w:t>
      </w:r>
      <w:proofErr w:type="spellEnd"/>
      <w:r w:rsidRPr="00406EDB">
        <w:rPr>
          <w:rFonts w:ascii="Calibri" w:hAnsi="Calibri" w:cs="Calibri"/>
          <w:szCs w:val="24"/>
        </w:rPr>
        <w:t xml:space="preserve"> organizational treatment with positive attitudes and </w:t>
      </w:r>
      <w:proofErr w:type="spellStart"/>
      <w:r w:rsidRPr="00406EDB">
        <w:rPr>
          <w:rFonts w:ascii="Calibri" w:hAnsi="Calibri" w:cs="Calibri"/>
          <w:szCs w:val="24"/>
        </w:rPr>
        <w:t>behaviors</w:t>
      </w:r>
      <w:proofErr w:type="spellEnd"/>
      <w:r w:rsidRPr="00406EDB">
        <w:rPr>
          <w:rFonts w:ascii="Calibri" w:hAnsi="Calibri" w:cs="Calibri"/>
          <w:szCs w:val="24"/>
        </w:rPr>
        <w:t xml:space="preserve">, such as engagement and discretionary effort (Blau, 1964). In hospitality organizations, employees are likely to show emotional commitment and service-oriented </w:t>
      </w:r>
      <w:proofErr w:type="spellStart"/>
      <w:r w:rsidRPr="00406EDB">
        <w:rPr>
          <w:rFonts w:ascii="Calibri" w:hAnsi="Calibri" w:cs="Calibri"/>
          <w:szCs w:val="24"/>
        </w:rPr>
        <w:t>behaviors</w:t>
      </w:r>
      <w:proofErr w:type="spellEnd"/>
      <w:r w:rsidRPr="00406EDB">
        <w:rPr>
          <w:rFonts w:ascii="Calibri" w:hAnsi="Calibri" w:cs="Calibri"/>
          <w:szCs w:val="24"/>
        </w:rPr>
        <w:t xml:space="preserve"> when they feel that HR practices are supportive and fair.</w:t>
      </w:r>
    </w:p>
    <w:p w14:paraId="6003D4F1" w14:textId="77777777" w:rsidR="002850D4" w:rsidRPr="00406EDB" w:rsidRDefault="002850D4" w:rsidP="002850D4">
      <w:pPr>
        <w:spacing w:line="480" w:lineRule="auto"/>
        <w:rPr>
          <w:rFonts w:ascii="Calibri" w:hAnsi="Calibri" w:cs="Calibri"/>
          <w:szCs w:val="24"/>
        </w:rPr>
      </w:pPr>
      <w:r w:rsidRPr="00406EDB">
        <w:rPr>
          <w:rFonts w:ascii="Calibri" w:hAnsi="Calibri" w:cs="Calibri"/>
          <w:szCs w:val="24"/>
        </w:rPr>
        <w:t xml:space="preserve">An additional influential model is the Job Demands-Resources (JD-R) model, which proposes that employee engagement arises when job resources, including training, autonomy, feedback and leadership support, counter the job demands, including workload and emotional strain (Bakker and Demerouti, 2007). HRM practices that improve job resources are especially effective in promoting engagement, as the hospitality work is characterized by high emotional and physical demands. The empirical research in the hotel and tourism industry has established that job resources supplied by HRM systems have a strong relationship with engagement and performance outcomes (Karatepe and </w:t>
      </w:r>
      <w:proofErr w:type="spellStart"/>
      <w:r w:rsidRPr="00406EDB">
        <w:rPr>
          <w:rFonts w:ascii="Calibri" w:hAnsi="Calibri" w:cs="Calibri"/>
          <w:szCs w:val="24"/>
        </w:rPr>
        <w:t>Olugbade</w:t>
      </w:r>
      <w:proofErr w:type="spellEnd"/>
      <w:r w:rsidRPr="00406EDB">
        <w:rPr>
          <w:rFonts w:ascii="Calibri" w:hAnsi="Calibri" w:cs="Calibri"/>
          <w:szCs w:val="24"/>
        </w:rPr>
        <w:t>, 2009).</w:t>
      </w:r>
    </w:p>
    <w:p w14:paraId="0E0D0A01" w14:textId="77777777" w:rsidR="002850D4" w:rsidRPr="00406EDB" w:rsidRDefault="002850D4" w:rsidP="002850D4">
      <w:pPr>
        <w:spacing w:line="480" w:lineRule="auto"/>
        <w:rPr>
          <w:rFonts w:ascii="Calibri" w:hAnsi="Calibri" w:cs="Calibri"/>
          <w:szCs w:val="24"/>
        </w:rPr>
      </w:pPr>
    </w:p>
    <w:p w14:paraId="254583C9" w14:textId="77777777" w:rsidR="002850D4" w:rsidRPr="00406EDB" w:rsidRDefault="002850D4" w:rsidP="002850D4">
      <w:pPr>
        <w:spacing w:line="480" w:lineRule="auto"/>
        <w:rPr>
          <w:rFonts w:ascii="Calibri" w:hAnsi="Calibri" w:cs="Calibri"/>
          <w:szCs w:val="24"/>
        </w:rPr>
      </w:pPr>
      <w:r w:rsidRPr="00406EDB">
        <w:rPr>
          <w:rFonts w:ascii="Calibri" w:hAnsi="Calibri" w:cs="Calibri"/>
          <w:szCs w:val="24"/>
        </w:rPr>
        <w:t xml:space="preserve">Also, </w:t>
      </w:r>
      <w:proofErr w:type="spellStart"/>
      <w:r w:rsidRPr="00406EDB">
        <w:rPr>
          <w:rFonts w:ascii="Calibri" w:hAnsi="Calibri" w:cs="Calibri"/>
          <w:szCs w:val="24"/>
        </w:rPr>
        <w:t>AbilityMotivationOpportunity</w:t>
      </w:r>
      <w:proofErr w:type="spellEnd"/>
      <w:r w:rsidRPr="00406EDB">
        <w:rPr>
          <w:rFonts w:ascii="Calibri" w:hAnsi="Calibri" w:cs="Calibri"/>
          <w:szCs w:val="24"/>
        </w:rPr>
        <w:t xml:space="preserve"> (AMO) framework describes how HRM practices contribute to employee outcome by improving the skills, motivation, and participation opportunities of employees (</w:t>
      </w:r>
      <w:proofErr w:type="spellStart"/>
      <w:r w:rsidRPr="00406EDB">
        <w:rPr>
          <w:rFonts w:ascii="Calibri" w:hAnsi="Calibri" w:cs="Calibri"/>
          <w:szCs w:val="24"/>
        </w:rPr>
        <w:t>Boselie</w:t>
      </w:r>
      <w:proofErr w:type="spellEnd"/>
      <w:r w:rsidRPr="00406EDB">
        <w:rPr>
          <w:rFonts w:ascii="Calibri" w:hAnsi="Calibri" w:cs="Calibri"/>
          <w:szCs w:val="24"/>
        </w:rPr>
        <w:t xml:space="preserve"> et al., 2005). Training and development develop employee skills, performance management and rewards create motivation, and participative decision-making provides engagement opportunities. This model has been extensively used in hospitality studies to clarify the relationship between HRM systems and employee attitudes and service delivery.</w:t>
      </w:r>
    </w:p>
    <w:p w14:paraId="76DD6B11" w14:textId="77777777" w:rsidR="002850D4" w:rsidRPr="00406EDB" w:rsidRDefault="002850D4" w:rsidP="002850D4">
      <w:pPr>
        <w:spacing w:line="480" w:lineRule="auto"/>
        <w:rPr>
          <w:rFonts w:ascii="Calibri" w:hAnsi="Calibri" w:cs="Calibri"/>
          <w:b/>
          <w:bCs/>
          <w:szCs w:val="24"/>
        </w:rPr>
      </w:pPr>
    </w:p>
    <w:p w14:paraId="27615C18" w14:textId="77777777" w:rsidR="002850D4" w:rsidRPr="00406EDB" w:rsidRDefault="002850D4" w:rsidP="002850D4">
      <w:pPr>
        <w:spacing w:line="480" w:lineRule="auto"/>
        <w:rPr>
          <w:rFonts w:ascii="Calibri" w:hAnsi="Calibri" w:cs="Calibri"/>
          <w:b/>
          <w:bCs/>
          <w:szCs w:val="24"/>
        </w:rPr>
      </w:pPr>
      <w:r w:rsidRPr="00406EDB">
        <w:rPr>
          <w:rFonts w:ascii="Calibri" w:hAnsi="Calibri" w:cs="Calibri"/>
          <w:b/>
          <w:bCs/>
          <w:szCs w:val="24"/>
        </w:rPr>
        <w:t>HRM practices and employee engagement.</w:t>
      </w:r>
    </w:p>
    <w:p w14:paraId="4FDDF735" w14:textId="10F1AA1F" w:rsidR="002850D4" w:rsidRPr="00406EDB" w:rsidRDefault="002850D4" w:rsidP="002850D4">
      <w:pPr>
        <w:spacing w:line="480" w:lineRule="auto"/>
        <w:rPr>
          <w:rFonts w:ascii="Calibri" w:hAnsi="Calibri" w:cs="Calibri"/>
          <w:b/>
          <w:bCs/>
          <w:szCs w:val="24"/>
        </w:rPr>
      </w:pPr>
      <w:r w:rsidRPr="00406EDB">
        <w:rPr>
          <w:rFonts w:ascii="Calibri" w:hAnsi="Calibri" w:cs="Calibri"/>
          <w:b/>
          <w:bCs/>
          <w:szCs w:val="24"/>
        </w:rPr>
        <w:t>3.1 Training and Development</w:t>
      </w:r>
    </w:p>
    <w:p w14:paraId="68D1B0D1" w14:textId="22181DE3" w:rsidR="002850D4" w:rsidRPr="00406EDB" w:rsidRDefault="002850D4" w:rsidP="002850D4">
      <w:pPr>
        <w:spacing w:line="480" w:lineRule="auto"/>
        <w:rPr>
          <w:rFonts w:ascii="Calibri" w:hAnsi="Calibri" w:cs="Calibri"/>
          <w:szCs w:val="24"/>
        </w:rPr>
      </w:pPr>
      <w:r w:rsidRPr="00406EDB">
        <w:rPr>
          <w:rFonts w:ascii="Calibri" w:hAnsi="Calibri" w:cs="Calibri"/>
          <w:szCs w:val="24"/>
        </w:rPr>
        <w:t xml:space="preserve">Training and development </w:t>
      </w:r>
      <w:proofErr w:type="gramStart"/>
      <w:r w:rsidRPr="00406EDB">
        <w:rPr>
          <w:rFonts w:ascii="Calibri" w:hAnsi="Calibri" w:cs="Calibri"/>
          <w:szCs w:val="24"/>
        </w:rPr>
        <w:t>is</w:t>
      </w:r>
      <w:proofErr w:type="gramEnd"/>
      <w:r w:rsidRPr="00406EDB">
        <w:rPr>
          <w:rFonts w:ascii="Calibri" w:hAnsi="Calibri" w:cs="Calibri"/>
          <w:szCs w:val="24"/>
        </w:rPr>
        <w:t xml:space="preserve"> repeatedly described as one of the most significant HRM activities that affect employee engagement in hospitality businesses. On-going training advances the technical abilities, service competencies and self-confidence of the employees in dealing with guests. Research shows that employees who feel that they have access to meaningful training opportunities report greater levels of engagement, job satisfaction, and organizational commitment (Chiang et al., 2015).</w:t>
      </w:r>
    </w:p>
    <w:p w14:paraId="4F792043" w14:textId="77777777" w:rsidR="002850D4" w:rsidRPr="00406EDB" w:rsidRDefault="002850D4" w:rsidP="002850D4">
      <w:pPr>
        <w:spacing w:line="480" w:lineRule="auto"/>
        <w:rPr>
          <w:rFonts w:ascii="Calibri" w:hAnsi="Calibri" w:cs="Calibri"/>
          <w:szCs w:val="24"/>
        </w:rPr>
      </w:pPr>
      <w:r w:rsidRPr="00406EDB">
        <w:rPr>
          <w:rFonts w:ascii="Calibri" w:hAnsi="Calibri" w:cs="Calibri"/>
          <w:szCs w:val="24"/>
        </w:rPr>
        <w:t xml:space="preserve">Training can also act as a sign of organization support in hospitality contexts, which strengthens the perceptions of employees that an organization cares about their development. This perception reinforces the psychological contract between employees and employers, thus increasing engagement. According to empirical findings, training-based HRM systems correlate positively with lower burnout and enhanced service recovery performance among frontline hospitality employees (Karatepe and </w:t>
      </w:r>
      <w:proofErr w:type="spellStart"/>
      <w:r w:rsidRPr="00406EDB">
        <w:rPr>
          <w:rFonts w:ascii="Calibri" w:hAnsi="Calibri" w:cs="Calibri"/>
          <w:szCs w:val="24"/>
        </w:rPr>
        <w:t>Vatankhah</w:t>
      </w:r>
      <w:proofErr w:type="spellEnd"/>
      <w:r w:rsidRPr="00406EDB">
        <w:rPr>
          <w:rFonts w:ascii="Calibri" w:hAnsi="Calibri" w:cs="Calibri"/>
          <w:szCs w:val="24"/>
        </w:rPr>
        <w:t>, 2014).</w:t>
      </w:r>
    </w:p>
    <w:p w14:paraId="74D7781D" w14:textId="77777777" w:rsidR="002850D4" w:rsidRPr="00406EDB" w:rsidRDefault="002850D4" w:rsidP="002850D4">
      <w:pPr>
        <w:spacing w:line="480" w:lineRule="auto"/>
        <w:rPr>
          <w:rFonts w:ascii="Calibri" w:hAnsi="Calibri" w:cs="Calibri"/>
          <w:b/>
          <w:bCs/>
          <w:szCs w:val="24"/>
        </w:rPr>
      </w:pPr>
    </w:p>
    <w:p w14:paraId="59AAB2AB" w14:textId="2CECBBE9" w:rsidR="002850D4" w:rsidRPr="00406EDB" w:rsidRDefault="002850D4" w:rsidP="002850D4">
      <w:pPr>
        <w:spacing w:line="480" w:lineRule="auto"/>
        <w:rPr>
          <w:rFonts w:ascii="Calibri" w:hAnsi="Calibri" w:cs="Calibri"/>
          <w:b/>
          <w:bCs/>
          <w:szCs w:val="24"/>
        </w:rPr>
      </w:pPr>
      <w:r w:rsidRPr="00406EDB">
        <w:rPr>
          <w:rFonts w:ascii="Calibri" w:hAnsi="Calibri" w:cs="Calibri"/>
          <w:b/>
          <w:bCs/>
          <w:szCs w:val="24"/>
        </w:rPr>
        <w:t>3.3 Performance Management and Rewards.</w:t>
      </w:r>
    </w:p>
    <w:p w14:paraId="6A54B1BC" w14:textId="369FD64B" w:rsidR="002850D4" w:rsidRPr="00406EDB" w:rsidRDefault="002850D4" w:rsidP="002850D4">
      <w:pPr>
        <w:spacing w:line="480" w:lineRule="auto"/>
        <w:rPr>
          <w:rFonts w:ascii="Calibri" w:hAnsi="Calibri" w:cs="Calibri"/>
          <w:szCs w:val="24"/>
        </w:rPr>
      </w:pPr>
      <w:r w:rsidRPr="00406EDB">
        <w:rPr>
          <w:rFonts w:ascii="Calibri" w:hAnsi="Calibri" w:cs="Calibri"/>
          <w:szCs w:val="24"/>
        </w:rPr>
        <w:t xml:space="preserve">Performance management systems are critical in influencing employee engagement through clarity, feedback, and recognition. Open appraisal systems that focus on developmental feedback instead of punitive control leads to trust and motivation among hospitality workers. </w:t>
      </w:r>
      <w:r w:rsidRPr="00406EDB">
        <w:rPr>
          <w:rFonts w:ascii="Calibri" w:hAnsi="Calibri" w:cs="Calibri"/>
          <w:szCs w:val="24"/>
        </w:rPr>
        <w:lastRenderedPageBreak/>
        <w:t>Studies indicate that consistent and fair performance ratings may improve procedural justice perceptions, which help to facilitate engagement and organizational commitment (Albrecht et al., 2015).</w:t>
      </w:r>
    </w:p>
    <w:p w14:paraId="4E3357DB" w14:textId="77777777" w:rsidR="002850D4" w:rsidRPr="00406EDB" w:rsidRDefault="002850D4" w:rsidP="002850D4">
      <w:pPr>
        <w:spacing w:line="480" w:lineRule="auto"/>
        <w:rPr>
          <w:rFonts w:ascii="Calibri" w:hAnsi="Calibri" w:cs="Calibri"/>
          <w:szCs w:val="24"/>
        </w:rPr>
      </w:pPr>
      <w:r w:rsidRPr="00406EDB">
        <w:rPr>
          <w:rFonts w:ascii="Calibri" w:hAnsi="Calibri" w:cs="Calibri"/>
          <w:szCs w:val="24"/>
        </w:rPr>
        <w:t>Engagement is further strengthened by reward and recognition systems that ensure alignment of employee efforts with organizational goals. Non-financial rewards, including recognition programs, career advancement opportunities, and flexible scheduling, have been demonstrated to be especially effective in motivating employees in hospitality organizations (Kim et al., 2012). Employees will invest discretionary effort in service delivery when rewards are perceived as equitable and performance based.</w:t>
      </w:r>
    </w:p>
    <w:p w14:paraId="22BE4F3E" w14:textId="77777777" w:rsidR="002850D4" w:rsidRPr="00406EDB" w:rsidRDefault="002850D4" w:rsidP="002850D4">
      <w:pPr>
        <w:spacing w:line="480" w:lineRule="auto"/>
        <w:rPr>
          <w:rFonts w:ascii="Calibri" w:hAnsi="Calibri" w:cs="Calibri"/>
          <w:b/>
          <w:bCs/>
          <w:szCs w:val="24"/>
        </w:rPr>
      </w:pPr>
    </w:p>
    <w:p w14:paraId="6FC1F00E" w14:textId="175F1B1D" w:rsidR="002850D4" w:rsidRPr="00406EDB" w:rsidRDefault="002850D4" w:rsidP="002850D4">
      <w:pPr>
        <w:spacing w:line="480" w:lineRule="auto"/>
        <w:rPr>
          <w:rFonts w:ascii="Calibri" w:hAnsi="Calibri" w:cs="Calibri"/>
          <w:b/>
          <w:bCs/>
          <w:szCs w:val="24"/>
        </w:rPr>
      </w:pPr>
      <w:r w:rsidRPr="00406EDB">
        <w:rPr>
          <w:rFonts w:ascii="Calibri" w:hAnsi="Calibri" w:cs="Calibri"/>
          <w:b/>
          <w:bCs/>
          <w:szCs w:val="24"/>
        </w:rPr>
        <w:t>3.3 Retention and Career Development.</w:t>
      </w:r>
    </w:p>
    <w:p w14:paraId="29E4F776" w14:textId="0B3F52FB" w:rsidR="002850D4" w:rsidRPr="00406EDB" w:rsidRDefault="002850D4" w:rsidP="002850D4">
      <w:pPr>
        <w:spacing w:line="480" w:lineRule="auto"/>
        <w:rPr>
          <w:rFonts w:ascii="Calibri" w:hAnsi="Calibri" w:cs="Calibri"/>
          <w:szCs w:val="24"/>
        </w:rPr>
      </w:pPr>
      <w:r w:rsidRPr="00406EDB">
        <w:rPr>
          <w:rFonts w:ascii="Calibri" w:hAnsi="Calibri" w:cs="Calibri"/>
          <w:szCs w:val="24"/>
        </w:rPr>
        <w:t xml:space="preserve">Career development is essential to maintain long-term employee involvement in an industry that is frequently associated with limited career advancement. Studies have shown that hospitality workers who see clear career advancement opportunities and promotions are more engaged and less likely to turnover (Jung and Yoon, 2015). HRM practices focused on internal mobility, mentoring, succession planning </w:t>
      </w:r>
      <w:proofErr w:type="gramStart"/>
      <w:r w:rsidRPr="00406EDB">
        <w:rPr>
          <w:rFonts w:ascii="Calibri" w:hAnsi="Calibri" w:cs="Calibri"/>
          <w:szCs w:val="24"/>
        </w:rPr>
        <w:t>facilitate</w:t>
      </w:r>
      <w:proofErr w:type="gramEnd"/>
      <w:r w:rsidRPr="00406EDB">
        <w:rPr>
          <w:rFonts w:ascii="Calibri" w:hAnsi="Calibri" w:cs="Calibri"/>
          <w:szCs w:val="24"/>
        </w:rPr>
        <w:t xml:space="preserve"> the development of a sense of job security, and professional identity.</w:t>
      </w:r>
    </w:p>
    <w:p w14:paraId="4FF62A3B" w14:textId="77777777" w:rsidR="002850D4" w:rsidRPr="00406EDB" w:rsidRDefault="002850D4" w:rsidP="002850D4">
      <w:pPr>
        <w:spacing w:line="480" w:lineRule="auto"/>
        <w:rPr>
          <w:rFonts w:ascii="Calibri" w:hAnsi="Calibri" w:cs="Calibri"/>
          <w:szCs w:val="24"/>
        </w:rPr>
      </w:pPr>
      <w:r w:rsidRPr="00406EDB">
        <w:rPr>
          <w:rFonts w:ascii="Calibri" w:hAnsi="Calibri" w:cs="Calibri"/>
          <w:szCs w:val="24"/>
        </w:rPr>
        <w:t xml:space="preserve">Career development further facilitates retention as it remedies one of the main reasons why employees leave the hospitality industry-perceived stagnation. Research reports that employees who feel engaged are far less prone to turnover in companies that invest in their long-term </w:t>
      </w:r>
      <w:r w:rsidRPr="00406EDB">
        <w:rPr>
          <w:rFonts w:ascii="Calibri" w:hAnsi="Calibri" w:cs="Calibri"/>
          <w:szCs w:val="24"/>
        </w:rPr>
        <w:lastRenderedPageBreak/>
        <w:t>professional development, cutting down on recruitment and training expenses (Hom et al., 2017).</w:t>
      </w:r>
    </w:p>
    <w:p w14:paraId="31BEF466" w14:textId="77777777" w:rsidR="002850D4" w:rsidRPr="00406EDB" w:rsidRDefault="002850D4" w:rsidP="002850D4">
      <w:pPr>
        <w:spacing w:line="480" w:lineRule="auto"/>
        <w:rPr>
          <w:rFonts w:ascii="Calibri" w:hAnsi="Calibri" w:cs="Calibri"/>
          <w:b/>
          <w:bCs/>
          <w:szCs w:val="24"/>
        </w:rPr>
      </w:pPr>
    </w:p>
    <w:p w14:paraId="33B67132" w14:textId="0F7B60DA" w:rsidR="002850D4" w:rsidRPr="00406EDB" w:rsidRDefault="002850D4" w:rsidP="002850D4">
      <w:pPr>
        <w:spacing w:line="480" w:lineRule="auto"/>
        <w:rPr>
          <w:rFonts w:ascii="Calibri" w:hAnsi="Calibri" w:cs="Calibri"/>
          <w:b/>
          <w:bCs/>
          <w:szCs w:val="24"/>
        </w:rPr>
      </w:pPr>
      <w:r w:rsidRPr="00406EDB">
        <w:rPr>
          <w:rFonts w:ascii="Calibri" w:hAnsi="Calibri" w:cs="Calibri"/>
          <w:b/>
          <w:bCs/>
          <w:szCs w:val="24"/>
        </w:rPr>
        <w:t>Styles of leadership and employee engagement.</w:t>
      </w:r>
    </w:p>
    <w:p w14:paraId="1046B362" w14:textId="595791A6" w:rsidR="002850D4" w:rsidRPr="00406EDB" w:rsidRDefault="002850D4" w:rsidP="002850D4">
      <w:pPr>
        <w:spacing w:line="480" w:lineRule="auto"/>
        <w:rPr>
          <w:rFonts w:ascii="Calibri" w:hAnsi="Calibri" w:cs="Calibri"/>
          <w:szCs w:val="24"/>
        </w:rPr>
      </w:pPr>
      <w:r w:rsidRPr="00406EDB">
        <w:rPr>
          <w:rFonts w:ascii="Calibri" w:hAnsi="Calibri" w:cs="Calibri"/>
          <w:szCs w:val="24"/>
        </w:rPr>
        <w:t>Leadership style is a critical contextual aspect determining the effectiveness of HRM practices in promoting employee engagement. Inspiration, personalized attention, and intellectual stimulation define transformational leadership, which has been repeatedly associated with increased levels of engagement in hospitality contexts (</w:t>
      </w:r>
      <w:proofErr w:type="spellStart"/>
      <w:r w:rsidRPr="00406EDB">
        <w:rPr>
          <w:rFonts w:ascii="Calibri" w:hAnsi="Calibri" w:cs="Calibri"/>
          <w:szCs w:val="24"/>
        </w:rPr>
        <w:t>Breevaart</w:t>
      </w:r>
      <w:proofErr w:type="spellEnd"/>
      <w:r w:rsidRPr="00406EDB">
        <w:rPr>
          <w:rFonts w:ascii="Calibri" w:hAnsi="Calibri" w:cs="Calibri"/>
          <w:szCs w:val="24"/>
        </w:rPr>
        <w:t xml:space="preserve"> et al., 2014). These leaders establish enabling environments that empower employees and promote active service </w:t>
      </w:r>
      <w:proofErr w:type="spellStart"/>
      <w:r w:rsidRPr="00406EDB">
        <w:rPr>
          <w:rFonts w:ascii="Calibri" w:hAnsi="Calibri" w:cs="Calibri"/>
          <w:szCs w:val="24"/>
        </w:rPr>
        <w:t>behaviors</w:t>
      </w:r>
      <w:proofErr w:type="spellEnd"/>
      <w:r w:rsidRPr="00406EDB">
        <w:rPr>
          <w:rFonts w:ascii="Calibri" w:hAnsi="Calibri" w:cs="Calibri"/>
          <w:szCs w:val="24"/>
        </w:rPr>
        <w:t>.</w:t>
      </w:r>
    </w:p>
    <w:p w14:paraId="0EBCAC25" w14:textId="48B531D1" w:rsidR="002850D4" w:rsidRPr="00406EDB" w:rsidRDefault="002850D4" w:rsidP="002850D4">
      <w:pPr>
        <w:spacing w:line="480" w:lineRule="auto"/>
        <w:rPr>
          <w:rFonts w:ascii="Calibri" w:hAnsi="Calibri" w:cs="Calibri"/>
          <w:szCs w:val="24"/>
        </w:rPr>
      </w:pPr>
      <w:r w:rsidRPr="00406EDB">
        <w:rPr>
          <w:rFonts w:ascii="Calibri" w:hAnsi="Calibri" w:cs="Calibri"/>
          <w:szCs w:val="24"/>
        </w:rPr>
        <w:t xml:space="preserve">In contrast, transactional leadership, with an emphasis on compliance and performance-based rewards, can generate immediate performance outcomes, but more frequently does not maintain engagement in emotionally charged hospitality jobs. Research indicates that dictatorial leadership </w:t>
      </w:r>
      <w:proofErr w:type="spellStart"/>
      <w:r w:rsidRPr="00406EDB">
        <w:rPr>
          <w:rFonts w:ascii="Calibri" w:hAnsi="Calibri" w:cs="Calibri"/>
          <w:szCs w:val="24"/>
        </w:rPr>
        <w:t>behaviors</w:t>
      </w:r>
      <w:proofErr w:type="spellEnd"/>
      <w:r w:rsidRPr="00406EDB">
        <w:rPr>
          <w:rFonts w:ascii="Calibri" w:hAnsi="Calibri" w:cs="Calibri"/>
          <w:szCs w:val="24"/>
        </w:rPr>
        <w:t xml:space="preserve"> enhance emotional exhaustion and disengagement, especially among frontline service workers (Karatepe, 2012).</w:t>
      </w:r>
    </w:p>
    <w:p w14:paraId="7724B1C6" w14:textId="77777777" w:rsidR="002850D4" w:rsidRPr="00406EDB" w:rsidRDefault="002850D4" w:rsidP="002850D4">
      <w:pPr>
        <w:spacing w:line="480" w:lineRule="auto"/>
        <w:rPr>
          <w:rFonts w:ascii="Calibri" w:hAnsi="Calibri" w:cs="Calibri"/>
          <w:szCs w:val="24"/>
        </w:rPr>
      </w:pPr>
      <w:r w:rsidRPr="00406EDB">
        <w:rPr>
          <w:rFonts w:ascii="Calibri" w:hAnsi="Calibri" w:cs="Calibri"/>
          <w:szCs w:val="24"/>
        </w:rPr>
        <w:t xml:space="preserve">Servant leadership is another concept that has attracted interest in hospitality studies because of its emphasis on the welfare of employees and ethical </w:t>
      </w:r>
      <w:proofErr w:type="spellStart"/>
      <w:r w:rsidRPr="00406EDB">
        <w:rPr>
          <w:rFonts w:ascii="Calibri" w:hAnsi="Calibri" w:cs="Calibri"/>
          <w:szCs w:val="24"/>
        </w:rPr>
        <w:t>behavior</w:t>
      </w:r>
      <w:proofErr w:type="spellEnd"/>
      <w:r w:rsidRPr="00406EDB">
        <w:rPr>
          <w:rFonts w:ascii="Calibri" w:hAnsi="Calibri" w:cs="Calibri"/>
          <w:szCs w:val="24"/>
        </w:rPr>
        <w:t>. Empirical data suggest that servant leadership can drive higher trust, psychological safety, and guest engagement, which subsequently results in higher service quality and guest satisfaction (Eva et al., 2019). These results demonstrate the relevance of leadership development as part of HRM strategy in hospitality organizations.</w:t>
      </w:r>
    </w:p>
    <w:p w14:paraId="55C4EAD2" w14:textId="77777777" w:rsidR="002850D4" w:rsidRPr="00406EDB" w:rsidRDefault="002850D4" w:rsidP="002850D4">
      <w:pPr>
        <w:spacing w:line="480" w:lineRule="auto"/>
        <w:rPr>
          <w:rFonts w:ascii="Calibri" w:hAnsi="Calibri" w:cs="Calibri"/>
          <w:b/>
          <w:bCs/>
          <w:szCs w:val="24"/>
        </w:rPr>
      </w:pPr>
    </w:p>
    <w:p w14:paraId="7B94FBDA" w14:textId="77777777" w:rsidR="002850D4" w:rsidRPr="00406EDB" w:rsidRDefault="002850D4" w:rsidP="002850D4">
      <w:pPr>
        <w:spacing w:line="480" w:lineRule="auto"/>
        <w:rPr>
          <w:rFonts w:ascii="Calibri" w:hAnsi="Calibri" w:cs="Calibri"/>
          <w:b/>
          <w:bCs/>
          <w:szCs w:val="24"/>
        </w:rPr>
      </w:pPr>
    </w:p>
    <w:p w14:paraId="70E34193" w14:textId="77777777" w:rsidR="002850D4" w:rsidRPr="00406EDB" w:rsidRDefault="002850D4" w:rsidP="002850D4">
      <w:pPr>
        <w:spacing w:line="480" w:lineRule="auto"/>
        <w:rPr>
          <w:rFonts w:ascii="Calibri" w:hAnsi="Calibri" w:cs="Calibri"/>
          <w:b/>
          <w:bCs/>
          <w:szCs w:val="24"/>
        </w:rPr>
      </w:pPr>
    </w:p>
    <w:p w14:paraId="0DB63D49" w14:textId="77777777" w:rsidR="002850D4" w:rsidRPr="00406EDB" w:rsidRDefault="002850D4" w:rsidP="002850D4">
      <w:pPr>
        <w:spacing w:line="480" w:lineRule="auto"/>
        <w:rPr>
          <w:rFonts w:ascii="Calibri" w:hAnsi="Calibri" w:cs="Calibri"/>
          <w:b/>
          <w:bCs/>
          <w:szCs w:val="24"/>
        </w:rPr>
      </w:pPr>
    </w:p>
    <w:p w14:paraId="5D3F4173" w14:textId="2359D7B6" w:rsidR="002850D4" w:rsidRPr="00406EDB" w:rsidRDefault="002850D4" w:rsidP="002850D4">
      <w:pPr>
        <w:spacing w:line="480" w:lineRule="auto"/>
        <w:rPr>
          <w:rFonts w:ascii="Calibri" w:hAnsi="Calibri" w:cs="Calibri"/>
          <w:b/>
          <w:bCs/>
          <w:szCs w:val="24"/>
        </w:rPr>
      </w:pPr>
      <w:r w:rsidRPr="00406EDB">
        <w:rPr>
          <w:rFonts w:ascii="Calibri" w:hAnsi="Calibri" w:cs="Calibri"/>
          <w:b/>
          <w:bCs/>
          <w:szCs w:val="24"/>
        </w:rPr>
        <w:t>Employee Well-Being and Engagement</w:t>
      </w:r>
    </w:p>
    <w:p w14:paraId="59A571B8" w14:textId="53B2CEA6" w:rsidR="002850D4" w:rsidRPr="00406EDB" w:rsidRDefault="002850D4" w:rsidP="002850D4">
      <w:pPr>
        <w:spacing w:line="480" w:lineRule="auto"/>
        <w:rPr>
          <w:rFonts w:ascii="Calibri" w:hAnsi="Calibri" w:cs="Calibri"/>
          <w:szCs w:val="24"/>
        </w:rPr>
      </w:pPr>
      <w:r w:rsidRPr="00406EDB">
        <w:rPr>
          <w:rFonts w:ascii="Calibri" w:hAnsi="Calibri" w:cs="Calibri"/>
          <w:szCs w:val="24"/>
        </w:rPr>
        <w:t xml:space="preserve">The well-being of employees has become a critical predictor of engagement in high-stress hospitality settings. Health Well-being involves physical, mental, and emotional wellness that affect the ability of employees to be active in the workplace. Studies show that irregular schedules, emotional </w:t>
      </w:r>
      <w:proofErr w:type="spellStart"/>
      <w:r w:rsidRPr="00406EDB">
        <w:rPr>
          <w:rFonts w:ascii="Calibri" w:hAnsi="Calibri" w:cs="Calibri"/>
          <w:szCs w:val="24"/>
        </w:rPr>
        <w:t>labor</w:t>
      </w:r>
      <w:proofErr w:type="spellEnd"/>
      <w:r w:rsidRPr="00406EDB">
        <w:rPr>
          <w:rFonts w:ascii="Calibri" w:hAnsi="Calibri" w:cs="Calibri"/>
          <w:szCs w:val="24"/>
        </w:rPr>
        <w:t>, and customer-related stressors contribute to high burnout levels among hospitality workers (Lee and Ok, 2012).</w:t>
      </w:r>
    </w:p>
    <w:p w14:paraId="3B087A22" w14:textId="77777777" w:rsidR="002850D4" w:rsidRPr="00406EDB" w:rsidRDefault="002850D4" w:rsidP="002850D4">
      <w:pPr>
        <w:spacing w:line="480" w:lineRule="auto"/>
        <w:rPr>
          <w:rFonts w:ascii="Calibri" w:hAnsi="Calibri" w:cs="Calibri"/>
          <w:szCs w:val="24"/>
        </w:rPr>
      </w:pPr>
      <w:r w:rsidRPr="00406EDB">
        <w:rPr>
          <w:rFonts w:ascii="Calibri" w:hAnsi="Calibri" w:cs="Calibri"/>
          <w:szCs w:val="24"/>
        </w:rPr>
        <w:t>The HRM practices that facilitate work-life balance, mental health support, and inclusive workplace cultures are vital in alleviating these risks. Research has shown that companies that focus on the well-being of their employees record elevated engagement rates, less absenteeism, and enhanced service delivery (</w:t>
      </w:r>
      <w:proofErr w:type="spellStart"/>
      <w:r w:rsidRPr="00406EDB">
        <w:rPr>
          <w:rFonts w:ascii="Calibri" w:hAnsi="Calibri" w:cs="Calibri"/>
          <w:szCs w:val="24"/>
        </w:rPr>
        <w:t>Grawitch</w:t>
      </w:r>
      <w:proofErr w:type="spellEnd"/>
      <w:r w:rsidRPr="00406EDB">
        <w:rPr>
          <w:rFonts w:ascii="Calibri" w:hAnsi="Calibri" w:cs="Calibri"/>
          <w:szCs w:val="24"/>
        </w:rPr>
        <w:t xml:space="preserve"> et al., 2006). Well-being-oriented HRM strategies are becoming a necessity rather than a luxury in hospitality settings where employee burnout has a direct impact on service quality.</w:t>
      </w:r>
    </w:p>
    <w:p w14:paraId="4F423F78" w14:textId="77777777" w:rsidR="002850D4" w:rsidRPr="00406EDB" w:rsidRDefault="002850D4" w:rsidP="002850D4">
      <w:pPr>
        <w:spacing w:line="480" w:lineRule="auto"/>
        <w:rPr>
          <w:rFonts w:ascii="Calibri" w:hAnsi="Calibri" w:cs="Calibri"/>
          <w:b/>
          <w:bCs/>
          <w:szCs w:val="24"/>
        </w:rPr>
      </w:pPr>
    </w:p>
    <w:p w14:paraId="2F6F353C" w14:textId="12474871" w:rsidR="002850D4" w:rsidRPr="00406EDB" w:rsidRDefault="002850D4" w:rsidP="002850D4">
      <w:pPr>
        <w:spacing w:line="480" w:lineRule="auto"/>
        <w:rPr>
          <w:rFonts w:ascii="Calibri" w:hAnsi="Calibri" w:cs="Calibri"/>
          <w:b/>
          <w:bCs/>
          <w:szCs w:val="24"/>
        </w:rPr>
      </w:pPr>
      <w:r w:rsidRPr="00406EDB">
        <w:rPr>
          <w:rFonts w:ascii="Calibri" w:hAnsi="Calibri" w:cs="Calibri"/>
          <w:b/>
          <w:bCs/>
          <w:szCs w:val="24"/>
        </w:rPr>
        <w:t>Effects of Employee Engagement on Organizational Performance.</w:t>
      </w:r>
    </w:p>
    <w:p w14:paraId="585A1BC8" w14:textId="77777777" w:rsidR="002850D4" w:rsidRPr="00406EDB" w:rsidRDefault="002850D4" w:rsidP="002850D4">
      <w:pPr>
        <w:spacing w:line="480" w:lineRule="auto"/>
        <w:rPr>
          <w:rFonts w:ascii="Calibri" w:hAnsi="Calibri" w:cs="Calibri"/>
          <w:szCs w:val="24"/>
        </w:rPr>
      </w:pPr>
      <w:r w:rsidRPr="00406EDB">
        <w:rPr>
          <w:rFonts w:ascii="Calibri" w:hAnsi="Calibri" w:cs="Calibri"/>
          <w:szCs w:val="24"/>
        </w:rPr>
        <w:t xml:space="preserve">The literature presents a strong connection between employee engagement and critical organizational outcomes in the hospitality sector. Employees who are engaged are more </w:t>
      </w:r>
      <w:r w:rsidRPr="00406EDB">
        <w:rPr>
          <w:rFonts w:ascii="Calibri" w:hAnsi="Calibri" w:cs="Calibri"/>
          <w:szCs w:val="24"/>
        </w:rPr>
        <w:lastRenderedPageBreak/>
        <w:t>inclined toward customer-oriented behaviours, which translate into increased guest satisfaction and loyalty (Harter et al., 2002). Furthermore, engagement has been associated with increased efficiency in operations, minimized service errors, and better organizational reputation.</w:t>
      </w:r>
    </w:p>
    <w:p w14:paraId="13E8B175" w14:textId="77777777" w:rsidR="002850D4" w:rsidRPr="00406EDB" w:rsidRDefault="002850D4" w:rsidP="002850D4">
      <w:pPr>
        <w:spacing w:line="480" w:lineRule="auto"/>
        <w:rPr>
          <w:rFonts w:ascii="Calibri" w:hAnsi="Calibri" w:cs="Calibri"/>
          <w:szCs w:val="24"/>
        </w:rPr>
      </w:pPr>
    </w:p>
    <w:p w14:paraId="60EC9B43" w14:textId="77777777" w:rsidR="002850D4" w:rsidRPr="00406EDB" w:rsidRDefault="002850D4" w:rsidP="002850D4">
      <w:pPr>
        <w:spacing w:line="480" w:lineRule="auto"/>
        <w:rPr>
          <w:rFonts w:ascii="Calibri" w:hAnsi="Calibri" w:cs="Calibri"/>
          <w:szCs w:val="24"/>
        </w:rPr>
      </w:pPr>
      <w:r w:rsidRPr="00406EDB">
        <w:rPr>
          <w:rFonts w:ascii="Calibri" w:hAnsi="Calibri" w:cs="Calibri"/>
          <w:szCs w:val="24"/>
        </w:rPr>
        <w:t>The high level of engagement also leads to reduction in turnover intentions, which is vital in an industry that experiences high turnover rates. Empirical research substantiates that employee engagement mediates the correlation among HRM practices and employee retention and service quality outcomes (Karatepe, 2013). These results support the strategic importance of engagement-based HRM systems in delivering sustainable hospitality performance.</w:t>
      </w:r>
    </w:p>
    <w:p w14:paraId="700D374C" w14:textId="77777777" w:rsidR="002850D4" w:rsidRPr="00406EDB" w:rsidRDefault="002850D4" w:rsidP="002850D4">
      <w:pPr>
        <w:spacing w:line="480" w:lineRule="auto"/>
        <w:rPr>
          <w:rFonts w:ascii="Calibri" w:hAnsi="Calibri" w:cs="Calibri"/>
          <w:b/>
          <w:bCs/>
          <w:szCs w:val="24"/>
        </w:rPr>
      </w:pPr>
    </w:p>
    <w:p w14:paraId="460F5645" w14:textId="77777777" w:rsidR="002850D4" w:rsidRPr="00406EDB" w:rsidRDefault="002850D4" w:rsidP="002850D4">
      <w:pPr>
        <w:spacing w:line="480" w:lineRule="auto"/>
        <w:rPr>
          <w:rFonts w:ascii="Calibri" w:hAnsi="Calibri" w:cs="Calibri"/>
          <w:b/>
          <w:bCs/>
          <w:szCs w:val="24"/>
        </w:rPr>
      </w:pPr>
      <w:r w:rsidRPr="00406EDB">
        <w:rPr>
          <w:rFonts w:ascii="Calibri" w:hAnsi="Calibri" w:cs="Calibri"/>
          <w:b/>
          <w:bCs/>
          <w:szCs w:val="24"/>
        </w:rPr>
        <w:t>Research Gaps and Future Directions</w:t>
      </w:r>
    </w:p>
    <w:p w14:paraId="556D720D" w14:textId="77777777" w:rsidR="002850D4" w:rsidRPr="00406EDB" w:rsidRDefault="002850D4" w:rsidP="002850D4">
      <w:pPr>
        <w:spacing w:line="480" w:lineRule="auto"/>
        <w:rPr>
          <w:rFonts w:ascii="Calibri" w:hAnsi="Calibri" w:cs="Calibri"/>
          <w:b/>
          <w:bCs/>
          <w:szCs w:val="24"/>
        </w:rPr>
      </w:pPr>
    </w:p>
    <w:p w14:paraId="79E84A4E" w14:textId="62BD4685" w:rsidR="005F18BA" w:rsidRPr="00406EDB" w:rsidRDefault="002850D4" w:rsidP="002850D4">
      <w:pPr>
        <w:spacing w:line="480" w:lineRule="auto"/>
        <w:rPr>
          <w:rFonts w:ascii="Calibri" w:hAnsi="Calibri" w:cs="Calibri"/>
          <w:szCs w:val="24"/>
        </w:rPr>
      </w:pPr>
      <w:r w:rsidRPr="00406EDB">
        <w:rPr>
          <w:rFonts w:ascii="Calibri" w:hAnsi="Calibri" w:cs="Calibri"/>
          <w:szCs w:val="24"/>
        </w:rPr>
        <w:t xml:space="preserve">Although much has been written about HRM and employee engagement, there are still gaps in the hospitality literature. </w:t>
      </w:r>
      <w:proofErr w:type="gramStart"/>
      <w:r w:rsidRPr="00406EDB">
        <w:rPr>
          <w:rFonts w:ascii="Calibri" w:hAnsi="Calibri" w:cs="Calibri"/>
          <w:szCs w:val="24"/>
        </w:rPr>
        <w:t>The majority of</w:t>
      </w:r>
      <w:proofErr w:type="gramEnd"/>
      <w:r w:rsidRPr="00406EDB">
        <w:rPr>
          <w:rFonts w:ascii="Calibri" w:hAnsi="Calibri" w:cs="Calibri"/>
          <w:szCs w:val="24"/>
        </w:rPr>
        <w:t xml:space="preserve"> studies are based on cross-sectional designs, which restrict causal conclusions about the relationship between HRM practices and engagement outcomes. Moreover, scarce studies examine how digital HRM systems and post-pandemic work arrangements affect employee engagement. Incorporating longitudinal and mixed-method design in future research works would be more effective to reflect the dynamicity of engagement in hospitality settings.</w:t>
      </w:r>
    </w:p>
    <w:p w14:paraId="778F037E" w14:textId="77777777" w:rsidR="005F18BA" w:rsidRPr="00406EDB" w:rsidRDefault="005F18BA" w:rsidP="00B03725">
      <w:pPr>
        <w:spacing w:line="480" w:lineRule="auto"/>
        <w:rPr>
          <w:rFonts w:ascii="Calibri" w:hAnsi="Calibri" w:cs="Calibri"/>
          <w:szCs w:val="24"/>
        </w:rPr>
      </w:pPr>
    </w:p>
    <w:p w14:paraId="4485FFA5" w14:textId="77777777" w:rsidR="005F18BA" w:rsidRPr="00406EDB" w:rsidRDefault="005F18BA" w:rsidP="00B03725">
      <w:pPr>
        <w:pStyle w:val="Heading1"/>
        <w:spacing w:line="480" w:lineRule="auto"/>
        <w:rPr>
          <w:rFonts w:ascii="Calibri" w:hAnsi="Calibri" w:cs="Calibri"/>
          <w:b/>
          <w:bCs/>
          <w:color w:val="auto"/>
          <w:sz w:val="24"/>
          <w:szCs w:val="24"/>
        </w:rPr>
      </w:pPr>
      <w:bookmarkStart w:id="3" w:name="_Toc220957853"/>
      <w:r w:rsidRPr="00406EDB">
        <w:rPr>
          <w:rFonts w:ascii="Calibri" w:hAnsi="Calibri" w:cs="Calibri"/>
          <w:b/>
          <w:bCs/>
          <w:color w:val="auto"/>
          <w:sz w:val="24"/>
          <w:szCs w:val="24"/>
        </w:rPr>
        <w:lastRenderedPageBreak/>
        <w:t>Methodology</w:t>
      </w:r>
      <w:bookmarkEnd w:id="3"/>
      <w:r w:rsidRPr="00406EDB">
        <w:rPr>
          <w:rFonts w:ascii="Calibri" w:hAnsi="Calibri" w:cs="Calibri"/>
          <w:b/>
          <w:bCs/>
          <w:color w:val="auto"/>
          <w:sz w:val="24"/>
          <w:szCs w:val="24"/>
        </w:rPr>
        <w:t xml:space="preserve"> </w:t>
      </w:r>
    </w:p>
    <w:p w14:paraId="63AD34FB" w14:textId="77777777" w:rsidR="005F18BA" w:rsidRPr="00406EDB" w:rsidRDefault="005F18BA" w:rsidP="00B03725">
      <w:pPr>
        <w:spacing w:line="480" w:lineRule="auto"/>
        <w:rPr>
          <w:rFonts w:ascii="Calibri" w:hAnsi="Calibri" w:cs="Calibri"/>
          <w:szCs w:val="24"/>
        </w:rPr>
      </w:pPr>
      <w:r w:rsidRPr="00406EDB">
        <w:rPr>
          <w:rFonts w:ascii="Calibri" w:hAnsi="Calibri" w:cs="Calibri"/>
          <w:szCs w:val="24"/>
        </w:rPr>
        <w:t xml:space="preserve">This study adopts a </w:t>
      </w:r>
      <w:r w:rsidRPr="00406EDB">
        <w:rPr>
          <w:rFonts w:ascii="Calibri" w:hAnsi="Calibri" w:cs="Calibri"/>
          <w:b/>
          <w:bCs/>
          <w:szCs w:val="24"/>
        </w:rPr>
        <w:t>qualitative research methodology</w:t>
      </w:r>
      <w:r w:rsidRPr="00406EDB">
        <w:rPr>
          <w:rFonts w:ascii="Calibri" w:hAnsi="Calibri" w:cs="Calibri"/>
          <w:szCs w:val="24"/>
        </w:rPr>
        <w:t xml:space="preserve"> based on </w:t>
      </w:r>
      <w:r w:rsidRPr="00406EDB">
        <w:rPr>
          <w:rFonts w:ascii="Calibri" w:hAnsi="Calibri" w:cs="Calibri"/>
          <w:b/>
          <w:bCs/>
          <w:szCs w:val="24"/>
        </w:rPr>
        <w:t>secondary data analysis</w:t>
      </w:r>
      <w:r w:rsidRPr="00406EDB">
        <w:rPr>
          <w:rFonts w:ascii="Calibri" w:hAnsi="Calibri" w:cs="Calibri"/>
          <w:szCs w:val="24"/>
        </w:rPr>
        <w:t xml:space="preserve"> to examine strategic organizational structures in hospitality businesses. A qualitative approach is appropriate because the research aims to develop a theoretical and analytical understanding of how different organizational structures influence decision-making, operational efficiency, employee </w:t>
      </w:r>
      <w:proofErr w:type="spellStart"/>
      <w:r w:rsidRPr="00406EDB">
        <w:rPr>
          <w:rFonts w:ascii="Calibri" w:hAnsi="Calibri" w:cs="Calibri"/>
          <w:szCs w:val="24"/>
        </w:rPr>
        <w:t>behavior</w:t>
      </w:r>
      <w:proofErr w:type="spellEnd"/>
      <w:r w:rsidRPr="00406EDB">
        <w:rPr>
          <w:rFonts w:ascii="Calibri" w:hAnsi="Calibri" w:cs="Calibri"/>
          <w:szCs w:val="24"/>
        </w:rPr>
        <w:t>, and service quality rather than to test hypotheses using numerical data (Saunders, Lewis and Thornhill, 2019). Hospitality organizations operate in complex and dynamic environments, making qualitative inquiry suitable for capturing contextual and strategic insights.</w:t>
      </w:r>
    </w:p>
    <w:p w14:paraId="06D66B70" w14:textId="77777777" w:rsidR="005F18BA" w:rsidRPr="00406EDB" w:rsidRDefault="005F18BA" w:rsidP="00B03725">
      <w:pPr>
        <w:spacing w:line="480" w:lineRule="auto"/>
        <w:rPr>
          <w:rFonts w:ascii="Calibri" w:hAnsi="Calibri" w:cs="Calibri"/>
          <w:szCs w:val="24"/>
        </w:rPr>
      </w:pPr>
      <w:r w:rsidRPr="00406EDB">
        <w:rPr>
          <w:rFonts w:ascii="Calibri" w:hAnsi="Calibri" w:cs="Calibri"/>
          <w:szCs w:val="24"/>
        </w:rPr>
        <w:t xml:space="preserve">Secondary data were collected from a range of </w:t>
      </w:r>
      <w:r w:rsidRPr="00406EDB">
        <w:rPr>
          <w:rFonts w:ascii="Calibri" w:hAnsi="Calibri" w:cs="Calibri"/>
          <w:b/>
          <w:bCs/>
          <w:szCs w:val="24"/>
        </w:rPr>
        <w:t>credible academic and professional sources</w:t>
      </w:r>
      <w:r w:rsidRPr="00406EDB">
        <w:rPr>
          <w:rFonts w:ascii="Calibri" w:hAnsi="Calibri" w:cs="Calibri"/>
          <w:szCs w:val="24"/>
        </w:rPr>
        <w:t>, including peer-reviewed journal articles, academic textbooks, industry reports, and reputable business publications. Key sources included literature on organizational theory, strategic management, and hospitality management to ensure strong theoretical grounding. Foundational theories such as contingency theory, structural configurations, and strategic alignment were used to frame the analysis (Chandler, 1962; Mintzberg, 1983). In addition, real-world examples from internationally recognized hospitality organizations were incorporated to demonstrate practical applications of theoretical concepts.</w:t>
      </w:r>
    </w:p>
    <w:p w14:paraId="6AE44A87" w14:textId="77777777" w:rsidR="005F18BA" w:rsidRPr="00406EDB" w:rsidRDefault="005F18BA" w:rsidP="00B03725">
      <w:pPr>
        <w:spacing w:line="480" w:lineRule="auto"/>
        <w:rPr>
          <w:rFonts w:ascii="Calibri" w:hAnsi="Calibri" w:cs="Calibri"/>
          <w:szCs w:val="24"/>
        </w:rPr>
      </w:pPr>
      <w:r w:rsidRPr="00406EDB">
        <w:rPr>
          <w:rFonts w:ascii="Calibri" w:hAnsi="Calibri" w:cs="Calibri"/>
          <w:szCs w:val="24"/>
        </w:rPr>
        <w:t xml:space="preserve">The data collection process followed a </w:t>
      </w:r>
      <w:r w:rsidRPr="00406EDB">
        <w:rPr>
          <w:rFonts w:ascii="Calibri" w:hAnsi="Calibri" w:cs="Calibri"/>
          <w:b/>
          <w:bCs/>
          <w:szCs w:val="24"/>
        </w:rPr>
        <w:t>systematic literature review approach</w:t>
      </w:r>
      <w:r w:rsidRPr="00406EDB">
        <w:rPr>
          <w:rFonts w:ascii="Calibri" w:hAnsi="Calibri" w:cs="Calibri"/>
          <w:szCs w:val="24"/>
        </w:rPr>
        <w:t xml:space="preserve">. Relevant keywords such as </w:t>
      </w:r>
      <w:r w:rsidRPr="00406EDB">
        <w:rPr>
          <w:rFonts w:ascii="Calibri" w:hAnsi="Calibri" w:cs="Calibri"/>
          <w:i/>
          <w:iCs/>
          <w:szCs w:val="24"/>
        </w:rPr>
        <w:t>organizational structure</w:t>
      </w:r>
      <w:r w:rsidRPr="00406EDB">
        <w:rPr>
          <w:rFonts w:ascii="Calibri" w:hAnsi="Calibri" w:cs="Calibri"/>
          <w:szCs w:val="24"/>
        </w:rPr>
        <w:t xml:space="preserve">, </w:t>
      </w:r>
      <w:r w:rsidRPr="00406EDB">
        <w:rPr>
          <w:rFonts w:ascii="Calibri" w:hAnsi="Calibri" w:cs="Calibri"/>
          <w:i/>
          <w:iCs/>
          <w:szCs w:val="24"/>
        </w:rPr>
        <w:t>hospitality management</w:t>
      </w:r>
      <w:r w:rsidRPr="00406EDB">
        <w:rPr>
          <w:rFonts w:ascii="Calibri" w:hAnsi="Calibri" w:cs="Calibri"/>
          <w:szCs w:val="24"/>
        </w:rPr>
        <w:t xml:space="preserve">, </w:t>
      </w:r>
      <w:r w:rsidRPr="00406EDB">
        <w:rPr>
          <w:rFonts w:ascii="Calibri" w:hAnsi="Calibri" w:cs="Calibri"/>
          <w:i/>
          <w:iCs/>
          <w:szCs w:val="24"/>
        </w:rPr>
        <w:t>hierarchical structure</w:t>
      </w:r>
      <w:r w:rsidRPr="00406EDB">
        <w:rPr>
          <w:rFonts w:ascii="Calibri" w:hAnsi="Calibri" w:cs="Calibri"/>
          <w:szCs w:val="24"/>
        </w:rPr>
        <w:t xml:space="preserve">, </w:t>
      </w:r>
      <w:r w:rsidRPr="00406EDB">
        <w:rPr>
          <w:rFonts w:ascii="Calibri" w:hAnsi="Calibri" w:cs="Calibri"/>
          <w:i/>
          <w:iCs/>
          <w:szCs w:val="24"/>
        </w:rPr>
        <w:t>flat organizations</w:t>
      </w:r>
      <w:r w:rsidRPr="00406EDB">
        <w:rPr>
          <w:rFonts w:ascii="Calibri" w:hAnsi="Calibri" w:cs="Calibri"/>
          <w:szCs w:val="24"/>
        </w:rPr>
        <w:t xml:space="preserve">, and </w:t>
      </w:r>
      <w:r w:rsidRPr="00406EDB">
        <w:rPr>
          <w:rFonts w:ascii="Calibri" w:hAnsi="Calibri" w:cs="Calibri"/>
          <w:i/>
          <w:iCs/>
          <w:szCs w:val="24"/>
        </w:rPr>
        <w:t>hybrid structures</w:t>
      </w:r>
      <w:r w:rsidRPr="00406EDB">
        <w:rPr>
          <w:rFonts w:ascii="Calibri" w:hAnsi="Calibri" w:cs="Calibri"/>
          <w:szCs w:val="24"/>
        </w:rPr>
        <w:t xml:space="preserve"> were used to identify appropriate sources. Selection criteria focused on relevance to the hospitality industry, academic credibility, and recency of publication </w:t>
      </w:r>
      <w:r w:rsidRPr="00406EDB">
        <w:rPr>
          <w:rFonts w:ascii="Calibri" w:hAnsi="Calibri" w:cs="Calibri"/>
          <w:szCs w:val="24"/>
        </w:rPr>
        <w:lastRenderedPageBreak/>
        <w:t>to ensure contemporary relevance. Older seminal works were included where necessary to support foundational theories.</w:t>
      </w:r>
    </w:p>
    <w:p w14:paraId="530C08A4" w14:textId="77777777" w:rsidR="005F18BA" w:rsidRPr="00406EDB" w:rsidRDefault="005F18BA" w:rsidP="00B03725">
      <w:pPr>
        <w:spacing w:line="480" w:lineRule="auto"/>
        <w:rPr>
          <w:rFonts w:ascii="Calibri" w:hAnsi="Calibri" w:cs="Calibri"/>
          <w:szCs w:val="24"/>
        </w:rPr>
      </w:pPr>
      <w:r w:rsidRPr="00406EDB">
        <w:rPr>
          <w:rFonts w:ascii="Calibri" w:hAnsi="Calibri" w:cs="Calibri"/>
          <w:szCs w:val="24"/>
        </w:rPr>
        <w:t xml:space="preserve">Data analysis involved a </w:t>
      </w:r>
      <w:r w:rsidRPr="00406EDB">
        <w:rPr>
          <w:rFonts w:ascii="Calibri" w:hAnsi="Calibri" w:cs="Calibri"/>
          <w:b/>
          <w:bCs/>
          <w:szCs w:val="24"/>
        </w:rPr>
        <w:t>thematic analysis</w:t>
      </w:r>
      <w:r w:rsidRPr="00406EDB">
        <w:rPr>
          <w:rFonts w:ascii="Calibri" w:hAnsi="Calibri" w:cs="Calibri"/>
          <w:szCs w:val="24"/>
        </w:rPr>
        <w:t xml:space="preserve">, whereby patterns and recurring themes related to organizational structure and performance were identified across the literature. Themes such as decision-making authority, communication flows, employee empowerment, operational efficiency, and service quality were </w:t>
      </w:r>
      <w:proofErr w:type="spellStart"/>
      <w:r w:rsidRPr="00406EDB">
        <w:rPr>
          <w:rFonts w:ascii="Calibri" w:hAnsi="Calibri" w:cs="Calibri"/>
          <w:szCs w:val="24"/>
        </w:rPr>
        <w:t>analyzed</w:t>
      </w:r>
      <w:proofErr w:type="spellEnd"/>
      <w:r w:rsidRPr="00406EDB">
        <w:rPr>
          <w:rFonts w:ascii="Calibri" w:hAnsi="Calibri" w:cs="Calibri"/>
          <w:szCs w:val="24"/>
        </w:rPr>
        <w:t xml:space="preserve"> and compared across different structural models. Case evidence from hospitality organizations was used to support and contextualize these themes, enhancing the practical relevance of the findings (Yin, 2018).</w:t>
      </w:r>
    </w:p>
    <w:p w14:paraId="0FB44F20" w14:textId="77777777" w:rsidR="005F18BA" w:rsidRPr="00406EDB" w:rsidRDefault="005F18BA" w:rsidP="00B03725">
      <w:pPr>
        <w:spacing w:line="480" w:lineRule="auto"/>
        <w:rPr>
          <w:rFonts w:ascii="Calibri" w:hAnsi="Calibri" w:cs="Calibri"/>
          <w:szCs w:val="24"/>
        </w:rPr>
      </w:pPr>
      <w:r w:rsidRPr="00406EDB">
        <w:rPr>
          <w:rFonts w:ascii="Calibri" w:hAnsi="Calibri" w:cs="Calibri"/>
          <w:szCs w:val="24"/>
        </w:rPr>
        <w:t>The use of secondary data offers several advantages, including access to a wide range of perspectives and established research findings. However, it also presents limitations, such as reliance on existing interpretations and the inability to capture organization-specific primary insights. To mitigate these limitations, the study draws from multiple sources and compares differing viewpoints to ensure balanced analysis and academic rigor.</w:t>
      </w:r>
    </w:p>
    <w:p w14:paraId="134C4669" w14:textId="77777777" w:rsidR="005F18BA" w:rsidRPr="00406EDB" w:rsidRDefault="005F18BA" w:rsidP="00B03725">
      <w:pPr>
        <w:spacing w:line="480" w:lineRule="auto"/>
        <w:rPr>
          <w:rFonts w:ascii="Calibri" w:hAnsi="Calibri" w:cs="Calibri"/>
          <w:szCs w:val="24"/>
        </w:rPr>
      </w:pPr>
      <w:r w:rsidRPr="00406EDB">
        <w:rPr>
          <w:rFonts w:ascii="Calibri" w:hAnsi="Calibri" w:cs="Calibri"/>
          <w:szCs w:val="24"/>
        </w:rPr>
        <w:t>Overall, the chosen methodology supports the research objectives by enabling a comprehensive examination of organizational structures within hospitality businesses while ensuring reliability, validity, and theoretical depth.</w:t>
      </w:r>
    </w:p>
    <w:p w14:paraId="7035DE11" w14:textId="77777777" w:rsidR="005F18BA" w:rsidRPr="00406EDB" w:rsidRDefault="005F18BA" w:rsidP="00B03725">
      <w:pPr>
        <w:spacing w:line="480" w:lineRule="auto"/>
        <w:jc w:val="center"/>
        <w:rPr>
          <w:rFonts w:ascii="Calibri" w:hAnsi="Calibri" w:cs="Calibri"/>
          <w:b/>
          <w:bCs/>
          <w:szCs w:val="24"/>
        </w:rPr>
      </w:pPr>
    </w:p>
    <w:p w14:paraId="0B0D49E8" w14:textId="77777777" w:rsidR="00A520B4" w:rsidRPr="00406EDB" w:rsidRDefault="00A520B4" w:rsidP="00B03725">
      <w:pPr>
        <w:spacing w:line="480" w:lineRule="auto"/>
        <w:jc w:val="center"/>
        <w:rPr>
          <w:rFonts w:ascii="Calibri" w:hAnsi="Calibri" w:cs="Calibri"/>
          <w:b/>
          <w:bCs/>
          <w:szCs w:val="24"/>
        </w:rPr>
      </w:pPr>
    </w:p>
    <w:p w14:paraId="5D952DA8" w14:textId="77777777" w:rsidR="005F18BA" w:rsidRPr="00406EDB" w:rsidRDefault="005F18BA" w:rsidP="00B03725">
      <w:pPr>
        <w:pStyle w:val="Heading1"/>
        <w:spacing w:line="480" w:lineRule="auto"/>
        <w:rPr>
          <w:rFonts w:ascii="Calibri" w:hAnsi="Calibri" w:cs="Calibri"/>
          <w:b/>
          <w:bCs/>
          <w:color w:val="auto"/>
          <w:sz w:val="24"/>
          <w:szCs w:val="24"/>
        </w:rPr>
      </w:pPr>
      <w:bookmarkStart w:id="4" w:name="_Toc220957854"/>
      <w:r w:rsidRPr="00406EDB">
        <w:rPr>
          <w:rFonts w:ascii="Calibri" w:hAnsi="Calibri" w:cs="Calibri"/>
          <w:b/>
          <w:bCs/>
          <w:color w:val="auto"/>
          <w:sz w:val="24"/>
          <w:szCs w:val="24"/>
        </w:rPr>
        <w:lastRenderedPageBreak/>
        <w:t>Findings</w:t>
      </w:r>
      <w:bookmarkEnd w:id="4"/>
      <w:r w:rsidRPr="00406EDB">
        <w:rPr>
          <w:rFonts w:ascii="Calibri" w:hAnsi="Calibri" w:cs="Calibri"/>
          <w:b/>
          <w:bCs/>
          <w:color w:val="auto"/>
          <w:sz w:val="24"/>
          <w:szCs w:val="24"/>
        </w:rPr>
        <w:t xml:space="preserve"> </w:t>
      </w:r>
    </w:p>
    <w:p w14:paraId="34D55448" w14:textId="116D8BE3" w:rsidR="00A520B4" w:rsidRPr="00406EDB" w:rsidRDefault="00A520B4" w:rsidP="00A520B4">
      <w:pPr>
        <w:pStyle w:val="Heading1"/>
        <w:spacing w:line="480" w:lineRule="auto"/>
        <w:rPr>
          <w:rFonts w:ascii="Calibri" w:eastAsiaTheme="minorHAnsi" w:hAnsi="Calibri" w:cs="Calibri"/>
          <w:color w:val="auto"/>
          <w:sz w:val="24"/>
          <w:szCs w:val="24"/>
        </w:rPr>
      </w:pPr>
      <w:bookmarkStart w:id="5" w:name="_Toc220957855"/>
      <w:r w:rsidRPr="00406EDB">
        <w:rPr>
          <w:rFonts w:ascii="Calibri" w:eastAsiaTheme="minorHAnsi" w:hAnsi="Calibri" w:cs="Calibri"/>
          <w:color w:val="auto"/>
          <w:sz w:val="24"/>
          <w:szCs w:val="24"/>
        </w:rPr>
        <w:t>1. HRM Practices: Major Movers of Employee Engagement.</w:t>
      </w:r>
    </w:p>
    <w:p w14:paraId="1A47C147" w14:textId="01CF86A8" w:rsidR="00A520B4" w:rsidRPr="00406EDB" w:rsidRDefault="00A520B4" w:rsidP="00A520B4">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 xml:space="preserve">Existing literature and hospitality case evidence analysis have shown that Human Resource Management (HRM) practices are a determining factor when it comes to employee engagement levels. One of the most effective practices in HRM is training and development. Results show that employees in hotels that are engaged in continuous training are more confident, service-oriented, and emotionally committed to their employers. Training improves technical and interpersonal </w:t>
      </w:r>
      <w:proofErr w:type="gramStart"/>
      <w:r w:rsidRPr="00406EDB">
        <w:rPr>
          <w:rFonts w:ascii="Calibri" w:eastAsiaTheme="minorHAnsi" w:hAnsi="Calibri" w:cs="Calibri"/>
          <w:color w:val="auto"/>
          <w:sz w:val="24"/>
          <w:szCs w:val="24"/>
        </w:rPr>
        <w:t>skills, and</w:t>
      </w:r>
      <w:proofErr w:type="gramEnd"/>
      <w:r w:rsidRPr="00406EDB">
        <w:rPr>
          <w:rFonts w:ascii="Calibri" w:eastAsiaTheme="minorHAnsi" w:hAnsi="Calibri" w:cs="Calibri"/>
          <w:color w:val="auto"/>
          <w:sz w:val="24"/>
          <w:szCs w:val="24"/>
        </w:rPr>
        <w:t xml:space="preserve"> is a marker of an investment in employees by the organization, which strengthens a sense of worthiness and inclusion. Consequently, the likelihood of employees exhibiting discretionary effort and proactive service </w:t>
      </w:r>
      <w:proofErr w:type="spellStart"/>
      <w:r w:rsidRPr="00406EDB">
        <w:rPr>
          <w:rFonts w:ascii="Calibri" w:eastAsiaTheme="minorHAnsi" w:hAnsi="Calibri" w:cs="Calibri"/>
          <w:color w:val="auto"/>
          <w:sz w:val="24"/>
          <w:szCs w:val="24"/>
        </w:rPr>
        <w:t>behaviors</w:t>
      </w:r>
      <w:proofErr w:type="spellEnd"/>
      <w:r w:rsidRPr="00406EDB">
        <w:rPr>
          <w:rFonts w:ascii="Calibri" w:eastAsiaTheme="minorHAnsi" w:hAnsi="Calibri" w:cs="Calibri"/>
          <w:color w:val="auto"/>
          <w:sz w:val="24"/>
          <w:szCs w:val="24"/>
        </w:rPr>
        <w:t xml:space="preserve"> increases.</w:t>
      </w:r>
    </w:p>
    <w:p w14:paraId="4DCE8B0C" w14:textId="77777777" w:rsidR="00A520B4" w:rsidRPr="00406EDB" w:rsidRDefault="00A520B4" w:rsidP="00A520B4">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Engagement results are also highly impacted by performance management systems. Open appraisal systems that emphasize developmental feedback over punitive evaluation enhance trust and motivation. The results indicate that, when hospitality employees have clear performance expectations and constructive feedback, they are more engaged and ready to adjust their efforts in line with organizational goals. On the other hand, ineffective or inconsistent appraisal systems have been known to create a perception of unfairness that results in disengagement and dissatisfaction.</w:t>
      </w:r>
    </w:p>
    <w:p w14:paraId="07B9256D" w14:textId="77777777" w:rsidR="00A520B4" w:rsidRPr="00406EDB" w:rsidRDefault="00A520B4" w:rsidP="00A520B4">
      <w:pPr>
        <w:pStyle w:val="Heading1"/>
        <w:spacing w:line="480" w:lineRule="auto"/>
        <w:rPr>
          <w:rFonts w:ascii="Calibri" w:eastAsiaTheme="minorHAnsi" w:hAnsi="Calibri" w:cs="Calibri"/>
          <w:color w:val="auto"/>
          <w:sz w:val="24"/>
          <w:szCs w:val="24"/>
        </w:rPr>
      </w:pPr>
    </w:p>
    <w:p w14:paraId="2189A697" w14:textId="6E79FD0B" w:rsidR="00A520B4" w:rsidRPr="00406EDB" w:rsidRDefault="00A520B4" w:rsidP="00A520B4">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lastRenderedPageBreak/>
        <w:t xml:space="preserve">Opportunities in career development also enhance employee engagement as long-term needs in motivation are met. The evaluation points out that hospitality organizations with explicit promotion channels, mentoring initiatives, and internal mobility chances have fewer turnover intentions among staff. Employees that feel they have prospects on career growth will be more inclined to show commitment to the organization and long-term interest, lowering the high turnover rates that </w:t>
      </w:r>
      <w:r w:rsidR="00B555AE" w:rsidRPr="00406EDB">
        <w:rPr>
          <w:rFonts w:ascii="Calibri" w:eastAsiaTheme="minorHAnsi" w:hAnsi="Calibri" w:cs="Calibri"/>
          <w:color w:val="auto"/>
          <w:sz w:val="24"/>
          <w:szCs w:val="24"/>
        </w:rPr>
        <w:t>have been</w:t>
      </w:r>
      <w:r w:rsidRPr="00406EDB">
        <w:rPr>
          <w:rFonts w:ascii="Calibri" w:eastAsiaTheme="minorHAnsi" w:hAnsi="Calibri" w:cs="Calibri"/>
          <w:color w:val="auto"/>
          <w:sz w:val="24"/>
          <w:szCs w:val="24"/>
        </w:rPr>
        <w:t xml:space="preserve"> characteristic of the hospitality industry.</w:t>
      </w:r>
    </w:p>
    <w:p w14:paraId="0835B872" w14:textId="646E9824" w:rsidR="00A520B4" w:rsidRPr="00406EDB" w:rsidRDefault="00A520B4" w:rsidP="00A520B4">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2. Leadership Styles and Their Impact on Engagement.</w:t>
      </w:r>
    </w:p>
    <w:p w14:paraId="43DE5AB1" w14:textId="58ED786B" w:rsidR="00A520B4" w:rsidRPr="00406EDB" w:rsidRDefault="00A520B4" w:rsidP="00A520B4">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The style of leadership has been identified as a key contextual variable influencing the effectiveness of HRM practices. The results regularly indicate that transformational and supportive leadership styles are positively associated with worker engagement in the hospitality industry. By sharing a clear vision, offering personalized support, and encouraging staff participation, leaders can build psychologically safe workplaces that support trust and involvement.</w:t>
      </w:r>
    </w:p>
    <w:p w14:paraId="65AFE2E4" w14:textId="25C3D27C" w:rsidR="00A520B4" w:rsidRPr="00406EDB" w:rsidRDefault="00A520B4" w:rsidP="00A520B4">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 xml:space="preserve">Conversely, more autocratic and over- transactional leadership styles are linked with increased emotional exhaustion and dissociation. When hospitality employees are subjected to strict supervisorial frameworks, they tend to have less freedom and more stress, which adversely impacts service quality and morale. Based on the analysis, the leadership </w:t>
      </w:r>
      <w:proofErr w:type="spellStart"/>
      <w:r w:rsidRPr="00406EDB">
        <w:rPr>
          <w:rFonts w:ascii="Calibri" w:eastAsiaTheme="minorHAnsi" w:hAnsi="Calibri" w:cs="Calibri"/>
          <w:color w:val="auto"/>
          <w:sz w:val="24"/>
          <w:szCs w:val="24"/>
        </w:rPr>
        <w:t>behavior</w:t>
      </w:r>
      <w:proofErr w:type="spellEnd"/>
      <w:r w:rsidRPr="00406EDB">
        <w:rPr>
          <w:rFonts w:ascii="Calibri" w:eastAsiaTheme="minorHAnsi" w:hAnsi="Calibri" w:cs="Calibri"/>
          <w:color w:val="auto"/>
          <w:sz w:val="24"/>
          <w:szCs w:val="24"/>
        </w:rPr>
        <w:t xml:space="preserve"> may strengthen or weaken the influence of HRM practice, which underscores the necessity of leadership development as part of engagement-oriented HR strategies.</w:t>
      </w:r>
    </w:p>
    <w:p w14:paraId="27A02C02" w14:textId="77777777" w:rsidR="00A520B4" w:rsidRPr="00406EDB" w:rsidRDefault="00A520B4" w:rsidP="00A520B4">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lastRenderedPageBreak/>
        <w:t xml:space="preserve">Servant leadership also stands out as one form of leadership that is especially effective within hospitality organizations. Servant leaders can improve relational connections and increase the sense of purpose in employees by focusing on employee well-being and ethical </w:t>
      </w:r>
      <w:proofErr w:type="spellStart"/>
      <w:r w:rsidRPr="00406EDB">
        <w:rPr>
          <w:rFonts w:ascii="Calibri" w:eastAsiaTheme="minorHAnsi" w:hAnsi="Calibri" w:cs="Calibri"/>
          <w:color w:val="auto"/>
          <w:sz w:val="24"/>
          <w:szCs w:val="24"/>
        </w:rPr>
        <w:t>behavior</w:t>
      </w:r>
      <w:proofErr w:type="spellEnd"/>
      <w:r w:rsidRPr="00406EDB">
        <w:rPr>
          <w:rFonts w:ascii="Calibri" w:eastAsiaTheme="minorHAnsi" w:hAnsi="Calibri" w:cs="Calibri"/>
          <w:color w:val="auto"/>
          <w:sz w:val="24"/>
          <w:szCs w:val="24"/>
        </w:rPr>
        <w:t xml:space="preserve">. This leadership style is particularly applicable </w:t>
      </w:r>
      <w:proofErr w:type="gramStart"/>
      <w:r w:rsidRPr="00406EDB">
        <w:rPr>
          <w:rFonts w:ascii="Calibri" w:eastAsiaTheme="minorHAnsi" w:hAnsi="Calibri" w:cs="Calibri"/>
          <w:color w:val="auto"/>
          <w:sz w:val="24"/>
          <w:szCs w:val="24"/>
        </w:rPr>
        <w:t>in service</w:t>
      </w:r>
      <w:proofErr w:type="gramEnd"/>
      <w:r w:rsidRPr="00406EDB">
        <w:rPr>
          <w:rFonts w:ascii="Calibri" w:eastAsiaTheme="minorHAnsi" w:hAnsi="Calibri" w:cs="Calibri"/>
          <w:color w:val="auto"/>
          <w:sz w:val="24"/>
          <w:szCs w:val="24"/>
        </w:rPr>
        <w:t xml:space="preserve"> setups where emotional work and interpersonal dynamics are key determinants of performance.</w:t>
      </w:r>
    </w:p>
    <w:p w14:paraId="46C500C6" w14:textId="77777777" w:rsidR="00A520B4" w:rsidRPr="00406EDB" w:rsidRDefault="00A520B4" w:rsidP="00A520B4">
      <w:pPr>
        <w:pStyle w:val="Heading1"/>
        <w:spacing w:line="480" w:lineRule="auto"/>
        <w:rPr>
          <w:rFonts w:ascii="Calibri" w:eastAsiaTheme="minorHAnsi" w:hAnsi="Calibri" w:cs="Calibri"/>
          <w:color w:val="auto"/>
          <w:sz w:val="24"/>
          <w:szCs w:val="24"/>
        </w:rPr>
      </w:pPr>
    </w:p>
    <w:p w14:paraId="4A443108" w14:textId="29319097" w:rsidR="00A520B4" w:rsidRPr="00406EDB" w:rsidRDefault="00A520B4" w:rsidP="00A520B4">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3. Outcomes of employee well-being and engagement.</w:t>
      </w:r>
    </w:p>
    <w:p w14:paraId="3D7272A9" w14:textId="300AB4B8" w:rsidR="00A520B4" w:rsidRPr="00406EDB" w:rsidRDefault="00A520B4" w:rsidP="00A520B4">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Employee well-being is cited as a core predictor of engagement in hospitality organizations. The results reveal that high job demands, which include long hours, off-hourly shifts, and emotional work, create severe threats to the health and engagement of employees. Employees are more vulnerable to burnout, absenteeism, and disengagement when these demands are not well addressed.</w:t>
      </w:r>
    </w:p>
    <w:p w14:paraId="6CEFB2BE" w14:textId="5471E27D" w:rsidR="00A520B4" w:rsidRPr="00406EDB" w:rsidRDefault="00A520B4" w:rsidP="00A520B4">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Nonetheless, hospitality organizations with well-being-oriented HRM practices exhibit much greater levels of engagement. Flexible work hours, mental health, workload management, and inclusive workplace policies can help improve psychological and emotional health. This analysis demonstrates that employees who feel that the organization cares about their well-being are more resilient, motivated, and committed to providing high-quality service.</w:t>
      </w:r>
    </w:p>
    <w:p w14:paraId="6CF002DE" w14:textId="11DFDEC5" w:rsidR="00A520B4" w:rsidRPr="00406EDB" w:rsidRDefault="00A520B4" w:rsidP="00A520B4">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lastRenderedPageBreak/>
        <w:t>Moreover, work-life balance policies are proven to be especially effective in decreasing stress and increasing engagement. Since non-standard working hours are common in hospitality jobs, they are flexible so that employees can be able to balance their personal lives and still perform professionally. This balance encourages long-term interest and minimizes turnover intentions.</w:t>
      </w:r>
    </w:p>
    <w:p w14:paraId="0F36B76F" w14:textId="6D84C406" w:rsidR="00A520B4" w:rsidRPr="00406EDB" w:rsidRDefault="00A520B4" w:rsidP="00A520B4">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4. The Effect of Employee Engagement on Organizational Performance.</w:t>
      </w:r>
    </w:p>
    <w:p w14:paraId="2FE6B59F" w14:textId="58E63082" w:rsidR="00A520B4" w:rsidRPr="00406EDB" w:rsidRDefault="00A520B4" w:rsidP="00A520B4">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 xml:space="preserve">The results firmly confirm the correlation between employee engagement and critical organizational performance in the hotel sector. Employees who are engaged are always more customer-oriented, resulting in better customer satisfaction and loyalty. </w:t>
      </w:r>
      <w:proofErr w:type="spellStart"/>
      <w:r w:rsidRPr="00406EDB">
        <w:rPr>
          <w:rFonts w:ascii="Calibri" w:eastAsiaTheme="minorHAnsi" w:hAnsi="Calibri" w:cs="Calibri"/>
          <w:color w:val="auto"/>
          <w:sz w:val="24"/>
          <w:szCs w:val="24"/>
        </w:rPr>
        <w:t>Favorable</w:t>
      </w:r>
      <w:proofErr w:type="spellEnd"/>
      <w:r w:rsidRPr="00406EDB">
        <w:rPr>
          <w:rFonts w:ascii="Calibri" w:eastAsiaTheme="minorHAnsi" w:hAnsi="Calibri" w:cs="Calibri"/>
          <w:color w:val="auto"/>
          <w:sz w:val="24"/>
          <w:szCs w:val="24"/>
        </w:rPr>
        <w:t xml:space="preserve"> employee attitudes lead to more personalized service, quicker service recovery, and improved guest experiences.</w:t>
      </w:r>
    </w:p>
    <w:p w14:paraId="40D25101" w14:textId="77777777" w:rsidR="00A520B4" w:rsidRPr="00406EDB" w:rsidRDefault="00A520B4" w:rsidP="00A520B4">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Employee engagement also positively impacts operational efficiency. Employees who are engaged are more observant, cooperative, and active in pointing out service enhancements and reducing errors. This helps to streamline operations, decrease service failures, enhance organizational reputation. The analysis also shows that employee engagement is a mediating variable between HRM practices and organizational performance, which supports the strategic importance of engagement-oriented HRM systems.</w:t>
      </w:r>
    </w:p>
    <w:p w14:paraId="5F7A6EB3" w14:textId="77777777" w:rsidR="00A520B4" w:rsidRPr="00406EDB" w:rsidRDefault="00A520B4" w:rsidP="00A520B4">
      <w:pPr>
        <w:pStyle w:val="Heading1"/>
        <w:spacing w:line="480" w:lineRule="auto"/>
        <w:rPr>
          <w:rFonts w:ascii="Calibri" w:eastAsiaTheme="minorHAnsi" w:hAnsi="Calibri" w:cs="Calibri"/>
          <w:color w:val="auto"/>
          <w:sz w:val="24"/>
          <w:szCs w:val="24"/>
        </w:rPr>
      </w:pPr>
    </w:p>
    <w:p w14:paraId="4ADFF484" w14:textId="19610BD9" w:rsidR="00A520B4" w:rsidRPr="00406EDB" w:rsidRDefault="00A520B4" w:rsidP="00A520B4">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lastRenderedPageBreak/>
        <w:t>Moreover, the connection between engagement and employee retention is especially strong. The more engaged hospitality organizations have lower voluntary turnover, which saves on recruitment and training expenses. This stability allows organizations to retain service consistency and institutional knowledge which are key to long time success in competitive hospitality markets.</w:t>
      </w:r>
    </w:p>
    <w:p w14:paraId="7A4B1566" w14:textId="0429F69A" w:rsidR="00A520B4" w:rsidRPr="00406EDB" w:rsidRDefault="00A520B4" w:rsidP="00A520B4">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5. HRM Strategies and Hospitality Industry Goals.</w:t>
      </w:r>
    </w:p>
    <w:p w14:paraId="447145B1" w14:textId="6DF8FDB5" w:rsidR="00A520B4" w:rsidRPr="00406EDB" w:rsidRDefault="00A520B4" w:rsidP="00A520B4">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The discussion shows that effective HRM practices should be tightly integrated with the main goals of the hospitality industry, such as service excellence, guest satisfaction, and operational efficiency. HRM practices that are engagement-driven contribute to these objectives through the creation of a motivated and service-oriented workforce. When HRM strategy is combined with business objectives, organizations can attain sustainable competitive advantage.</w:t>
      </w:r>
    </w:p>
    <w:p w14:paraId="4AE31D16" w14:textId="77777777" w:rsidR="00A520B4" w:rsidRPr="00406EDB" w:rsidRDefault="00A520B4" w:rsidP="00A520B4">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The results highlight the value of considering employee engagement as a long-term strategic investment instead of a short-term HR project. Hospitality organizations that incorporate engagement within their organizational culture and leadership philosophy lead to better performance results than organizations that adopt cost-based or compliance-based HR strategies.</w:t>
      </w:r>
    </w:p>
    <w:p w14:paraId="7436F109" w14:textId="77777777" w:rsidR="00A520B4" w:rsidRPr="00406EDB" w:rsidRDefault="00A520B4" w:rsidP="00A520B4">
      <w:pPr>
        <w:pStyle w:val="Heading1"/>
        <w:spacing w:line="480" w:lineRule="auto"/>
        <w:rPr>
          <w:rFonts w:ascii="Calibri" w:eastAsiaTheme="minorHAnsi" w:hAnsi="Calibri" w:cs="Calibri"/>
          <w:color w:val="auto"/>
          <w:sz w:val="24"/>
          <w:szCs w:val="24"/>
        </w:rPr>
      </w:pPr>
    </w:p>
    <w:p w14:paraId="2D177317" w14:textId="77777777" w:rsidR="00A520B4" w:rsidRPr="00406EDB" w:rsidRDefault="00A520B4" w:rsidP="00A520B4">
      <w:pPr>
        <w:pStyle w:val="Heading1"/>
        <w:spacing w:line="480" w:lineRule="auto"/>
        <w:rPr>
          <w:rFonts w:ascii="Calibri" w:eastAsiaTheme="minorHAnsi" w:hAnsi="Calibri" w:cs="Calibri"/>
          <w:color w:val="auto"/>
          <w:sz w:val="24"/>
          <w:szCs w:val="24"/>
        </w:rPr>
      </w:pPr>
    </w:p>
    <w:p w14:paraId="7ED9B19B" w14:textId="77777777" w:rsidR="008E0E9E" w:rsidRPr="00406EDB" w:rsidRDefault="008E0E9E" w:rsidP="008E0E9E">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lastRenderedPageBreak/>
        <w:t xml:space="preserve">Case Studies: Best practices in employee engagement at major hospitality organizations. </w:t>
      </w:r>
    </w:p>
    <w:p w14:paraId="007F9048" w14:textId="77777777" w:rsidR="008E0E9E" w:rsidRPr="00406EDB" w:rsidRDefault="008E0E9E" w:rsidP="008E0E9E">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Four Seasons Hotels and Resorts.</w:t>
      </w:r>
    </w:p>
    <w:p w14:paraId="38CECF22" w14:textId="77777777" w:rsidR="008E0E9E" w:rsidRPr="00406EDB" w:rsidRDefault="008E0E9E" w:rsidP="008E0E9E">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Four Seasons Hotels and Resorts is well known due to its people oriented organizational culture and heavy focus on employee engagement as a cornerstone of service excellence. This philosophy of HRM of the company is also based on the idea that it is only through engaged and motivated employees that it can provide excellent guest experiences. The continuous training and empowerment of employees is one of the most unique characteristics of Four Seasons HRM strategy. Employees go through robust onboarding and continuous service training programs that are more technical but also address emotional intelligence, communication, and personalized guest interaction.</w:t>
      </w:r>
    </w:p>
    <w:p w14:paraId="70ED0EEF" w14:textId="77777777" w:rsidR="008E0E9E" w:rsidRPr="00406EDB" w:rsidRDefault="008E0E9E" w:rsidP="008E0E9E">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 xml:space="preserve">The performance management system at this organization focuses on developmental feedback as opposed to strict evaluation. The employees are motivated to consider their service </w:t>
      </w:r>
      <w:proofErr w:type="spellStart"/>
      <w:r w:rsidRPr="00406EDB">
        <w:rPr>
          <w:rFonts w:ascii="Calibri" w:eastAsiaTheme="minorHAnsi" w:hAnsi="Calibri" w:cs="Calibri"/>
          <w:color w:val="auto"/>
          <w:sz w:val="24"/>
          <w:szCs w:val="24"/>
        </w:rPr>
        <w:t>behaviors</w:t>
      </w:r>
      <w:proofErr w:type="spellEnd"/>
      <w:r w:rsidRPr="00406EDB">
        <w:rPr>
          <w:rFonts w:ascii="Calibri" w:eastAsiaTheme="minorHAnsi" w:hAnsi="Calibri" w:cs="Calibri"/>
          <w:color w:val="auto"/>
          <w:sz w:val="24"/>
          <w:szCs w:val="24"/>
        </w:rPr>
        <w:t xml:space="preserve"> and involve themselves in performance discussions, a factor that also creates a sense of ownership and accountability. This strategy is consistent with engagement theories that indicate that meaningful feedback and autonomy boost intrinsic motivation. Moreover, Four Seasons has encouraged internal career mobility, which provides employees with the chance to advance across properties and positions, thereby enhancing long-term engagement and decreasing turnover.</w:t>
      </w:r>
    </w:p>
    <w:p w14:paraId="5162EC59" w14:textId="77777777" w:rsidR="008E0E9E" w:rsidRPr="00406EDB" w:rsidRDefault="008E0E9E" w:rsidP="008E0E9E">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lastRenderedPageBreak/>
        <w:t xml:space="preserve">The role of leadership at Four Seasons is vital in strengthening engagement. Training of managers is designed to incorporate supportive and transformational leadership styles, with emphasis on employee welfare and recognition. Regular employee feedback systems (engagement surveys, open communication forums, etc.) allow the management to act on employee concerns proactively. Consequently, employee satisfaction and loyalty levels among employees in Four Seasons are always high, reflecting directly in the quality of service provided and satisfaction among guests. This case shows how oneness of HRM practices, leadership </w:t>
      </w:r>
      <w:proofErr w:type="spellStart"/>
      <w:r w:rsidRPr="00406EDB">
        <w:rPr>
          <w:rFonts w:ascii="Calibri" w:eastAsiaTheme="minorHAnsi" w:hAnsi="Calibri" w:cs="Calibri"/>
          <w:color w:val="auto"/>
          <w:sz w:val="24"/>
          <w:szCs w:val="24"/>
        </w:rPr>
        <w:t>behavior</w:t>
      </w:r>
      <w:proofErr w:type="spellEnd"/>
      <w:r w:rsidRPr="00406EDB">
        <w:rPr>
          <w:rFonts w:ascii="Calibri" w:eastAsiaTheme="minorHAnsi" w:hAnsi="Calibri" w:cs="Calibri"/>
          <w:color w:val="auto"/>
          <w:sz w:val="24"/>
          <w:szCs w:val="24"/>
        </w:rPr>
        <w:t xml:space="preserve">, and organizational values can produce a sustainable culture of </w:t>
      </w:r>
      <w:proofErr w:type="spellStart"/>
      <w:r w:rsidRPr="00406EDB">
        <w:rPr>
          <w:rFonts w:ascii="Calibri" w:eastAsiaTheme="minorHAnsi" w:hAnsi="Calibri" w:cs="Calibri"/>
          <w:color w:val="auto"/>
          <w:sz w:val="24"/>
          <w:szCs w:val="24"/>
        </w:rPr>
        <w:t>hosstility</w:t>
      </w:r>
      <w:proofErr w:type="spellEnd"/>
      <w:r w:rsidRPr="00406EDB">
        <w:rPr>
          <w:rFonts w:ascii="Calibri" w:eastAsiaTheme="minorHAnsi" w:hAnsi="Calibri" w:cs="Calibri"/>
          <w:color w:val="auto"/>
          <w:sz w:val="24"/>
          <w:szCs w:val="24"/>
        </w:rPr>
        <w:t xml:space="preserve"> engagement.</w:t>
      </w:r>
    </w:p>
    <w:p w14:paraId="5B11E02E" w14:textId="77777777" w:rsidR="008E0E9E" w:rsidRPr="00406EDB" w:rsidRDefault="008E0E9E" w:rsidP="008E0E9E">
      <w:pPr>
        <w:pStyle w:val="Heading1"/>
        <w:spacing w:line="480" w:lineRule="auto"/>
        <w:rPr>
          <w:rFonts w:ascii="Calibri" w:eastAsiaTheme="minorHAnsi" w:hAnsi="Calibri" w:cs="Calibri"/>
          <w:color w:val="auto"/>
          <w:sz w:val="24"/>
          <w:szCs w:val="24"/>
        </w:rPr>
      </w:pPr>
    </w:p>
    <w:p w14:paraId="57D23A59" w14:textId="77777777" w:rsidR="008E0E9E" w:rsidRPr="00406EDB" w:rsidRDefault="008E0E9E" w:rsidP="008E0E9E">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Ritz-Carlton Hotel Company</w:t>
      </w:r>
    </w:p>
    <w:p w14:paraId="371548EA" w14:textId="77777777" w:rsidR="008E0E9E" w:rsidRPr="00406EDB" w:rsidRDefault="008E0E9E" w:rsidP="008E0E9E">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With its disruptively firm culture of service, Ritz-Carlton Hotel Company enjoys international recognition because of its HRM and employee engagement strategies. At the core of Ritz-Carlton strategy is an understanding that engaged employees are the key drivers of outstanding service delivery. HRM system in the organization focuses on stringent selection procedures to guarantee cultural fit, and thorough training programs aimed at instilling service excellence principles.</w:t>
      </w:r>
    </w:p>
    <w:p w14:paraId="469B1804" w14:textId="77777777" w:rsidR="008E0E9E" w:rsidRPr="00406EDB" w:rsidRDefault="008E0E9E" w:rsidP="008E0E9E">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lastRenderedPageBreak/>
        <w:t xml:space="preserve">Another engagement gift at Ritz-Carlton is its empowerment policy, which empowers frontline employees to address guest issues on their own, within a designated scope. Such trust builds responsibility and psychological ownership in employees, which are critical elements of engagement. Employees feel important and at ease with their jobs, and this has a positive bearing on their commitment and service </w:t>
      </w:r>
      <w:proofErr w:type="spellStart"/>
      <w:r w:rsidRPr="00406EDB">
        <w:rPr>
          <w:rFonts w:ascii="Calibri" w:eastAsiaTheme="minorHAnsi" w:hAnsi="Calibri" w:cs="Calibri"/>
          <w:color w:val="auto"/>
          <w:sz w:val="24"/>
          <w:szCs w:val="24"/>
        </w:rPr>
        <w:t>behaviors</w:t>
      </w:r>
      <w:proofErr w:type="spellEnd"/>
      <w:r w:rsidRPr="00406EDB">
        <w:rPr>
          <w:rFonts w:ascii="Calibri" w:eastAsiaTheme="minorHAnsi" w:hAnsi="Calibri" w:cs="Calibri"/>
          <w:color w:val="auto"/>
          <w:sz w:val="24"/>
          <w:szCs w:val="24"/>
        </w:rPr>
        <w:t>.</w:t>
      </w:r>
    </w:p>
    <w:p w14:paraId="46F53795" w14:textId="77777777" w:rsidR="008E0E9E" w:rsidRPr="00406EDB" w:rsidRDefault="008E0E9E" w:rsidP="008E0E9E">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 xml:space="preserve">Ritz-Carlton also </w:t>
      </w:r>
      <w:proofErr w:type="spellStart"/>
      <w:r w:rsidRPr="00406EDB">
        <w:rPr>
          <w:rFonts w:ascii="Calibri" w:eastAsiaTheme="minorHAnsi" w:hAnsi="Calibri" w:cs="Calibri"/>
          <w:color w:val="auto"/>
          <w:sz w:val="24"/>
          <w:szCs w:val="24"/>
        </w:rPr>
        <w:t>lays</w:t>
      </w:r>
      <w:proofErr w:type="spellEnd"/>
      <w:r w:rsidRPr="00406EDB">
        <w:rPr>
          <w:rFonts w:ascii="Calibri" w:eastAsiaTheme="minorHAnsi" w:hAnsi="Calibri" w:cs="Calibri"/>
          <w:color w:val="auto"/>
          <w:sz w:val="24"/>
          <w:szCs w:val="24"/>
        </w:rPr>
        <w:t xml:space="preserve"> an important stress on recognition and rewards. Line-ups are daily team briefings that help to reinforce organizational values and commemorate employee contributions. Such practices create a sense of unity among employees in purpose and belonging. Ritz-Carlton bases its performance management systems on service quality standards and ensures that employee effort is directly connected to the organizational goals.</w:t>
      </w:r>
    </w:p>
    <w:p w14:paraId="486218B5" w14:textId="77777777" w:rsidR="008E0E9E" w:rsidRPr="00406EDB" w:rsidRDefault="008E0E9E" w:rsidP="008E0E9E">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Another pillar of Ritz-Carlton HRM strategy is leadership development. Managers are conditioned to behave exemplarily, strengthening engagement by coaching, supporting, and acting ethically. Employee well-being is also a priority within the organization through fostering work-life balance programs and positive workplaces. Consequently, employee engagement outcomes are consistently high in Ritz-Carlton, evident in high guest satisfaction ratings and brand loyalty. The case notes the role of empowerment-driven HRM practices to maintain engagement in high-pressure hospitality settings.</w:t>
      </w:r>
    </w:p>
    <w:p w14:paraId="765ABFD4" w14:textId="77777777" w:rsidR="008E0E9E" w:rsidRPr="00406EDB" w:rsidRDefault="008E0E9E" w:rsidP="008E0E9E">
      <w:pPr>
        <w:pStyle w:val="Heading1"/>
        <w:spacing w:line="480" w:lineRule="auto"/>
        <w:rPr>
          <w:rFonts w:ascii="Calibri" w:eastAsiaTheme="minorHAnsi" w:hAnsi="Calibri" w:cs="Calibri"/>
          <w:color w:val="auto"/>
          <w:sz w:val="24"/>
          <w:szCs w:val="24"/>
        </w:rPr>
      </w:pPr>
    </w:p>
    <w:p w14:paraId="127E0D52" w14:textId="77777777" w:rsidR="008E0E9E" w:rsidRPr="00406EDB" w:rsidRDefault="008E0E9E" w:rsidP="008E0E9E">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Marriott International</w:t>
      </w:r>
    </w:p>
    <w:p w14:paraId="08D1CC73" w14:textId="77777777" w:rsidR="008E0E9E" w:rsidRPr="00406EDB" w:rsidRDefault="008E0E9E" w:rsidP="008E0E9E">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lastRenderedPageBreak/>
        <w:t xml:space="preserve">Marriott International serves as one of the most detailed illustrations of strategic HRM integration in the international hotel market. This philosophy of associates first is </w:t>
      </w:r>
      <w:proofErr w:type="gramStart"/>
      <w:r w:rsidRPr="00406EDB">
        <w:rPr>
          <w:rFonts w:ascii="Calibri" w:eastAsiaTheme="minorHAnsi" w:hAnsi="Calibri" w:cs="Calibri"/>
          <w:color w:val="auto"/>
          <w:sz w:val="24"/>
          <w:szCs w:val="24"/>
        </w:rPr>
        <w:t>long-held</w:t>
      </w:r>
      <w:proofErr w:type="gramEnd"/>
      <w:r w:rsidRPr="00406EDB">
        <w:rPr>
          <w:rFonts w:ascii="Calibri" w:eastAsiaTheme="minorHAnsi" w:hAnsi="Calibri" w:cs="Calibri"/>
          <w:color w:val="auto"/>
          <w:sz w:val="24"/>
          <w:szCs w:val="24"/>
        </w:rPr>
        <w:t xml:space="preserve"> by the company, and it reflects its view that employee engagement is the key to operational excellence and guest satisfaction. The HRM practices at Marriott are structured to facilitate the engagement of a diverse and international workforce.</w:t>
      </w:r>
    </w:p>
    <w:p w14:paraId="739CFA17" w14:textId="77777777" w:rsidR="008E0E9E" w:rsidRPr="00406EDB" w:rsidRDefault="008E0E9E" w:rsidP="008E0E9E">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Marriott engagement strategy hinges on training and development. The organization provides designed learning schedules, leadership training, and online learning offerings that aid ongoing skills development. These not only enhance employee competence but also reflect investment in employee career over the long term. The career development framework at Marriott allows internal mobility to other brands and regions, contributing greatly to retention and engagement.</w:t>
      </w:r>
    </w:p>
    <w:p w14:paraId="68334BE6" w14:textId="77777777" w:rsidR="008E0E9E" w:rsidRPr="00406EDB" w:rsidRDefault="008E0E9E" w:rsidP="008E0E9E">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Characteristics of performance management at Marriott include open goal setting, frequent feedback, and recognition programs rewarding individual and team performance. They promote participation and innovation by encouraging employees to give ideas to make the service better. This participative style enhances the emotional attachment of employees to the organization.</w:t>
      </w:r>
    </w:p>
    <w:p w14:paraId="12F3A706" w14:textId="77777777" w:rsidR="008E0E9E" w:rsidRPr="00406EDB" w:rsidRDefault="008E0E9E" w:rsidP="008E0E9E">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The HRM strategy of Marriott also focuses on employee well-being. To support the diverse needs of its workforce, the company has adopted wellness programs, diversity and inclusion initiatives, and flexible working arrangements. These programs can alleviate burnout and facilitate psychological safety, which is essential in sustaining engagement in challenging hospitality occupations.</w:t>
      </w:r>
    </w:p>
    <w:p w14:paraId="285B5D4F" w14:textId="77777777" w:rsidR="008E0E9E" w:rsidRPr="00406EDB" w:rsidRDefault="008E0E9E" w:rsidP="008E0E9E">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lastRenderedPageBreak/>
        <w:t>Emphasis is on leadership development where managers are trained to adopt inclusive and supportive leadership styles. The leaders at Marriott will be supposed to be leaders of engagement where they will provide good working conditions and approach the concerns of employees before they arise. These HRM practices are effective as proved by a strong employer brand, high engagement rates, and standardized service delivery in its international portfolio. The case shows that integrated and values-based HRM systems can keep large-scale hospitality organizations engaged.</w:t>
      </w:r>
    </w:p>
    <w:p w14:paraId="54176827" w14:textId="77777777" w:rsidR="008E0E9E" w:rsidRPr="00406EDB" w:rsidRDefault="008E0E9E" w:rsidP="008E0E9E">
      <w:pPr>
        <w:pStyle w:val="Heading1"/>
        <w:spacing w:line="480" w:lineRule="auto"/>
        <w:rPr>
          <w:rFonts w:ascii="Calibri" w:eastAsiaTheme="minorHAnsi" w:hAnsi="Calibri" w:cs="Calibri"/>
          <w:color w:val="auto"/>
          <w:sz w:val="24"/>
          <w:szCs w:val="24"/>
        </w:rPr>
      </w:pPr>
    </w:p>
    <w:p w14:paraId="210392CF" w14:textId="77777777" w:rsidR="008E0E9E" w:rsidRPr="00406EDB" w:rsidRDefault="008E0E9E" w:rsidP="008E0E9E">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Comparative Reflections on the Case Studies.</w:t>
      </w:r>
    </w:p>
    <w:p w14:paraId="5CACD876" w14:textId="2123E598" w:rsidR="00A520B4" w:rsidRPr="00406EDB" w:rsidRDefault="008E0E9E" w:rsidP="008E0E9E">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In the three case studies, some common themes can be identified. People-centric HRM practices, supportive leadership, and empowering employees are central to engagement in all organizations. Training, recognition, and career development are always cited as major agents of employee motivation and retention. Furthermore, by aligning HRM strategies with organizational values and service objectives, such hospitality executives can convert employee engagement into benchmark guest experiences and sustainable competitive advantage.</w:t>
      </w:r>
    </w:p>
    <w:p w14:paraId="1DE1E0C2" w14:textId="77777777" w:rsidR="008E0E9E" w:rsidRPr="00406EDB" w:rsidRDefault="008E0E9E" w:rsidP="008E0E9E">
      <w:pPr>
        <w:rPr>
          <w:rFonts w:ascii="Calibri" w:hAnsi="Calibri" w:cs="Calibri"/>
        </w:rPr>
      </w:pPr>
    </w:p>
    <w:p w14:paraId="06C4C2C3" w14:textId="77777777" w:rsidR="008E0E9E" w:rsidRPr="00406EDB" w:rsidRDefault="008E0E9E" w:rsidP="008E0E9E">
      <w:pPr>
        <w:rPr>
          <w:rFonts w:ascii="Calibri" w:hAnsi="Calibri" w:cs="Calibri"/>
        </w:rPr>
      </w:pPr>
    </w:p>
    <w:p w14:paraId="05767311" w14:textId="77777777" w:rsidR="008E0E9E" w:rsidRPr="00406EDB" w:rsidRDefault="008E0E9E" w:rsidP="008E0E9E">
      <w:pPr>
        <w:rPr>
          <w:rFonts w:ascii="Calibri" w:hAnsi="Calibri" w:cs="Calibri"/>
        </w:rPr>
      </w:pPr>
    </w:p>
    <w:p w14:paraId="5638EC93" w14:textId="77A6FFB6" w:rsidR="005F18BA" w:rsidRPr="00406EDB" w:rsidRDefault="005F18BA" w:rsidP="00A520B4">
      <w:pPr>
        <w:pStyle w:val="Heading1"/>
        <w:spacing w:line="480" w:lineRule="auto"/>
        <w:rPr>
          <w:rFonts w:ascii="Calibri" w:hAnsi="Calibri" w:cs="Calibri"/>
          <w:b/>
          <w:bCs/>
          <w:color w:val="auto"/>
          <w:sz w:val="24"/>
          <w:szCs w:val="24"/>
        </w:rPr>
      </w:pPr>
      <w:r w:rsidRPr="00406EDB">
        <w:rPr>
          <w:rFonts w:ascii="Calibri" w:hAnsi="Calibri" w:cs="Calibri"/>
          <w:b/>
          <w:bCs/>
          <w:color w:val="auto"/>
          <w:sz w:val="24"/>
          <w:szCs w:val="24"/>
        </w:rPr>
        <w:lastRenderedPageBreak/>
        <w:t>Discussion</w:t>
      </w:r>
      <w:bookmarkEnd w:id="5"/>
      <w:r w:rsidRPr="00406EDB">
        <w:rPr>
          <w:rFonts w:ascii="Calibri" w:hAnsi="Calibri" w:cs="Calibri"/>
          <w:b/>
          <w:bCs/>
          <w:color w:val="auto"/>
          <w:sz w:val="24"/>
          <w:szCs w:val="24"/>
        </w:rPr>
        <w:t xml:space="preserve"> </w:t>
      </w:r>
    </w:p>
    <w:p w14:paraId="4A0E7A61" w14:textId="77777777" w:rsidR="00406EDB" w:rsidRPr="00406EDB" w:rsidRDefault="00406EDB" w:rsidP="00406EDB">
      <w:pPr>
        <w:pStyle w:val="Heading1"/>
        <w:spacing w:line="480" w:lineRule="auto"/>
        <w:rPr>
          <w:rFonts w:ascii="Calibri" w:eastAsiaTheme="minorHAnsi" w:hAnsi="Calibri" w:cs="Calibri"/>
          <w:color w:val="auto"/>
          <w:sz w:val="24"/>
          <w:szCs w:val="24"/>
        </w:rPr>
      </w:pPr>
      <w:bookmarkStart w:id="6" w:name="_Toc220957856"/>
      <w:r w:rsidRPr="00406EDB">
        <w:rPr>
          <w:rFonts w:ascii="Calibri" w:eastAsiaTheme="minorHAnsi" w:hAnsi="Calibri" w:cs="Calibri"/>
          <w:color w:val="auto"/>
          <w:sz w:val="24"/>
          <w:szCs w:val="24"/>
        </w:rPr>
        <w:t>This discussion aims to critically interpret study findings against existing literature and research objectives. The discussion shows that Human Resource Management (HRM) practices are strategic and core to employee engagement in the hospitality sector. In line with previous studies, the results affirm that employee engagement is not a singular psychological phenomenon but an achievement of properly structured HRM systems, embrace leadership, and people-focused organizational cultures.</w:t>
      </w:r>
    </w:p>
    <w:p w14:paraId="2879B082" w14:textId="77777777" w:rsidR="00406EDB" w:rsidRPr="00406EDB" w:rsidRDefault="00406EDB" w:rsidP="00406EDB">
      <w:pPr>
        <w:pStyle w:val="Heading1"/>
        <w:spacing w:line="480" w:lineRule="auto"/>
        <w:rPr>
          <w:rFonts w:ascii="Calibri" w:eastAsiaTheme="minorHAnsi" w:hAnsi="Calibri" w:cs="Calibri"/>
          <w:color w:val="auto"/>
          <w:sz w:val="24"/>
          <w:szCs w:val="24"/>
        </w:rPr>
      </w:pPr>
    </w:p>
    <w:p w14:paraId="5F7539D3" w14:textId="77777777" w:rsidR="00406EDB" w:rsidRPr="00406EDB" w:rsidRDefault="00406EDB" w:rsidP="00406EDB">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Among the most important implications of the findings is the high impact of training and development on employee engagement. In the literature review, it was noted that continuous learning improves skills, confidence, and service competence of employees, specifically in customer-facing hospitality roles. The results support this perspective as they indicate that hospitality organizations that invest in systematic training programs enjoy greater employee commitment and discretionary effort. In the theoretical view, this aligns with the Ability component of the AMO framework, where skill development is directly proportional to the ability of the employees to contribute meaningfully to their work. Additionally, training is a social exchange process, which demonstrates organizational support and induces employees to respond positively.</w:t>
      </w:r>
    </w:p>
    <w:p w14:paraId="2F38423F" w14:textId="77777777" w:rsidR="00406EDB" w:rsidRPr="00406EDB" w:rsidRDefault="00406EDB" w:rsidP="00406EDB">
      <w:pPr>
        <w:pStyle w:val="Heading1"/>
        <w:spacing w:line="480" w:lineRule="auto"/>
        <w:rPr>
          <w:rFonts w:ascii="Calibri" w:eastAsiaTheme="minorHAnsi" w:hAnsi="Calibri" w:cs="Calibri"/>
          <w:color w:val="auto"/>
          <w:sz w:val="24"/>
          <w:szCs w:val="24"/>
        </w:rPr>
      </w:pPr>
    </w:p>
    <w:p w14:paraId="1C5248A0" w14:textId="77777777" w:rsidR="00406EDB" w:rsidRPr="00406EDB" w:rsidRDefault="00406EDB" w:rsidP="00406EDB">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lastRenderedPageBreak/>
        <w:t>Performance management systems further appear as a determinant of engagement. The results indicate that transparent and developmental performance appraisal systems promote trust, motivation, and alignment with organizational objectives. This is in line with the Social Exchange Theory which indicates that employees tend to be more involved when they feel fairness and acknowledgment in organizational operations. In hospitality settings, where performance is directly related to service quality, equitable appraisal procedures facilitate role clarity and decrease role ambiguity, thus intensifying engagement. On the other hand, poorly designed appraisal systems may destroy trust and motivation, which further substantiates the need to be consistent and transparent in HRM design.</w:t>
      </w:r>
    </w:p>
    <w:p w14:paraId="1BB8DE85" w14:textId="77777777" w:rsidR="00406EDB" w:rsidRPr="00406EDB" w:rsidRDefault="00406EDB" w:rsidP="00406EDB">
      <w:pPr>
        <w:pStyle w:val="Heading1"/>
        <w:spacing w:line="480" w:lineRule="auto"/>
        <w:rPr>
          <w:rFonts w:ascii="Calibri" w:eastAsiaTheme="minorHAnsi" w:hAnsi="Calibri" w:cs="Calibri"/>
          <w:color w:val="auto"/>
          <w:sz w:val="24"/>
          <w:szCs w:val="24"/>
        </w:rPr>
      </w:pPr>
    </w:p>
    <w:p w14:paraId="1E3D573B" w14:textId="77777777" w:rsidR="00406EDB" w:rsidRPr="00406EDB" w:rsidRDefault="00406EDB" w:rsidP="00406EDB">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Another important theme in the discussion is career development opportunities. High employee turnover has long been a challenge faced by the hospitality industry, primarily due to a lack of career advancement. The results show that organizations with clear career-layers, internal mobility and leadership development achieve better engagement and retention. This observation reinforces the existing literature that career building is a long-term engagement factor and not a short-term motivational factor. When employees feel that they have a chance to grow within the organization, they tend to invest their emotional and cognitive resources in their job, which increases organizational commitment and decreases turnover intentions.</w:t>
      </w:r>
    </w:p>
    <w:p w14:paraId="32482DC7" w14:textId="77777777" w:rsidR="00406EDB" w:rsidRPr="00406EDB" w:rsidRDefault="00406EDB" w:rsidP="00406EDB">
      <w:pPr>
        <w:pStyle w:val="Heading1"/>
        <w:spacing w:line="480" w:lineRule="auto"/>
        <w:rPr>
          <w:rFonts w:ascii="Calibri" w:eastAsiaTheme="minorHAnsi" w:hAnsi="Calibri" w:cs="Calibri"/>
          <w:color w:val="auto"/>
          <w:sz w:val="24"/>
          <w:szCs w:val="24"/>
        </w:rPr>
      </w:pPr>
    </w:p>
    <w:p w14:paraId="1610FFBD" w14:textId="77777777" w:rsidR="00406EDB" w:rsidRPr="00406EDB" w:rsidRDefault="00406EDB" w:rsidP="00406EDB">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lastRenderedPageBreak/>
        <w:t xml:space="preserve">The leadership style proves to be a strong contextual determinant of the effectiveness of HRM practices. The results are generally consistent: transformational, servant, and supportive leadership styles positively impact employee engagement through the building of trust, empowerment, and psychological safety. This confirms earlier studies in hospitality that leadership </w:t>
      </w:r>
      <w:proofErr w:type="spellStart"/>
      <w:r w:rsidRPr="00406EDB">
        <w:rPr>
          <w:rFonts w:ascii="Calibri" w:eastAsiaTheme="minorHAnsi" w:hAnsi="Calibri" w:cs="Calibri"/>
          <w:color w:val="auto"/>
          <w:sz w:val="24"/>
          <w:szCs w:val="24"/>
        </w:rPr>
        <w:t>behavior</w:t>
      </w:r>
      <w:proofErr w:type="spellEnd"/>
      <w:r w:rsidRPr="00406EDB">
        <w:rPr>
          <w:rFonts w:ascii="Calibri" w:eastAsiaTheme="minorHAnsi" w:hAnsi="Calibri" w:cs="Calibri"/>
          <w:color w:val="auto"/>
          <w:sz w:val="24"/>
          <w:szCs w:val="24"/>
        </w:rPr>
        <w:t xml:space="preserve"> can either enhance or dilute the effects of HRM systems. Empathic, individualized, and participatory leaders can build a workplace where employees feel appreciated and inspired. Conversely, authoritarian leadership types correlate with emotional burnout and detachment, especially in high-stress hospitality environments. The results underscore the need to incorporate leadership development in HRM strategies instead of viewing leadership as a distinct organizational activity.</w:t>
      </w:r>
    </w:p>
    <w:p w14:paraId="252FC456" w14:textId="77777777" w:rsidR="00406EDB" w:rsidRPr="00406EDB" w:rsidRDefault="00406EDB" w:rsidP="00406EDB">
      <w:pPr>
        <w:pStyle w:val="Heading1"/>
        <w:spacing w:line="480" w:lineRule="auto"/>
        <w:rPr>
          <w:rFonts w:ascii="Calibri" w:eastAsiaTheme="minorHAnsi" w:hAnsi="Calibri" w:cs="Calibri"/>
          <w:color w:val="auto"/>
          <w:sz w:val="24"/>
          <w:szCs w:val="24"/>
        </w:rPr>
      </w:pPr>
    </w:p>
    <w:p w14:paraId="348BE671" w14:textId="77777777" w:rsidR="00406EDB" w:rsidRPr="00406EDB" w:rsidRDefault="00406EDB" w:rsidP="00406EDB">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Another critical dimension addressed in the discussion is employee well-being. These results demonstrate that hospitality workers experience high work pressure, such as long hours, emotional labour, and irregularity. These demands have detrimental effects on well-being and engagement unless they are addressed by appropriate HRM interventions. Nevertheless, employers who invest in employee welfare by enacting flexible working policies, mental health initiatives, and non-discriminatory working environments have a higher rate of engagement. In the Job Demands Resources frame, these well-being initiatives are considered job resources that mitigate the adverse impacts of job demands. This supports the assumption that employee well-being is not only a welfare issue but a strategic driver that affects engagement and service quality.</w:t>
      </w:r>
    </w:p>
    <w:p w14:paraId="761456A9" w14:textId="77777777" w:rsidR="00406EDB" w:rsidRPr="00406EDB" w:rsidRDefault="00406EDB" w:rsidP="00406EDB">
      <w:pPr>
        <w:pStyle w:val="Heading1"/>
        <w:spacing w:line="480" w:lineRule="auto"/>
        <w:rPr>
          <w:rFonts w:ascii="Calibri" w:eastAsiaTheme="minorHAnsi" w:hAnsi="Calibri" w:cs="Calibri"/>
          <w:color w:val="auto"/>
          <w:sz w:val="24"/>
          <w:szCs w:val="24"/>
        </w:rPr>
      </w:pPr>
    </w:p>
    <w:p w14:paraId="054D9AE4" w14:textId="77777777" w:rsidR="00406EDB" w:rsidRPr="00406EDB" w:rsidRDefault="00406EDB" w:rsidP="00406EDB">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 xml:space="preserve">The case studies also reinforce the discussion by demonstrating how theoretical concepts can be put into practice in real-world hospitality organisations. Four Seasons, Ritz-Carlton, and Marriott show that engagement-based HRM practices can be sustainable and scaled when they are aligned to organizational values and leadership philosophy. One of the lessons of these cases is that employee engagement is not a standalone HR project but an aspect of organizational culture. The practices of empowerment, recognition, and employee voice are also a common thread throughout the case </w:t>
      </w:r>
      <w:proofErr w:type="gramStart"/>
      <w:r w:rsidRPr="00406EDB">
        <w:rPr>
          <w:rFonts w:ascii="Calibri" w:eastAsiaTheme="minorHAnsi" w:hAnsi="Calibri" w:cs="Calibri"/>
          <w:color w:val="auto"/>
          <w:sz w:val="24"/>
          <w:szCs w:val="24"/>
        </w:rPr>
        <w:t>organizations, and</w:t>
      </w:r>
      <w:proofErr w:type="gramEnd"/>
      <w:r w:rsidRPr="00406EDB">
        <w:rPr>
          <w:rFonts w:ascii="Calibri" w:eastAsiaTheme="minorHAnsi" w:hAnsi="Calibri" w:cs="Calibri"/>
          <w:color w:val="auto"/>
          <w:sz w:val="24"/>
          <w:szCs w:val="24"/>
        </w:rPr>
        <w:t xml:space="preserve"> support the notion that engagement should flourish in an organizational culture where employees are trusted and respected.</w:t>
      </w:r>
    </w:p>
    <w:p w14:paraId="0D3BDC4C" w14:textId="77777777" w:rsidR="00406EDB" w:rsidRPr="00406EDB" w:rsidRDefault="00406EDB" w:rsidP="00406EDB">
      <w:pPr>
        <w:pStyle w:val="Heading1"/>
        <w:spacing w:line="480" w:lineRule="auto"/>
        <w:rPr>
          <w:rFonts w:ascii="Calibri" w:eastAsiaTheme="minorHAnsi" w:hAnsi="Calibri" w:cs="Calibri"/>
          <w:color w:val="auto"/>
          <w:sz w:val="24"/>
          <w:szCs w:val="24"/>
        </w:rPr>
      </w:pPr>
    </w:p>
    <w:p w14:paraId="4C7EFD51" w14:textId="77777777" w:rsidR="00406EDB" w:rsidRPr="00406EDB" w:rsidRDefault="00406EDB" w:rsidP="00406EDB">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t>Notably, the discussion also notes that employee engagement is a mediating variable between organizational performance and HRM practices. Involved employees help to deliver high-quality service, better guest satisfaction, and greater brand loyalty. These results support the strategic importance of HRM within the hospitality industry by positioning employee engagement as a competitive advantage generator. When service differentiation is paramount in an industry, organizations investing in engagement-based HRM systems are in a better position to realize sustainable performance results.</w:t>
      </w:r>
    </w:p>
    <w:p w14:paraId="3EC8DE9F" w14:textId="77777777" w:rsidR="00406EDB" w:rsidRPr="00406EDB" w:rsidRDefault="00406EDB" w:rsidP="00406EDB">
      <w:pPr>
        <w:pStyle w:val="Heading1"/>
        <w:spacing w:line="480" w:lineRule="auto"/>
        <w:rPr>
          <w:rFonts w:ascii="Calibri" w:eastAsiaTheme="minorHAnsi" w:hAnsi="Calibri" w:cs="Calibri"/>
          <w:color w:val="auto"/>
          <w:sz w:val="24"/>
          <w:szCs w:val="24"/>
        </w:rPr>
      </w:pPr>
    </w:p>
    <w:p w14:paraId="7F8E1546" w14:textId="77777777" w:rsidR="00406EDB" w:rsidRPr="00406EDB" w:rsidRDefault="00406EDB" w:rsidP="00406EDB">
      <w:pPr>
        <w:pStyle w:val="Heading1"/>
        <w:spacing w:line="480" w:lineRule="auto"/>
        <w:rPr>
          <w:rFonts w:ascii="Calibri" w:eastAsiaTheme="minorHAnsi" w:hAnsi="Calibri" w:cs="Calibri"/>
          <w:color w:val="auto"/>
          <w:sz w:val="24"/>
          <w:szCs w:val="24"/>
        </w:rPr>
      </w:pPr>
      <w:r w:rsidRPr="00406EDB">
        <w:rPr>
          <w:rFonts w:ascii="Calibri" w:eastAsiaTheme="minorHAnsi" w:hAnsi="Calibri" w:cs="Calibri"/>
          <w:color w:val="auto"/>
          <w:sz w:val="24"/>
          <w:szCs w:val="24"/>
        </w:rPr>
        <w:lastRenderedPageBreak/>
        <w:t>The discussion, although it has these strengths, also recognizes limitations in the current body of research. The hospitality engagement literature is largely based on cross-sectional designs, which restrict causal inferences. Moreover, the changing character of work, such as digital HRM systems and workforce demands post-pandemic, is under-researched. These gaps indicate future research possibilities to explore the impact of technological innovation and evolving employee values on engagement dynamics in hospitality settings.</w:t>
      </w:r>
    </w:p>
    <w:p w14:paraId="3A456023" w14:textId="015045B0" w:rsidR="005F18BA" w:rsidRPr="00406EDB" w:rsidRDefault="005F18BA" w:rsidP="00406EDB">
      <w:pPr>
        <w:pStyle w:val="Heading1"/>
        <w:spacing w:line="480" w:lineRule="auto"/>
        <w:rPr>
          <w:rFonts w:ascii="Calibri" w:hAnsi="Calibri" w:cs="Calibri"/>
          <w:b/>
          <w:bCs/>
          <w:color w:val="auto"/>
          <w:sz w:val="24"/>
          <w:szCs w:val="24"/>
        </w:rPr>
      </w:pPr>
      <w:r w:rsidRPr="00406EDB">
        <w:rPr>
          <w:rFonts w:ascii="Calibri" w:hAnsi="Calibri" w:cs="Calibri"/>
          <w:b/>
          <w:bCs/>
          <w:color w:val="auto"/>
          <w:sz w:val="24"/>
          <w:szCs w:val="24"/>
        </w:rPr>
        <w:t>Conclusion</w:t>
      </w:r>
      <w:bookmarkEnd w:id="6"/>
      <w:r w:rsidRPr="00406EDB">
        <w:rPr>
          <w:rFonts w:ascii="Calibri" w:hAnsi="Calibri" w:cs="Calibri"/>
          <w:b/>
          <w:bCs/>
          <w:color w:val="auto"/>
          <w:sz w:val="24"/>
          <w:szCs w:val="24"/>
        </w:rPr>
        <w:t xml:space="preserve"> </w:t>
      </w:r>
    </w:p>
    <w:p w14:paraId="08459CAF"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t>This study has examined the role of Human Resource Management in fostering employee engagement within the hospitality industry. Drawing on established theoretical frameworks, empirical literature, and real-world case studies, the assignment demonstrates that employee engagement is a strategic outcome shaped by integrated HRM practices, supportive leadership, and a strong focus on employee well-being. In service-intensive hospitality environments, where employee attitudes directly influence guest experiences, engagement emerges as a critical driver of organizational success.</w:t>
      </w:r>
    </w:p>
    <w:p w14:paraId="71988ABC"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t xml:space="preserve">The findings confirm that HRM practices such as training and development, performance management, rewards, and career progression play a vital role in enhancing employee engagement. These practices not only improve employee skills and motivation but also signal organizational support, strengthening the psychological contract between employees and employers. Leadership style further moderates this relationship, with transformational and servant leadership approaches proving particularly effective in sustaining engagement. </w:t>
      </w:r>
      <w:r w:rsidRPr="00CB5175">
        <w:rPr>
          <w:rFonts w:ascii="Calibri" w:hAnsi="Calibri" w:cs="Calibri"/>
          <w:szCs w:val="24"/>
        </w:rPr>
        <w:lastRenderedPageBreak/>
        <w:t>Additionally, employee well-being initiatives are shown to mitigate burnout and enhance long-term commitment in demanding hospitality roles.</w:t>
      </w:r>
    </w:p>
    <w:p w14:paraId="040F521A"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t>The case studies of leading hospitality organizations illustrate that engagement-focused HRM strategies can be successfully implemented across diverse operational contexts. Organizations that embed engagement into their culture and leadership philosophy achieve superior service quality, higher employee retention, and stronger competitive positioning. Collectively, these insights highlight that employee engagement should be viewed as a long-term strategic investment rather than a short-term HR initiative.</w:t>
      </w:r>
    </w:p>
    <w:p w14:paraId="5ACD500A"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t>In conclusion, effective HRM is fundamental to sustaining employee engagement and organizational performance in the hospitality industry. By prioritizing people-centric practices, supportive leadership, and employee well-being, hospitality organizations can create resilient, motivated, and service-oriented workforces capable of delivering consistent value to both customers and stakeholders.</w:t>
      </w:r>
    </w:p>
    <w:p w14:paraId="76241ECD" w14:textId="77777777" w:rsidR="005F18BA" w:rsidRDefault="005F18BA" w:rsidP="00B03725">
      <w:pPr>
        <w:spacing w:line="480" w:lineRule="auto"/>
        <w:rPr>
          <w:rFonts w:ascii="Calibri" w:hAnsi="Calibri" w:cs="Calibri"/>
          <w:b/>
          <w:bCs/>
          <w:szCs w:val="24"/>
        </w:rPr>
      </w:pPr>
    </w:p>
    <w:p w14:paraId="549335FF" w14:textId="77777777" w:rsidR="00CB5175" w:rsidRDefault="00CB5175" w:rsidP="00B03725">
      <w:pPr>
        <w:spacing w:line="480" w:lineRule="auto"/>
        <w:rPr>
          <w:rFonts w:ascii="Calibri" w:hAnsi="Calibri" w:cs="Calibri"/>
          <w:b/>
          <w:bCs/>
          <w:szCs w:val="24"/>
        </w:rPr>
      </w:pPr>
    </w:p>
    <w:p w14:paraId="31C186FE" w14:textId="77777777" w:rsidR="00CB5175" w:rsidRDefault="00CB5175" w:rsidP="00B03725">
      <w:pPr>
        <w:spacing w:line="480" w:lineRule="auto"/>
        <w:rPr>
          <w:rFonts w:ascii="Calibri" w:hAnsi="Calibri" w:cs="Calibri"/>
          <w:b/>
          <w:bCs/>
          <w:szCs w:val="24"/>
        </w:rPr>
      </w:pPr>
    </w:p>
    <w:p w14:paraId="761B22FB" w14:textId="77777777" w:rsidR="00CB5175" w:rsidRPr="00406EDB" w:rsidRDefault="00CB5175" w:rsidP="00B03725">
      <w:pPr>
        <w:spacing w:line="480" w:lineRule="auto"/>
        <w:rPr>
          <w:rFonts w:ascii="Calibri" w:hAnsi="Calibri" w:cs="Calibri"/>
          <w:b/>
          <w:bCs/>
          <w:szCs w:val="24"/>
        </w:rPr>
      </w:pPr>
    </w:p>
    <w:p w14:paraId="62BE8FD6" w14:textId="77777777" w:rsidR="005F18BA" w:rsidRPr="00406EDB" w:rsidRDefault="005F18BA" w:rsidP="00B03725">
      <w:pPr>
        <w:spacing w:line="480" w:lineRule="auto"/>
        <w:rPr>
          <w:rFonts w:ascii="Calibri" w:hAnsi="Calibri" w:cs="Calibri"/>
          <w:b/>
          <w:bCs/>
          <w:szCs w:val="24"/>
        </w:rPr>
      </w:pPr>
    </w:p>
    <w:p w14:paraId="43A0FE33" w14:textId="77777777" w:rsidR="005F18BA" w:rsidRPr="00406EDB" w:rsidRDefault="005F18BA" w:rsidP="00B03725">
      <w:pPr>
        <w:pStyle w:val="Heading1"/>
        <w:spacing w:line="480" w:lineRule="auto"/>
        <w:rPr>
          <w:rFonts w:ascii="Calibri" w:hAnsi="Calibri" w:cs="Calibri"/>
          <w:b/>
          <w:bCs/>
          <w:color w:val="auto"/>
          <w:sz w:val="24"/>
          <w:szCs w:val="24"/>
        </w:rPr>
      </w:pPr>
      <w:bookmarkStart w:id="7" w:name="_Toc220957857"/>
      <w:r w:rsidRPr="00406EDB">
        <w:rPr>
          <w:rFonts w:ascii="Calibri" w:hAnsi="Calibri" w:cs="Calibri"/>
          <w:b/>
          <w:bCs/>
          <w:color w:val="auto"/>
          <w:sz w:val="24"/>
          <w:szCs w:val="24"/>
        </w:rPr>
        <w:lastRenderedPageBreak/>
        <w:t>References</w:t>
      </w:r>
      <w:bookmarkEnd w:id="7"/>
      <w:r w:rsidRPr="00406EDB">
        <w:rPr>
          <w:rFonts w:ascii="Calibri" w:hAnsi="Calibri" w:cs="Calibri"/>
          <w:b/>
          <w:bCs/>
          <w:color w:val="auto"/>
          <w:sz w:val="24"/>
          <w:szCs w:val="24"/>
        </w:rPr>
        <w:t xml:space="preserve"> </w:t>
      </w:r>
    </w:p>
    <w:p w14:paraId="439FE190"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t xml:space="preserve">Albrecht, S. L., Bakker, A. B., Gruman, J. A., Macey, W. H., &amp; Saks, A. M. (2015). Employee engagement, human resource management practices and competitive advantage. </w:t>
      </w:r>
      <w:r w:rsidRPr="00CB5175">
        <w:rPr>
          <w:rFonts w:ascii="Calibri" w:hAnsi="Calibri" w:cs="Calibri"/>
          <w:i/>
          <w:iCs/>
          <w:szCs w:val="24"/>
        </w:rPr>
        <w:t>Journal of Organizational Effectiveness: People and Performance, 2</w:t>
      </w:r>
      <w:r w:rsidRPr="00CB5175">
        <w:rPr>
          <w:rFonts w:ascii="Calibri" w:hAnsi="Calibri" w:cs="Calibri"/>
          <w:szCs w:val="24"/>
        </w:rPr>
        <w:t>(1), 7–35. https://doi.org/10.1108/JOEPP-08-2014-0042</w:t>
      </w:r>
    </w:p>
    <w:p w14:paraId="679D2528"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t xml:space="preserve">Bakker, A. B., &amp; Demerouti, E. (2007). The Job Demands–Resources model: State of the art. </w:t>
      </w:r>
      <w:r w:rsidRPr="00CB5175">
        <w:rPr>
          <w:rFonts w:ascii="Calibri" w:hAnsi="Calibri" w:cs="Calibri"/>
          <w:i/>
          <w:iCs/>
          <w:szCs w:val="24"/>
        </w:rPr>
        <w:t>Journal of Managerial Psychology, 22</w:t>
      </w:r>
      <w:r w:rsidRPr="00CB5175">
        <w:rPr>
          <w:rFonts w:ascii="Calibri" w:hAnsi="Calibri" w:cs="Calibri"/>
          <w:szCs w:val="24"/>
        </w:rPr>
        <w:t xml:space="preserve">(3), 309–328. </w:t>
      </w:r>
      <w:hyperlink r:id="rId6" w:tgtFrame="_new" w:history="1">
        <w:r w:rsidRPr="00CB5175">
          <w:rPr>
            <w:rStyle w:val="Hyperlink"/>
            <w:rFonts w:ascii="Calibri" w:hAnsi="Calibri" w:cs="Calibri"/>
            <w:szCs w:val="24"/>
          </w:rPr>
          <w:t>https://doi.org/10.1108/02683940710733115</w:t>
        </w:r>
      </w:hyperlink>
    </w:p>
    <w:p w14:paraId="12A76A31"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t xml:space="preserve">Blau, P. M. (1964). </w:t>
      </w:r>
      <w:r w:rsidRPr="00CB5175">
        <w:rPr>
          <w:rFonts w:ascii="Calibri" w:hAnsi="Calibri" w:cs="Calibri"/>
          <w:i/>
          <w:iCs/>
          <w:szCs w:val="24"/>
        </w:rPr>
        <w:t>Exchange and power in social life</w:t>
      </w:r>
      <w:r w:rsidRPr="00CB5175">
        <w:rPr>
          <w:rFonts w:ascii="Calibri" w:hAnsi="Calibri" w:cs="Calibri"/>
          <w:szCs w:val="24"/>
        </w:rPr>
        <w:t>. New York, NY: Wiley.</w:t>
      </w:r>
    </w:p>
    <w:p w14:paraId="3BA19A8A"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t xml:space="preserve">Boselie, P., Dietz, G., &amp; Boon, C. (2005). Commonalities and contradictions in HRM and performance research. </w:t>
      </w:r>
      <w:r w:rsidRPr="00CB5175">
        <w:rPr>
          <w:rFonts w:ascii="Calibri" w:hAnsi="Calibri" w:cs="Calibri"/>
          <w:i/>
          <w:iCs/>
          <w:szCs w:val="24"/>
        </w:rPr>
        <w:t>Human Resource Management Journal, 15</w:t>
      </w:r>
      <w:r w:rsidRPr="00CB5175">
        <w:rPr>
          <w:rFonts w:ascii="Calibri" w:hAnsi="Calibri" w:cs="Calibri"/>
          <w:szCs w:val="24"/>
        </w:rPr>
        <w:t xml:space="preserve">(3), 67–94. </w:t>
      </w:r>
      <w:hyperlink r:id="rId7" w:tgtFrame="_new" w:history="1">
        <w:r w:rsidRPr="00CB5175">
          <w:rPr>
            <w:rStyle w:val="Hyperlink"/>
            <w:rFonts w:ascii="Calibri" w:hAnsi="Calibri" w:cs="Calibri"/>
            <w:szCs w:val="24"/>
          </w:rPr>
          <w:t>https://doi.org/10.1111/j.1748-8583.2005.tb00154.x</w:t>
        </w:r>
      </w:hyperlink>
    </w:p>
    <w:p w14:paraId="41B27793" w14:textId="77777777" w:rsidR="00CB5175" w:rsidRPr="00CB5175" w:rsidRDefault="00CB5175" w:rsidP="00CB5175">
      <w:pPr>
        <w:spacing w:line="480" w:lineRule="auto"/>
        <w:rPr>
          <w:rFonts w:ascii="Calibri" w:hAnsi="Calibri" w:cs="Calibri"/>
          <w:szCs w:val="24"/>
        </w:rPr>
      </w:pPr>
      <w:proofErr w:type="spellStart"/>
      <w:r w:rsidRPr="00CB5175">
        <w:rPr>
          <w:rFonts w:ascii="Calibri" w:hAnsi="Calibri" w:cs="Calibri"/>
          <w:szCs w:val="24"/>
        </w:rPr>
        <w:t>Breevaart</w:t>
      </w:r>
      <w:proofErr w:type="spellEnd"/>
      <w:r w:rsidRPr="00CB5175">
        <w:rPr>
          <w:rFonts w:ascii="Calibri" w:hAnsi="Calibri" w:cs="Calibri"/>
          <w:szCs w:val="24"/>
        </w:rPr>
        <w:t xml:space="preserve">, K., Bakker, A. B., Demerouti, E., &amp; Van den Heuvel, M. (2014). Leader–member exchange, work engagement, and job performance. </w:t>
      </w:r>
      <w:r w:rsidRPr="00CB5175">
        <w:rPr>
          <w:rFonts w:ascii="Calibri" w:hAnsi="Calibri" w:cs="Calibri"/>
          <w:i/>
          <w:iCs/>
          <w:szCs w:val="24"/>
        </w:rPr>
        <w:t>Journal of Managerial Psychology, 30</w:t>
      </w:r>
      <w:r w:rsidRPr="00CB5175">
        <w:rPr>
          <w:rFonts w:ascii="Calibri" w:hAnsi="Calibri" w:cs="Calibri"/>
          <w:szCs w:val="24"/>
        </w:rPr>
        <w:t>(7), 754–770. https://doi.org/10.1108/JMP-03-2013-0088</w:t>
      </w:r>
    </w:p>
    <w:p w14:paraId="76A21B44"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t xml:space="preserve">Chiang, C. F., Han, T. S., &amp; Chuang, J. S. (2011). The relationship between HRM practices and service performance. </w:t>
      </w:r>
      <w:r w:rsidRPr="00CB5175">
        <w:rPr>
          <w:rFonts w:ascii="Calibri" w:hAnsi="Calibri" w:cs="Calibri"/>
          <w:i/>
          <w:iCs/>
          <w:szCs w:val="24"/>
        </w:rPr>
        <w:t>International Journal of Hospitality Management, 30</w:t>
      </w:r>
      <w:r w:rsidRPr="00CB5175">
        <w:rPr>
          <w:rFonts w:ascii="Calibri" w:hAnsi="Calibri" w:cs="Calibri"/>
          <w:szCs w:val="24"/>
        </w:rPr>
        <w:t>(4), 834–844. https://doi.org/10.1016/j.ijhm.2011.01.008</w:t>
      </w:r>
    </w:p>
    <w:p w14:paraId="43FCE9E0"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lastRenderedPageBreak/>
        <w:t xml:space="preserve">Eva, N., Robin, M., </w:t>
      </w:r>
      <w:proofErr w:type="spellStart"/>
      <w:r w:rsidRPr="00CB5175">
        <w:rPr>
          <w:rFonts w:ascii="Calibri" w:hAnsi="Calibri" w:cs="Calibri"/>
          <w:szCs w:val="24"/>
        </w:rPr>
        <w:t>Sendjaya</w:t>
      </w:r>
      <w:proofErr w:type="spellEnd"/>
      <w:r w:rsidRPr="00CB5175">
        <w:rPr>
          <w:rFonts w:ascii="Calibri" w:hAnsi="Calibri" w:cs="Calibri"/>
          <w:szCs w:val="24"/>
        </w:rPr>
        <w:t xml:space="preserve">, S., Van Dierendonck, D., &amp; Liden, R. C. (2019). Servant leadership: A systematic review and call for future research. </w:t>
      </w:r>
      <w:r w:rsidRPr="00CB5175">
        <w:rPr>
          <w:rFonts w:ascii="Calibri" w:hAnsi="Calibri" w:cs="Calibri"/>
          <w:i/>
          <w:iCs/>
          <w:szCs w:val="24"/>
        </w:rPr>
        <w:t>The Leadership Quarterly, 30</w:t>
      </w:r>
      <w:r w:rsidRPr="00CB5175">
        <w:rPr>
          <w:rFonts w:ascii="Calibri" w:hAnsi="Calibri" w:cs="Calibri"/>
          <w:szCs w:val="24"/>
        </w:rPr>
        <w:t xml:space="preserve">(1), 111–132. </w:t>
      </w:r>
      <w:hyperlink r:id="rId8" w:tgtFrame="_new" w:history="1">
        <w:r w:rsidRPr="00CB5175">
          <w:rPr>
            <w:rStyle w:val="Hyperlink"/>
            <w:rFonts w:ascii="Calibri" w:hAnsi="Calibri" w:cs="Calibri"/>
            <w:szCs w:val="24"/>
          </w:rPr>
          <w:t>https://doi.org/10.1016/j.leaqua.2018.07.004</w:t>
        </w:r>
      </w:hyperlink>
    </w:p>
    <w:p w14:paraId="58A51F0C" w14:textId="77777777" w:rsidR="00CB5175" w:rsidRPr="00CB5175" w:rsidRDefault="00CB5175" w:rsidP="00CB5175">
      <w:pPr>
        <w:spacing w:line="480" w:lineRule="auto"/>
        <w:rPr>
          <w:rFonts w:ascii="Calibri" w:hAnsi="Calibri" w:cs="Calibri"/>
          <w:szCs w:val="24"/>
        </w:rPr>
      </w:pPr>
      <w:proofErr w:type="spellStart"/>
      <w:r w:rsidRPr="00CB5175">
        <w:rPr>
          <w:rFonts w:ascii="Calibri" w:hAnsi="Calibri" w:cs="Calibri"/>
          <w:szCs w:val="24"/>
        </w:rPr>
        <w:t>Grawitch</w:t>
      </w:r>
      <w:proofErr w:type="spellEnd"/>
      <w:r w:rsidRPr="00CB5175">
        <w:rPr>
          <w:rFonts w:ascii="Calibri" w:hAnsi="Calibri" w:cs="Calibri"/>
          <w:szCs w:val="24"/>
        </w:rPr>
        <w:t xml:space="preserve">, M. J., Gottschalk, M., &amp; Munz, D. C. (2006). The path to a healthy workplace. </w:t>
      </w:r>
      <w:r w:rsidRPr="00CB5175">
        <w:rPr>
          <w:rFonts w:ascii="Calibri" w:hAnsi="Calibri" w:cs="Calibri"/>
          <w:i/>
          <w:iCs/>
          <w:szCs w:val="24"/>
        </w:rPr>
        <w:t>Consulting Psychology Journal: Practice and Research, 58</w:t>
      </w:r>
      <w:r w:rsidRPr="00CB5175">
        <w:rPr>
          <w:rFonts w:ascii="Calibri" w:hAnsi="Calibri" w:cs="Calibri"/>
          <w:szCs w:val="24"/>
        </w:rPr>
        <w:t xml:space="preserve">(3), 129–147. </w:t>
      </w:r>
      <w:hyperlink r:id="rId9" w:tgtFrame="_new" w:history="1">
        <w:r w:rsidRPr="00CB5175">
          <w:rPr>
            <w:rStyle w:val="Hyperlink"/>
            <w:rFonts w:ascii="Calibri" w:hAnsi="Calibri" w:cs="Calibri"/>
            <w:szCs w:val="24"/>
          </w:rPr>
          <w:t>https://doi.org/10.1037/1065-9293.58.3.129</w:t>
        </w:r>
      </w:hyperlink>
    </w:p>
    <w:p w14:paraId="51A5060C"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t xml:space="preserve">Harter, J. K., Schmidt, F. L., &amp; Hayes, T. L. (2002). Business-unit-level relationship between employee satisfaction, engagement, and performance. </w:t>
      </w:r>
      <w:r w:rsidRPr="00CB5175">
        <w:rPr>
          <w:rFonts w:ascii="Calibri" w:hAnsi="Calibri" w:cs="Calibri"/>
          <w:i/>
          <w:iCs/>
          <w:szCs w:val="24"/>
        </w:rPr>
        <w:t>Journal of Applied Psychology, 87</w:t>
      </w:r>
      <w:r w:rsidRPr="00CB5175">
        <w:rPr>
          <w:rFonts w:ascii="Calibri" w:hAnsi="Calibri" w:cs="Calibri"/>
          <w:szCs w:val="24"/>
        </w:rPr>
        <w:t xml:space="preserve">(2), 268–279. </w:t>
      </w:r>
      <w:hyperlink r:id="rId10" w:tgtFrame="_new" w:history="1">
        <w:r w:rsidRPr="00CB5175">
          <w:rPr>
            <w:rStyle w:val="Hyperlink"/>
            <w:rFonts w:ascii="Calibri" w:hAnsi="Calibri" w:cs="Calibri"/>
            <w:szCs w:val="24"/>
          </w:rPr>
          <w:t>https://doi.org/10.1037/0021-9010.87.2.268</w:t>
        </w:r>
      </w:hyperlink>
    </w:p>
    <w:p w14:paraId="42E5C969"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t xml:space="preserve">Hom, P. W., Lee, T. W., Shaw, J. D., &amp; Hausknecht, J. P. (2017). One hundred years of employee turnover theory and research. </w:t>
      </w:r>
      <w:r w:rsidRPr="00CB5175">
        <w:rPr>
          <w:rFonts w:ascii="Calibri" w:hAnsi="Calibri" w:cs="Calibri"/>
          <w:i/>
          <w:iCs/>
          <w:szCs w:val="24"/>
        </w:rPr>
        <w:t>Journal of Applied Psychology, 102</w:t>
      </w:r>
      <w:r w:rsidRPr="00CB5175">
        <w:rPr>
          <w:rFonts w:ascii="Calibri" w:hAnsi="Calibri" w:cs="Calibri"/>
          <w:szCs w:val="24"/>
        </w:rPr>
        <w:t xml:space="preserve">(3), 530–545. </w:t>
      </w:r>
      <w:hyperlink r:id="rId11" w:tgtFrame="_new" w:history="1">
        <w:r w:rsidRPr="00CB5175">
          <w:rPr>
            <w:rStyle w:val="Hyperlink"/>
            <w:rFonts w:ascii="Calibri" w:hAnsi="Calibri" w:cs="Calibri"/>
            <w:szCs w:val="24"/>
          </w:rPr>
          <w:t>https://doi.org/10.1037/apl0000103</w:t>
        </w:r>
      </w:hyperlink>
    </w:p>
    <w:p w14:paraId="046C8CD3"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t xml:space="preserve">Jung, H. S., &amp; Yoon, H. H. (2015). The impact of employees’ positive psychological capital on job satisfaction and organizational citizenship </w:t>
      </w:r>
      <w:proofErr w:type="spellStart"/>
      <w:r w:rsidRPr="00CB5175">
        <w:rPr>
          <w:rFonts w:ascii="Calibri" w:hAnsi="Calibri" w:cs="Calibri"/>
          <w:szCs w:val="24"/>
        </w:rPr>
        <w:t>behaviors</w:t>
      </w:r>
      <w:proofErr w:type="spellEnd"/>
      <w:r w:rsidRPr="00CB5175">
        <w:rPr>
          <w:rFonts w:ascii="Calibri" w:hAnsi="Calibri" w:cs="Calibri"/>
          <w:szCs w:val="24"/>
        </w:rPr>
        <w:t xml:space="preserve">. </w:t>
      </w:r>
      <w:r w:rsidRPr="00CB5175">
        <w:rPr>
          <w:rFonts w:ascii="Calibri" w:hAnsi="Calibri" w:cs="Calibri"/>
          <w:i/>
          <w:iCs/>
          <w:szCs w:val="24"/>
        </w:rPr>
        <w:t>International Journal of Contemporary Hospitality Management, 27</w:t>
      </w:r>
      <w:r w:rsidRPr="00CB5175">
        <w:rPr>
          <w:rFonts w:ascii="Calibri" w:hAnsi="Calibri" w:cs="Calibri"/>
          <w:szCs w:val="24"/>
        </w:rPr>
        <w:t>(6), 1135–1156. https://doi.org/10.1108/IJCHM-01-2014-0019</w:t>
      </w:r>
    </w:p>
    <w:p w14:paraId="53633FA9"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t xml:space="preserve">Karatepe, O. M. (2012). The effects of coworker and perceived organizational support on hotel employee outcomes. </w:t>
      </w:r>
      <w:r w:rsidRPr="00CB5175">
        <w:rPr>
          <w:rFonts w:ascii="Calibri" w:hAnsi="Calibri" w:cs="Calibri"/>
          <w:i/>
          <w:iCs/>
          <w:szCs w:val="24"/>
        </w:rPr>
        <w:t>International Journal of Contemporary Hospitality Management, 24</w:t>
      </w:r>
      <w:r w:rsidRPr="00CB5175">
        <w:rPr>
          <w:rFonts w:ascii="Calibri" w:hAnsi="Calibri" w:cs="Calibri"/>
          <w:szCs w:val="24"/>
        </w:rPr>
        <w:t>(5), 735–752. https://doi.org/10.1108/09596111211237273</w:t>
      </w:r>
    </w:p>
    <w:p w14:paraId="218E1B66"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lastRenderedPageBreak/>
        <w:t xml:space="preserve">Karatepe, O. M. (2013). High-performance work practices and hotel employee performance. </w:t>
      </w:r>
      <w:r w:rsidRPr="00CB5175">
        <w:rPr>
          <w:rFonts w:ascii="Calibri" w:hAnsi="Calibri" w:cs="Calibri"/>
          <w:i/>
          <w:iCs/>
          <w:szCs w:val="24"/>
        </w:rPr>
        <w:t>International Journal of Contemporary Hospitality Management, 25</w:t>
      </w:r>
      <w:r w:rsidRPr="00CB5175">
        <w:rPr>
          <w:rFonts w:ascii="Calibri" w:hAnsi="Calibri" w:cs="Calibri"/>
          <w:szCs w:val="24"/>
        </w:rPr>
        <w:t>(4), 512–532. https://doi.org/10.1108/09596111311322921</w:t>
      </w:r>
    </w:p>
    <w:p w14:paraId="63BDEC33"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t xml:space="preserve">Karatepe, O. M., &amp; </w:t>
      </w:r>
      <w:proofErr w:type="spellStart"/>
      <w:r w:rsidRPr="00CB5175">
        <w:rPr>
          <w:rFonts w:ascii="Calibri" w:hAnsi="Calibri" w:cs="Calibri"/>
          <w:szCs w:val="24"/>
        </w:rPr>
        <w:t>Olugbade</w:t>
      </w:r>
      <w:proofErr w:type="spellEnd"/>
      <w:r w:rsidRPr="00CB5175">
        <w:rPr>
          <w:rFonts w:ascii="Calibri" w:hAnsi="Calibri" w:cs="Calibri"/>
          <w:szCs w:val="24"/>
        </w:rPr>
        <w:t xml:space="preserve">, O. A. (2009). The effects of job and personal resources on work engagement. </w:t>
      </w:r>
      <w:r w:rsidRPr="00CB5175">
        <w:rPr>
          <w:rFonts w:ascii="Calibri" w:hAnsi="Calibri" w:cs="Calibri"/>
          <w:i/>
          <w:iCs/>
          <w:szCs w:val="24"/>
        </w:rPr>
        <w:t>International Journal of Hospitality Management, 28</w:t>
      </w:r>
      <w:r w:rsidRPr="00CB5175">
        <w:rPr>
          <w:rFonts w:ascii="Calibri" w:hAnsi="Calibri" w:cs="Calibri"/>
          <w:szCs w:val="24"/>
        </w:rPr>
        <w:t>(4), 504–512. https://doi.org/10.1016/j.ijhm.2009.02.003</w:t>
      </w:r>
    </w:p>
    <w:p w14:paraId="081B39B2"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t xml:space="preserve">Karatepe, O. M., &amp; </w:t>
      </w:r>
      <w:proofErr w:type="spellStart"/>
      <w:r w:rsidRPr="00CB5175">
        <w:rPr>
          <w:rFonts w:ascii="Calibri" w:hAnsi="Calibri" w:cs="Calibri"/>
          <w:szCs w:val="24"/>
        </w:rPr>
        <w:t>Uludag</w:t>
      </w:r>
      <w:proofErr w:type="spellEnd"/>
      <w:r w:rsidRPr="00CB5175">
        <w:rPr>
          <w:rFonts w:ascii="Calibri" w:hAnsi="Calibri" w:cs="Calibri"/>
          <w:szCs w:val="24"/>
        </w:rPr>
        <w:t xml:space="preserve">, O. (2007). Conflict, exhaustion, and motivation. </w:t>
      </w:r>
      <w:r w:rsidRPr="00CB5175">
        <w:rPr>
          <w:rFonts w:ascii="Calibri" w:hAnsi="Calibri" w:cs="Calibri"/>
          <w:i/>
          <w:iCs/>
          <w:szCs w:val="24"/>
        </w:rPr>
        <w:t>International Journal of Hospitality Management, 26</w:t>
      </w:r>
      <w:r w:rsidRPr="00CB5175">
        <w:rPr>
          <w:rFonts w:ascii="Calibri" w:hAnsi="Calibri" w:cs="Calibri"/>
          <w:szCs w:val="24"/>
        </w:rPr>
        <w:t>(3), 645–665. https://doi.org/10.1016/j.ijhm.2006.05.006</w:t>
      </w:r>
    </w:p>
    <w:p w14:paraId="17811AFD"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t xml:space="preserve">Karatepe, O. M., &amp; </w:t>
      </w:r>
      <w:proofErr w:type="spellStart"/>
      <w:r w:rsidRPr="00CB5175">
        <w:rPr>
          <w:rFonts w:ascii="Calibri" w:hAnsi="Calibri" w:cs="Calibri"/>
          <w:szCs w:val="24"/>
        </w:rPr>
        <w:t>Vatankhah</w:t>
      </w:r>
      <w:proofErr w:type="spellEnd"/>
      <w:r w:rsidRPr="00CB5175">
        <w:rPr>
          <w:rFonts w:ascii="Calibri" w:hAnsi="Calibri" w:cs="Calibri"/>
          <w:szCs w:val="24"/>
        </w:rPr>
        <w:t xml:space="preserve">, S. (2014). The effects of high-performance work practices on perceived organizational support. </w:t>
      </w:r>
      <w:r w:rsidRPr="00CB5175">
        <w:rPr>
          <w:rFonts w:ascii="Calibri" w:hAnsi="Calibri" w:cs="Calibri"/>
          <w:i/>
          <w:iCs/>
          <w:szCs w:val="24"/>
        </w:rPr>
        <w:t>International Journal of Contemporary Hospitality Management, 26</w:t>
      </w:r>
      <w:r w:rsidRPr="00CB5175">
        <w:rPr>
          <w:rFonts w:ascii="Calibri" w:hAnsi="Calibri" w:cs="Calibri"/>
          <w:szCs w:val="24"/>
        </w:rPr>
        <w:t>(2), 212–231. https://doi.org/10.1108/IJCHM-06-2012-0097</w:t>
      </w:r>
    </w:p>
    <w:p w14:paraId="4EF50DA9"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t xml:space="preserve">Kim, H., </w:t>
      </w:r>
      <w:proofErr w:type="spellStart"/>
      <w:r w:rsidRPr="00CB5175">
        <w:rPr>
          <w:rFonts w:ascii="Calibri" w:hAnsi="Calibri" w:cs="Calibri"/>
          <w:szCs w:val="24"/>
        </w:rPr>
        <w:t>Im</w:t>
      </w:r>
      <w:proofErr w:type="spellEnd"/>
      <w:r w:rsidRPr="00CB5175">
        <w:rPr>
          <w:rFonts w:ascii="Calibri" w:hAnsi="Calibri" w:cs="Calibri"/>
          <w:szCs w:val="24"/>
        </w:rPr>
        <w:t xml:space="preserve">, J., &amp; Qu, H. (2018). Exploring antecedents and consequences of job crafting. </w:t>
      </w:r>
      <w:r w:rsidRPr="00CB5175">
        <w:rPr>
          <w:rFonts w:ascii="Calibri" w:hAnsi="Calibri" w:cs="Calibri"/>
          <w:i/>
          <w:iCs/>
          <w:szCs w:val="24"/>
        </w:rPr>
        <w:t>International Journal of Hospitality Management, 75</w:t>
      </w:r>
      <w:r w:rsidRPr="00CB5175">
        <w:rPr>
          <w:rFonts w:ascii="Calibri" w:hAnsi="Calibri" w:cs="Calibri"/>
          <w:szCs w:val="24"/>
        </w:rPr>
        <w:t>, 18–26. https://doi.org/10.1016/j.ijhm.2018.02.014</w:t>
      </w:r>
    </w:p>
    <w:p w14:paraId="2A19FD9D"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t xml:space="preserve">Lee, J., &amp; Ok, C. (2012). Reducing burnout and enhancing job satisfaction. </w:t>
      </w:r>
      <w:r w:rsidRPr="00CB5175">
        <w:rPr>
          <w:rFonts w:ascii="Calibri" w:hAnsi="Calibri" w:cs="Calibri"/>
          <w:i/>
          <w:iCs/>
          <w:szCs w:val="24"/>
        </w:rPr>
        <w:t>International Journal of Hospitality Management, 31</w:t>
      </w:r>
      <w:r w:rsidRPr="00CB5175">
        <w:rPr>
          <w:rFonts w:ascii="Calibri" w:hAnsi="Calibri" w:cs="Calibri"/>
          <w:szCs w:val="24"/>
        </w:rPr>
        <w:t>(4), 1101–1111. https://doi.org/10.1016/j.ijhm.2012.01.003</w:t>
      </w:r>
    </w:p>
    <w:p w14:paraId="4223351F"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t xml:space="preserve">Schaufeli, W. B., </w:t>
      </w:r>
      <w:proofErr w:type="spellStart"/>
      <w:r w:rsidRPr="00CB5175">
        <w:rPr>
          <w:rFonts w:ascii="Calibri" w:hAnsi="Calibri" w:cs="Calibri"/>
          <w:szCs w:val="24"/>
        </w:rPr>
        <w:t>Salanova</w:t>
      </w:r>
      <w:proofErr w:type="spellEnd"/>
      <w:r w:rsidRPr="00CB5175">
        <w:rPr>
          <w:rFonts w:ascii="Calibri" w:hAnsi="Calibri" w:cs="Calibri"/>
          <w:szCs w:val="24"/>
        </w:rPr>
        <w:t>, M., González-</w:t>
      </w:r>
      <w:proofErr w:type="spellStart"/>
      <w:r w:rsidRPr="00CB5175">
        <w:rPr>
          <w:rFonts w:ascii="Calibri" w:hAnsi="Calibri" w:cs="Calibri"/>
          <w:szCs w:val="24"/>
        </w:rPr>
        <w:t>Romá</w:t>
      </w:r>
      <w:proofErr w:type="spellEnd"/>
      <w:r w:rsidRPr="00CB5175">
        <w:rPr>
          <w:rFonts w:ascii="Calibri" w:hAnsi="Calibri" w:cs="Calibri"/>
          <w:szCs w:val="24"/>
        </w:rPr>
        <w:t xml:space="preserve">, V., &amp; Bakker, A. B. (2002). The measurement of engagement and burnout. </w:t>
      </w:r>
      <w:r w:rsidRPr="00CB5175">
        <w:rPr>
          <w:rFonts w:ascii="Calibri" w:hAnsi="Calibri" w:cs="Calibri"/>
          <w:i/>
          <w:iCs/>
          <w:szCs w:val="24"/>
        </w:rPr>
        <w:t>Journal of Happiness Studies, 3</w:t>
      </w:r>
      <w:r w:rsidRPr="00CB5175">
        <w:rPr>
          <w:rFonts w:ascii="Calibri" w:hAnsi="Calibri" w:cs="Calibri"/>
          <w:szCs w:val="24"/>
        </w:rPr>
        <w:t>(1), 71–92. https://doi.org/10.1023/A:1015630930326</w:t>
      </w:r>
    </w:p>
    <w:p w14:paraId="5BB9ABDE" w14:textId="77777777" w:rsidR="00CB5175" w:rsidRPr="00CB5175" w:rsidRDefault="00CB5175" w:rsidP="00CB5175">
      <w:pPr>
        <w:spacing w:line="480" w:lineRule="auto"/>
        <w:rPr>
          <w:rFonts w:ascii="Calibri" w:hAnsi="Calibri" w:cs="Calibri"/>
          <w:szCs w:val="24"/>
        </w:rPr>
      </w:pPr>
      <w:r w:rsidRPr="00CB5175">
        <w:rPr>
          <w:rFonts w:ascii="Calibri" w:hAnsi="Calibri" w:cs="Calibri"/>
          <w:szCs w:val="24"/>
        </w:rPr>
        <w:lastRenderedPageBreak/>
        <w:t xml:space="preserve">Saks, A. M. (2006). Antecedents and consequences of employee engagement. </w:t>
      </w:r>
      <w:r w:rsidRPr="00CB5175">
        <w:rPr>
          <w:rFonts w:ascii="Calibri" w:hAnsi="Calibri" w:cs="Calibri"/>
          <w:i/>
          <w:iCs/>
          <w:szCs w:val="24"/>
        </w:rPr>
        <w:t>Journal of Managerial Psychology, 21</w:t>
      </w:r>
      <w:r w:rsidRPr="00CB5175">
        <w:rPr>
          <w:rFonts w:ascii="Calibri" w:hAnsi="Calibri" w:cs="Calibri"/>
          <w:szCs w:val="24"/>
        </w:rPr>
        <w:t xml:space="preserve">(7), 600–619. </w:t>
      </w:r>
      <w:hyperlink r:id="rId12" w:tgtFrame="_new" w:history="1">
        <w:r w:rsidRPr="00CB5175">
          <w:rPr>
            <w:rStyle w:val="Hyperlink"/>
            <w:rFonts w:ascii="Calibri" w:hAnsi="Calibri" w:cs="Calibri"/>
            <w:szCs w:val="24"/>
          </w:rPr>
          <w:t>https://doi.org/10.1108/02683940610690169</w:t>
        </w:r>
      </w:hyperlink>
    </w:p>
    <w:p w14:paraId="4E93613B" w14:textId="77777777" w:rsidR="005F18BA" w:rsidRPr="00406EDB" w:rsidRDefault="005F18BA" w:rsidP="00CB5175">
      <w:pPr>
        <w:spacing w:line="480" w:lineRule="auto"/>
        <w:rPr>
          <w:rFonts w:ascii="Calibri" w:hAnsi="Calibri" w:cs="Calibri"/>
        </w:rPr>
      </w:pPr>
    </w:p>
    <w:sectPr w:rsidR="005F18BA" w:rsidRPr="00406E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8BA"/>
    <w:rsid w:val="00047BCE"/>
    <w:rsid w:val="002850D4"/>
    <w:rsid w:val="00406EDB"/>
    <w:rsid w:val="005F18BA"/>
    <w:rsid w:val="0070535D"/>
    <w:rsid w:val="008E0E9E"/>
    <w:rsid w:val="00A520B4"/>
    <w:rsid w:val="00B03725"/>
    <w:rsid w:val="00B555AE"/>
    <w:rsid w:val="00CB5175"/>
    <w:rsid w:val="00DF11BD"/>
    <w:rsid w:val="00F36D51"/>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3F026"/>
  <w15:chartTrackingRefBased/>
  <w15:docId w15:val="{73B5A7C8-7767-425E-95E0-4511EE24B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8BA"/>
  </w:style>
  <w:style w:type="paragraph" w:styleId="Heading1">
    <w:name w:val="heading 1"/>
    <w:basedOn w:val="Normal"/>
    <w:next w:val="Normal"/>
    <w:link w:val="Heading1Char"/>
    <w:uiPriority w:val="9"/>
    <w:qFormat/>
    <w:rsid w:val="005F18B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5F18B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5F18B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5F18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18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18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18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18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18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8B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5F18B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5F18B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5F18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18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18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18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18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18BA"/>
    <w:rPr>
      <w:rFonts w:eastAsiaTheme="majorEastAsia" w:cstheme="majorBidi"/>
      <w:color w:val="272727" w:themeColor="text1" w:themeTint="D8"/>
    </w:rPr>
  </w:style>
  <w:style w:type="paragraph" w:styleId="Title">
    <w:name w:val="Title"/>
    <w:basedOn w:val="Normal"/>
    <w:next w:val="Normal"/>
    <w:link w:val="TitleChar"/>
    <w:uiPriority w:val="10"/>
    <w:qFormat/>
    <w:rsid w:val="005F18BA"/>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F18B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5F18B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5F18B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5F18BA"/>
    <w:pPr>
      <w:spacing w:before="160"/>
      <w:jc w:val="center"/>
    </w:pPr>
    <w:rPr>
      <w:i/>
      <w:iCs/>
      <w:color w:val="404040" w:themeColor="text1" w:themeTint="BF"/>
    </w:rPr>
  </w:style>
  <w:style w:type="character" w:customStyle="1" w:styleId="QuoteChar">
    <w:name w:val="Quote Char"/>
    <w:basedOn w:val="DefaultParagraphFont"/>
    <w:link w:val="Quote"/>
    <w:uiPriority w:val="29"/>
    <w:rsid w:val="005F18BA"/>
    <w:rPr>
      <w:i/>
      <w:iCs/>
      <w:color w:val="404040" w:themeColor="text1" w:themeTint="BF"/>
    </w:rPr>
  </w:style>
  <w:style w:type="paragraph" w:styleId="ListParagraph">
    <w:name w:val="List Paragraph"/>
    <w:basedOn w:val="Normal"/>
    <w:uiPriority w:val="34"/>
    <w:qFormat/>
    <w:rsid w:val="005F18BA"/>
    <w:pPr>
      <w:ind w:left="720"/>
      <w:contextualSpacing/>
    </w:pPr>
  </w:style>
  <w:style w:type="character" w:styleId="IntenseEmphasis">
    <w:name w:val="Intense Emphasis"/>
    <w:basedOn w:val="DefaultParagraphFont"/>
    <w:uiPriority w:val="21"/>
    <w:qFormat/>
    <w:rsid w:val="005F18BA"/>
    <w:rPr>
      <w:i/>
      <w:iCs/>
      <w:color w:val="0F4761" w:themeColor="accent1" w:themeShade="BF"/>
    </w:rPr>
  </w:style>
  <w:style w:type="paragraph" w:styleId="IntenseQuote">
    <w:name w:val="Intense Quote"/>
    <w:basedOn w:val="Normal"/>
    <w:next w:val="Normal"/>
    <w:link w:val="IntenseQuoteChar"/>
    <w:uiPriority w:val="30"/>
    <w:qFormat/>
    <w:rsid w:val="005F18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18BA"/>
    <w:rPr>
      <w:i/>
      <w:iCs/>
      <w:color w:val="0F4761" w:themeColor="accent1" w:themeShade="BF"/>
    </w:rPr>
  </w:style>
  <w:style w:type="character" w:styleId="IntenseReference">
    <w:name w:val="Intense Reference"/>
    <w:basedOn w:val="DefaultParagraphFont"/>
    <w:uiPriority w:val="32"/>
    <w:qFormat/>
    <w:rsid w:val="005F18BA"/>
    <w:rPr>
      <w:b/>
      <w:bCs/>
      <w:smallCaps/>
      <w:color w:val="0F4761" w:themeColor="accent1" w:themeShade="BF"/>
      <w:spacing w:val="5"/>
    </w:rPr>
  </w:style>
  <w:style w:type="paragraph" w:styleId="TOCHeading">
    <w:name w:val="TOC Heading"/>
    <w:basedOn w:val="Heading1"/>
    <w:next w:val="Normal"/>
    <w:uiPriority w:val="39"/>
    <w:unhideWhenUsed/>
    <w:qFormat/>
    <w:rsid w:val="005F18BA"/>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5F18BA"/>
    <w:pPr>
      <w:spacing w:after="100"/>
    </w:pPr>
  </w:style>
  <w:style w:type="character" w:styleId="Hyperlink">
    <w:name w:val="Hyperlink"/>
    <w:basedOn w:val="DefaultParagraphFont"/>
    <w:uiPriority w:val="99"/>
    <w:unhideWhenUsed/>
    <w:rsid w:val="005F18BA"/>
    <w:rPr>
      <w:color w:val="467886" w:themeColor="hyperlink"/>
      <w:u w:val="single"/>
    </w:rPr>
  </w:style>
  <w:style w:type="character" w:styleId="UnresolvedMention">
    <w:name w:val="Unresolved Mention"/>
    <w:basedOn w:val="DefaultParagraphFont"/>
    <w:uiPriority w:val="99"/>
    <w:semiHidden/>
    <w:unhideWhenUsed/>
    <w:rsid w:val="00CB51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leaqua.2018.07.004"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111/j.1748-8583.2005.tb00154.x" TargetMode="External"/><Relationship Id="rId12" Type="http://schemas.openxmlformats.org/officeDocument/2006/relationships/hyperlink" Target="https://doi.org/10.1108/0268394061069016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08/02683940710733115" TargetMode="External"/><Relationship Id="rId11" Type="http://schemas.openxmlformats.org/officeDocument/2006/relationships/hyperlink" Target="https://doi.org/10.1037/apl0000103" TargetMode="External"/><Relationship Id="rId5" Type="http://schemas.openxmlformats.org/officeDocument/2006/relationships/image" Target="media/image2.png"/><Relationship Id="rId10" Type="http://schemas.openxmlformats.org/officeDocument/2006/relationships/hyperlink" Target="https://doi.org/10.1037/0021-9010.87.2.268" TargetMode="External"/><Relationship Id="rId4" Type="http://schemas.openxmlformats.org/officeDocument/2006/relationships/image" Target="media/image1.png"/><Relationship Id="rId9" Type="http://schemas.openxmlformats.org/officeDocument/2006/relationships/hyperlink" Target="https://doi.org/10.1037/1065-9293.58.3.12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35</Pages>
  <Words>6951</Words>
  <Characters>39621</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2026-02-06T02:23:00Z</dcterms:created>
  <dcterms:modified xsi:type="dcterms:W3CDTF">2026-02-06T03:34:00Z</dcterms:modified>
</cp:coreProperties>
</file>