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30016"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A570012" w14:textId="77777777" w:rsidR="00672345" w:rsidRPr="0019504D" w:rsidRDefault="00672345" w:rsidP="00672345">
      <w:pPr>
        <w:rPr>
          <w:b/>
          <w:bCs/>
          <w:lang w:val="en-US"/>
        </w:rPr>
      </w:pPr>
      <w:r>
        <w:rPr>
          <w:b/>
          <w:bCs/>
          <w:lang w:val="en-US"/>
        </w:rPr>
        <w:t xml:space="preserve">Cultural Heritage Management </w:t>
      </w:r>
    </w:p>
    <w:p w14:paraId="16AA6F3C" w14:textId="77777777" w:rsidR="00672345" w:rsidRDefault="00672345" w:rsidP="00672345">
      <w:pPr>
        <w:rPr>
          <w:lang w:val="en-US"/>
        </w:rPr>
      </w:pPr>
      <w:r w:rsidRPr="0019504D">
        <w:rPr>
          <w:lang w:val="en-US"/>
        </w:rPr>
        <w:t>Ass</w:t>
      </w:r>
      <w:r>
        <w:rPr>
          <w:lang w:val="en-US"/>
        </w:rPr>
        <w:t>ignment 1</w:t>
      </w:r>
    </w:p>
    <w:p w14:paraId="237A0938" w14:textId="77777777" w:rsidR="00672345" w:rsidRPr="0019504D" w:rsidRDefault="00672345" w:rsidP="00672345">
      <w:pPr>
        <w:rPr>
          <w:lang w:val="en-US"/>
        </w:rPr>
      </w:pPr>
      <w:r>
        <w:rPr>
          <w:lang w:val="en-US"/>
        </w:rPr>
        <w:t>08.04.2026</w:t>
      </w:r>
    </w:p>
    <w:p w14:paraId="1BC07A92" w14:textId="77777777" w:rsidR="00672345" w:rsidRDefault="00672345"/>
    <w:p w14:paraId="422AE29E" w14:textId="77777777" w:rsidR="00672345" w:rsidRDefault="00672345"/>
    <w:p w14:paraId="0244AE5B" w14:textId="77777777" w:rsidR="00672345" w:rsidRDefault="00672345"/>
    <w:p w14:paraId="1FE17C34" w14:textId="77777777" w:rsidR="00672345" w:rsidRDefault="00672345"/>
    <w:p w14:paraId="286691A3" w14:textId="77777777" w:rsidR="00672345" w:rsidRDefault="00672345"/>
    <w:p w14:paraId="01EDF448" w14:textId="77777777" w:rsidR="00672345" w:rsidRDefault="00672345"/>
    <w:p w14:paraId="20C12E5F" w14:textId="77777777" w:rsidR="00672345" w:rsidRDefault="00672345"/>
    <w:p w14:paraId="2E1CBF8B" w14:textId="77777777" w:rsidR="00672345" w:rsidRDefault="00672345"/>
    <w:p w14:paraId="1FECF77D" w14:textId="77777777" w:rsidR="00672345" w:rsidRDefault="00672345"/>
    <w:p w14:paraId="60DF2E88" w14:textId="77777777" w:rsidR="00672345" w:rsidRDefault="00672345"/>
    <w:p w14:paraId="6D08F31E" w14:textId="77777777" w:rsidR="00672345" w:rsidRDefault="00672345"/>
    <w:p w14:paraId="0B63AC54" w14:textId="77777777" w:rsidR="00672345" w:rsidRDefault="00672345"/>
    <w:p w14:paraId="09D6D1AF" w14:textId="77777777" w:rsidR="00672345" w:rsidRDefault="00672345"/>
    <w:p w14:paraId="1136DEC6" w14:textId="77777777" w:rsidR="00672345" w:rsidRDefault="00672345" w:rsidP="00672345">
      <w:pPr>
        <w:spacing w:line="276" w:lineRule="auto"/>
        <w:rPr>
          <w:b/>
          <w:bCs/>
          <w:lang w:val="en-US"/>
        </w:rPr>
      </w:pPr>
      <w:r w:rsidRPr="00EA737F">
        <w:rPr>
          <w:b/>
          <w:bCs/>
          <w:lang w:val="en-US"/>
        </w:rPr>
        <w:t>In no more than 500 words</w:t>
      </w:r>
      <w:r>
        <w:rPr>
          <w:b/>
          <w:bCs/>
          <w:lang w:val="en-US"/>
        </w:rPr>
        <w:t>, each explain and 2-4 references:</w:t>
      </w:r>
    </w:p>
    <w:p w14:paraId="010D0E40" w14:textId="77777777" w:rsidR="00672345" w:rsidRDefault="00672345" w:rsidP="00672345">
      <w:pPr>
        <w:spacing w:line="276" w:lineRule="auto"/>
        <w:rPr>
          <w:b/>
          <w:bCs/>
          <w:lang w:val="en-US"/>
        </w:rPr>
      </w:pPr>
    </w:p>
    <w:p w14:paraId="6CE86931" w14:textId="77777777" w:rsidR="00672345" w:rsidRPr="00EA737F" w:rsidRDefault="00672345" w:rsidP="00672345">
      <w:pPr>
        <w:spacing w:line="276" w:lineRule="auto"/>
        <w:rPr>
          <w:b/>
          <w:bCs/>
          <w:lang w:val="en-US"/>
        </w:rPr>
      </w:pPr>
    </w:p>
    <w:p w14:paraId="2B1862A2" w14:textId="77777777" w:rsidR="00672345" w:rsidRDefault="00672345" w:rsidP="00672345">
      <w:pPr>
        <w:spacing w:line="276" w:lineRule="auto"/>
        <w:rPr>
          <w:lang w:val="en-US"/>
        </w:rPr>
      </w:pPr>
    </w:p>
    <w:p w14:paraId="618C9A2C" w14:textId="77777777" w:rsidR="00672345" w:rsidRPr="002171A0" w:rsidRDefault="00672345" w:rsidP="00672345">
      <w:pPr>
        <w:spacing w:line="276" w:lineRule="auto"/>
        <w:rPr>
          <w:lang w:val="en-US"/>
        </w:rPr>
      </w:pPr>
      <w:r w:rsidRPr="009C582A">
        <w:rPr>
          <w:lang w:val="en-US"/>
        </w:rPr>
        <w:t xml:space="preserve">1- </w:t>
      </w:r>
      <w:r w:rsidRPr="002171A0">
        <w:rPr>
          <w:lang w:val="en-US"/>
        </w:rPr>
        <w:t>Define cultural heritage. How do international organizations such as UNESCO conceptualize heritage?</w:t>
      </w:r>
    </w:p>
    <w:p w14:paraId="6A036219" w14:textId="77777777" w:rsidR="00672345" w:rsidRPr="002171A0" w:rsidRDefault="00672345" w:rsidP="00672345">
      <w:pPr>
        <w:spacing w:line="276" w:lineRule="auto"/>
        <w:rPr>
          <w:lang w:val="en-US"/>
        </w:rPr>
      </w:pPr>
    </w:p>
    <w:p w14:paraId="1ED74A4D" w14:textId="77777777" w:rsidR="00672345" w:rsidRPr="002171A0" w:rsidRDefault="00672345" w:rsidP="00672345">
      <w:pPr>
        <w:spacing w:line="276" w:lineRule="auto"/>
        <w:rPr>
          <w:lang w:val="en-US"/>
        </w:rPr>
      </w:pPr>
      <w:r>
        <w:rPr>
          <w:lang w:val="en-US"/>
        </w:rPr>
        <w:t xml:space="preserve">2- </w:t>
      </w:r>
      <w:r w:rsidRPr="002171A0">
        <w:rPr>
          <w:lang w:val="en-US"/>
        </w:rPr>
        <w:t>Differentiate between:</w:t>
      </w:r>
    </w:p>
    <w:p w14:paraId="444A310E" w14:textId="77777777" w:rsidR="00672345" w:rsidRPr="002171A0" w:rsidRDefault="00672345" w:rsidP="00672345">
      <w:pPr>
        <w:spacing w:line="276" w:lineRule="auto"/>
        <w:rPr>
          <w:lang w:val="en-US"/>
        </w:rPr>
      </w:pPr>
      <w:r w:rsidRPr="002171A0">
        <w:rPr>
          <w:lang w:val="en-US"/>
        </w:rPr>
        <w:t>Tangible heritage</w:t>
      </w:r>
    </w:p>
    <w:p w14:paraId="6D48D20E" w14:textId="77777777" w:rsidR="00672345" w:rsidRPr="009C582A" w:rsidRDefault="00672345" w:rsidP="00672345">
      <w:pPr>
        <w:spacing w:line="276" w:lineRule="auto"/>
      </w:pPr>
      <w:r w:rsidRPr="002171A0">
        <w:rPr>
          <w:lang w:val="en-US"/>
        </w:rPr>
        <w:t>Intangible heritage</w:t>
      </w:r>
    </w:p>
    <w:p w14:paraId="1DAF597A" w14:textId="77777777" w:rsidR="00672345" w:rsidRDefault="00672345">
      <w:pPr>
        <w:rPr>
          <w:lang w:val="en-US"/>
        </w:rPr>
      </w:pPr>
    </w:p>
    <w:p w14:paraId="5BD65637" w14:textId="77777777" w:rsidR="00706C01" w:rsidRDefault="00706C01">
      <w:pPr>
        <w:rPr>
          <w:lang w:val="en-US"/>
        </w:rPr>
      </w:pPr>
    </w:p>
    <w:p w14:paraId="17D8D603" w14:textId="77777777" w:rsidR="00706C01" w:rsidRDefault="00706C01">
      <w:pPr>
        <w:rPr>
          <w:lang w:val="en-US"/>
        </w:rPr>
      </w:pPr>
    </w:p>
    <w:p w14:paraId="5F29B98C" w14:textId="77777777" w:rsidR="00706C01" w:rsidRDefault="00706C01">
      <w:pPr>
        <w:rPr>
          <w:lang w:val="en-US"/>
        </w:rPr>
      </w:pPr>
    </w:p>
    <w:p w14:paraId="0CA7B702" w14:textId="77777777" w:rsidR="00706C01" w:rsidRDefault="00706C01">
      <w:pPr>
        <w:rPr>
          <w:lang w:val="en-US"/>
        </w:rPr>
      </w:pPr>
    </w:p>
    <w:p w14:paraId="26E51395" w14:textId="77777777" w:rsidR="00706C01" w:rsidRDefault="00706C01">
      <w:pPr>
        <w:rPr>
          <w:lang w:val="en-US"/>
        </w:rPr>
      </w:pPr>
    </w:p>
    <w:p w14:paraId="0384D70C" w14:textId="77777777" w:rsidR="00706C01" w:rsidRDefault="00706C01">
      <w:pPr>
        <w:rPr>
          <w:lang w:val="en-US"/>
        </w:rPr>
      </w:pPr>
    </w:p>
    <w:p w14:paraId="572FFFF2" w14:textId="77777777" w:rsidR="00706C01" w:rsidRDefault="00706C01">
      <w:pPr>
        <w:rPr>
          <w:lang w:val="en-US"/>
        </w:rPr>
      </w:pPr>
    </w:p>
    <w:p w14:paraId="6C277370" w14:textId="77777777" w:rsidR="00706C01" w:rsidRDefault="00706C01">
      <w:pPr>
        <w:rPr>
          <w:lang w:val="en-US"/>
        </w:rPr>
      </w:pPr>
    </w:p>
    <w:p w14:paraId="3515D7AB" w14:textId="77777777" w:rsidR="00706C01" w:rsidRDefault="00706C01">
      <w:pPr>
        <w:rPr>
          <w:lang w:val="en-US"/>
        </w:rPr>
      </w:pPr>
    </w:p>
    <w:p w14:paraId="61F77616" w14:textId="77777777" w:rsidR="00706C01" w:rsidRDefault="00706C01">
      <w:pPr>
        <w:rPr>
          <w:lang w:val="en-US"/>
        </w:rPr>
      </w:pPr>
    </w:p>
    <w:p w14:paraId="7D846D74" w14:textId="77777777" w:rsidR="00706C01" w:rsidRDefault="00706C01">
      <w:pPr>
        <w:rPr>
          <w:lang w:val="en-US"/>
        </w:rPr>
      </w:pPr>
    </w:p>
    <w:p w14:paraId="1953910D" w14:textId="77777777" w:rsidR="00706C01" w:rsidRDefault="00706C01">
      <w:pPr>
        <w:rPr>
          <w:lang w:val="en-US"/>
        </w:rPr>
      </w:pPr>
    </w:p>
    <w:p w14:paraId="5FD9FB84" w14:textId="77777777" w:rsidR="00706C01" w:rsidRDefault="00706C01">
      <w:pPr>
        <w:rPr>
          <w:lang w:val="en-US"/>
        </w:rPr>
      </w:pPr>
    </w:p>
    <w:p w14:paraId="46C7C63B" w14:textId="77777777" w:rsidR="00706C01" w:rsidRDefault="00706C01">
      <w:pPr>
        <w:rPr>
          <w:lang w:val="en-US"/>
        </w:rPr>
      </w:pPr>
    </w:p>
    <w:p w14:paraId="76CDD500" w14:textId="77777777" w:rsidR="00706C01" w:rsidRDefault="00706C01">
      <w:pPr>
        <w:rPr>
          <w:lang w:val="en-US"/>
        </w:rPr>
      </w:pPr>
    </w:p>
    <w:p w14:paraId="04A2658A" w14:textId="77777777" w:rsidR="00706C01" w:rsidRDefault="00706C01">
      <w:pPr>
        <w:rPr>
          <w:lang w:val="en-US"/>
        </w:rPr>
      </w:pPr>
    </w:p>
    <w:p w14:paraId="4E0A58DA" w14:textId="77777777" w:rsidR="00706C01" w:rsidRDefault="00706C01">
      <w:pPr>
        <w:rPr>
          <w:lang w:val="en-US"/>
        </w:rPr>
      </w:pPr>
    </w:p>
    <w:p w14:paraId="4DEDEE1F" w14:textId="77777777" w:rsidR="00706C01" w:rsidRDefault="00706C01">
      <w:pPr>
        <w:rPr>
          <w:lang w:val="en-US"/>
        </w:rPr>
      </w:pPr>
    </w:p>
    <w:p w14:paraId="44A528DC" w14:textId="5EDC6063" w:rsidR="000524D7" w:rsidRPr="000524D7" w:rsidRDefault="000524D7" w:rsidP="000524D7">
      <w:pPr>
        <w:rPr>
          <w:b/>
          <w:bCs/>
          <w:lang w:val="en-GB"/>
        </w:rPr>
      </w:pPr>
      <w:r w:rsidRPr="000524D7">
        <w:rPr>
          <w:b/>
          <w:bCs/>
          <w:lang w:val="en-GB"/>
        </w:rPr>
        <w:lastRenderedPageBreak/>
        <w:t xml:space="preserve">1. Definition of Cultural Heritage and UNESCO Conceptualization </w:t>
      </w:r>
    </w:p>
    <w:p w14:paraId="0F1D4C5A" w14:textId="77777777" w:rsidR="000524D7" w:rsidRPr="000524D7" w:rsidRDefault="000524D7" w:rsidP="000524D7">
      <w:pPr>
        <w:rPr>
          <w:lang w:val="en-GB"/>
        </w:rPr>
      </w:pPr>
      <w:r w:rsidRPr="000524D7">
        <w:rPr>
          <w:lang w:val="en-GB"/>
        </w:rPr>
        <w:t>Cultural heritage refers to the legacy of physical artifacts and intangible attributes inherited from past generations, maintained in the present, and preserved for future generations. It encompasses monuments, buildings, landscapes, traditions, languages, rituals, and knowledge systems that communities recognize as part of their identity and continuity (Smith, 2006).</w:t>
      </w:r>
    </w:p>
    <w:p w14:paraId="7206D6A9" w14:textId="77777777" w:rsidR="000524D7" w:rsidRPr="000524D7" w:rsidRDefault="000524D7" w:rsidP="000524D7">
      <w:pPr>
        <w:rPr>
          <w:lang w:val="en-GB"/>
        </w:rPr>
      </w:pPr>
      <w:r w:rsidRPr="000524D7">
        <w:rPr>
          <w:lang w:val="en-GB"/>
        </w:rPr>
        <w:t>UNESCO conceptualizes cultural heritage broadly through two major frameworks: the 1972 World Heritage Convention and the 2003 Convention for the Safeguarding of Intangible Cultural Heritage. Under UNESCO, heritage is not limited to monuments or objects but includes living expressions and practices. The 1972 Convention emphasizes outstanding universal value, focusing on sites (cultural and natural) deemed important for all humanity. In contrast, the 2003 Convention shifts attention toward community-based heritage, recognizing practices, expressions, knowledge, and skills as integral to cultural diversity (UNESCO, 2003).</w:t>
      </w:r>
    </w:p>
    <w:p w14:paraId="0B65F38E" w14:textId="77777777" w:rsidR="000524D7" w:rsidRPr="000524D7" w:rsidRDefault="000524D7" w:rsidP="000524D7">
      <w:pPr>
        <w:rPr>
          <w:lang w:val="en-GB"/>
        </w:rPr>
      </w:pPr>
      <w:r w:rsidRPr="000524D7">
        <w:rPr>
          <w:lang w:val="en-GB"/>
        </w:rPr>
        <w:t>UNESCO’s approach highlights three key ideas:</w:t>
      </w:r>
    </w:p>
    <w:p w14:paraId="613D4043" w14:textId="77777777" w:rsidR="000524D7" w:rsidRPr="000524D7" w:rsidRDefault="000524D7" w:rsidP="000524D7">
      <w:pPr>
        <w:numPr>
          <w:ilvl w:val="0"/>
          <w:numId w:val="3"/>
        </w:numPr>
        <w:rPr>
          <w:lang w:val="en-GB"/>
        </w:rPr>
      </w:pPr>
      <w:r w:rsidRPr="000524D7">
        <w:rPr>
          <w:lang w:val="en-GB"/>
        </w:rPr>
        <w:t xml:space="preserve">Universality – Heritage belongs to all humankind, transcending national boundaries. </w:t>
      </w:r>
    </w:p>
    <w:p w14:paraId="05D73498" w14:textId="77777777" w:rsidR="000524D7" w:rsidRPr="000524D7" w:rsidRDefault="000524D7" w:rsidP="000524D7">
      <w:pPr>
        <w:numPr>
          <w:ilvl w:val="0"/>
          <w:numId w:val="3"/>
        </w:numPr>
        <w:rPr>
          <w:lang w:val="en-GB"/>
        </w:rPr>
      </w:pPr>
      <w:r w:rsidRPr="000524D7">
        <w:rPr>
          <w:lang w:val="en-GB"/>
        </w:rPr>
        <w:t xml:space="preserve">Diversity – Cultural heritage reflects the diversity of human creativity and identity. </w:t>
      </w:r>
    </w:p>
    <w:p w14:paraId="2C094E10" w14:textId="77777777" w:rsidR="000524D7" w:rsidRPr="000524D7" w:rsidRDefault="000524D7" w:rsidP="000524D7">
      <w:pPr>
        <w:numPr>
          <w:ilvl w:val="0"/>
          <w:numId w:val="3"/>
        </w:numPr>
        <w:rPr>
          <w:lang w:val="en-GB"/>
        </w:rPr>
      </w:pPr>
      <w:r w:rsidRPr="000524D7">
        <w:rPr>
          <w:lang w:val="en-GB"/>
        </w:rPr>
        <w:t xml:space="preserve">Community participation – Especially in intangible heritage, communities are central to defining and safeguarding their heritage. </w:t>
      </w:r>
    </w:p>
    <w:p w14:paraId="7C04810B" w14:textId="77777777" w:rsidR="000524D7" w:rsidRPr="000524D7" w:rsidRDefault="000524D7" w:rsidP="000524D7">
      <w:pPr>
        <w:rPr>
          <w:lang w:val="en-GB"/>
        </w:rPr>
      </w:pPr>
      <w:r w:rsidRPr="000524D7">
        <w:rPr>
          <w:lang w:val="en-GB"/>
        </w:rPr>
        <w:t>Scholars argue that UNESCO’s framework has evolved from a monument-</w:t>
      </w:r>
      <w:proofErr w:type="spellStart"/>
      <w:r w:rsidRPr="000524D7">
        <w:rPr>
          <w:lang w:val="en-GB"/>
        </w:rPr>
        <w:t>centered</w:t>
      </w:r>
      <w:proofErr w:type="spellEnd"/>
      <w:r w:rsidRPr="000524D7">
        <w:rPr>
          <w:lang w:val="en-GB"/>
        </w:rPr>
        <w:t xml:space="preserve"> perspective to a more inclusive, people-</w:t>
      </w:r>
      <w:proofErr w:type="spellStart"/>
      <w:r w:rsidRPr="000524D7">
        <w:rPr>
          <w:lang w:val="en-GB"/>
        </w:rPr>
        <w:t>centered</w:t>
      </w:r>
      <w:proofErr w:type="spellEnd"/>
      <w:r w:rsidRPr="000524D7">
        <w:rPr>
          <w:lang w:val="en-GB"/>
        </w:rPr>
        <w:t xml:space="preserve"> approach (</w:t>
      </w:r>
      <w:proofErr w:type="spellStart"/>
      <w:r w:rsidRPr="000524D7">
        <w:rPr>
          <w:lang w:val="en-GB"/>
        </w:rPr>
        <w:t>Vecco</w:t>
      </w:r>
      <w:proofErr w:type="spellEnd"/>
      <w:r w:rsidRPr="000524D7">
        <w:rPr>
          <w:lang w:val="en-GB"/>
        </w:rPr>
        <w:t>, 2010). This shift recognizes that heritage is not static but dynamic, constantly recreated by communities in response to their environment and history.</w:t>
      </w:r>
    </w:p>
    <w:p w14:paraId="53D77CE7" w14:textId="73FEE08B" w:rsidR="000524D7" w:rsidRPr="000524D7" w:rsidRDefault="000524D7" w:rsidP="000524D7">
      <w:pPr>
        <w:rPr>
          <w:b/>
          <w:bCs/>
          <w:lang w:val="en-GB"/>
        </w:rPr>
      </w:pPr>
    </w:p>
    <w:p w14:paraId="0CDF9824" w14:textId="2635AB71" w:rsidR="000524D7" w:rsidRDefault="000524D7" w:rsidP="000524D7">
      <w:pPr>
        <w:rPr>
          <w:b/>
          <w:bCs/>
          <w:lang w:val="en-GB"/>
        </w:rPr>
      </w:pPr>
      <w:r w:rsidRPr="000524D7">
        <w:rPr>
          <w:b/>
          <w:bCs/>
          <w:lang w:val="en-GB"/>
        </w:rPr>
        <w:t xml:space="preserve">2. Difference Between Tangible and Intangible Heritage </w:t>
      </w:r>
    </w:p>
    <w:p w14:paraId="5A53699A" w14:textId="77777777" w:rsidR="000524D7" w:rsidRPr="000524D7" w:rsidRDefault="000524D7" w:rsidP="000524D7">
      <w:pPr>
        <w:rPr>
          <w:b/>
          <w:bCs/>
          <w:lang w:val="en-GB"/>
        </w:rPr>
      </w:pPr>
    </w:p>
    <w:p w14:paraId="78DC57F8" w14:textId="77777777" w:rsidR="000524D7" w:rsidRPr="000524D7" w:rsidRDefault="000524D7" w:rsidP="000524D7">
      <w:pPr>
        <w:rPr>
          <w:lang w:val="en-GB"/>
        </w:rPr>
      </w:pPr>
      <w:r w:rsidRPr="000524D7">
        <w:rPr>
          <w:lang w:val="en-GB"/>
        </w:rPr>
        <w:t>Cultural heritage is commonly divided into tangible and intangible categories, though both are interconnected.</w:t>
      </w:r>
    </w:p>
    <w:p w14:paraId="3827BC75" w14:textId="77777777" w:rsidR="000524D7" w:rsidRPr="000524D7" w:rsidRDefault="000524D7" w:rsidP="000524D7">
      <w:pPr>
        <w:rPr>
          <w:lang w:val="en-GB"/>
        </w:rPr>
      </w:pPr>
      <w:r w:rsidRPr="000524D7">
        <w:rPr>
          <w:lang w:val="en-GB"/>
        </w:rPr>
        <w:t>Tangible heritage refers to physical, material objects that can be seen and touched. This includes monuments, buildings, artifacts, archaeological sites, and cultural landscapes. Examples include the Taj Mahal, pyramids, or museum collections. Tangible heritage is often easier to identify, document, and preserve through conservation techniques. It has traditionally been the focus of heritage management, especially under early UNESCO frameworks (Ashworth &amp; Tunbridge, 2000).</w:t>
      </w:r>
    </w:p>
    <w:p w14:paraId="6775959D" w14:textId="77777777" w:rsidR="000524D7" w:rsidRPr="000524D7" w:rsidRDefault="000524D7" w:rsidP="000524D7">
      <w:pPr>
        <w:rPr>
          <w:lang w:val="en-GB"/>
        </w:rPr>
      </w:pPr>
      <w:r w:rsidRPr="000524D7">
        <w:rPr>
          <w:lang w:val="en-GB"/>
        </w:rPr>
        <w:t>Intangible heritage, on the other hand, consists of non-physical elements such as traditions, oral histories, performing arts, rituals, festivals, and traditional knowledge. These are living expressions that are transmitted from generation to generation. For example, yoga, folk music, or traditional craftsmanship practices are forms of intangible heritage. Unlike tangible heritage, it cannot be preserved in a fixed form; instead, it requires safeguarding through continued practice and transmission (Hafstein, 2009).</w:t>
      </w:r>
    </w:p>
    <w:p w14:paraId="24F9A252" w14:textId="77777777" w:rsidR="000524D7" w:rsidRPr="000524D7" w:rsidRDefault="000524D7" w:rsidP="000524D7">
      <w:pPr>
        <w:rPr>
          <w:lang w:val="en-GB"/>
        </w:rPr>
      </w:pPr>
      <w:r w:rsidRPr="000524D7">
        <w:rPr>
          <w:lang w:val="en-GB"/>
        </w:rPr>
        <w:t>The key differences can be summarized as follows:</w:t>
      </w:r>
    </w:p>
    <w:p w14:paraId="17D4E80D" w14:textId="77777777" w:rsidR="000524D7" w:rsidRPr="000524D7" w:rsidRDefault="000524D7" w:rsidP="000524D7">
      <w:pPr>
        <w:numPr>
          <w:ilvl w:val="0"/>
          <w:numId w:val="4"/>
        </w:numPr>
        <w:rPr>
          <w:lang w:val="en-GB"/>
        </w:rPr>
      </w:pPr>
      <w:r w:rsidRPr="000524D7">
        <w:rPr>
          <w:lang w:val="en-GB"/>
        </w:rPr>
        <w:t xml:space="preserve">Nature: Tangible is physical; intangible is non-physical. </w:t>
      </w:r>
    </w:p>
    <w:p w14:paraId="5DD70068" w14:textId="77777777" w:rsidR="000524D7" w:rsidRPr="000524D7" w:rsidRDefault="000524D7" w:rsidP="000524D7">
      <w:pPr>
        <w:numPr>
          <w:ilvl w:val="0"/>
          <w:numId w:val="4"/>
        </w:numPr>
        <w:rPr>
          <w:lang w:val="en-GB"/>
        </w:rPr>
      </w:pPr>
      <w:r w:rsidRPr="000524D7">
        <w:rPr>
          <w:lang w:val="en-GB"/>
        </w:rPr>
        <w:t xml:space="preserve">Preservation: Tangible is conserved; intangible is safeguarded through practice. </w:t>
      </w:r>
    </w:p>
    <w:p w14:paraId="1C376CC7" w14:textId="77777777" w:rsidR="000524D7" w:rsidRPr="000524D7" w:rsidRDefault="000524D7" w:rsidP="000524D7">
      <w:pPr>
        <w:numPr>
          <w:ilvl w:val="0"/>
          <w:numId w:val="4"/>
        </w:numPr>
        <w:rPr>
          <w:lang w:val="en-GB"/>
        </w:rPr>
      </w:pPr>
      <w:r w:rsidRPr="000524D7">
        <w:rPr>
          <w:lang w:val="en-GB"/>
        </w:rPr>
        <w:t xml:space="preserve">Transmission: Tangible is inherited as objects; intangible is transmitted through learning and participation. </w:t>
      </w:r>
    </w:p>
    <w:p w14:paraId="1554BD5A" w14:textId="77777777" w:rsidR="000524D7" w:rsidRPr="000524D7" w:rsidRDefault="000524D7" w:rsidP="000524D7">
      <w:pPr>
        <w:numPr>
          <w:ilvl w:val="0"/>
          <w:numId w:val="4"/>
        </w:numPr>
        <w:rPr>
          <w:lang w:val="en-GB"/>
        </w:rPr>
      </w:pPr>
      <w:r w:rsidRPr="000524D7">
        <w:rPr>
          <w:lang w:val="en-GB"/>
        </w:rPr>
        <w:t xml:space="preserve">Focus: Tangible emphasizes objects/sites; intangible emphasizes people and practices. </w:t>
      </w:r>
    </w:p>
    <w:p w14:paraId="6EF0DBDE" w14:textId="77777777" w:rsidR="000524D7" w:rsidRPr="000524D7" w:rsidRDefault="000524D7" w:rsidP="000524D7">
      <w:pPr>
        <w:rPr>
          <w:lang w:val="en-GB"/>
        </w:rPr>
      </w:pPr>
      <w:r w:rsidRPr="000524D7">
        <w:rPr>
          <w:lang w:val="en-GB"/>
        </w:rPr>
        <w:lastRenderedPageBreak/>
        <w:t>Despite these differences, the two are deeply interconnected. For instance, a historic temple (tangible) gains meaning through rituals and traditions (intangible). Modern heritage discourse emphasizes this relationship, advocating for integrated approaches to heritage management (Smith, 2006).</w:t>
      </w:r>
    </w:p>
    <w:p w14:paraId="292FBA01" w14:textId="5CEBD878" w:rsidR="000524D7" w:rsidRPr="000524D7" w:rsidRDefault="000524D7" w:rsidP="000524D7">
      <w:pPr>
        <w:rPr>
          <w:b/>
          <w:bCs/>
          <w:lang w:val="en-GB"/>
        </w:rPr>
      </w:pPr>
    </w:p>
    <w:p w14:paraId="26FF70A3" w14:textId="77777777" w:rsidR="000524D7" w:rsidRPr="000524D7" w:rsidRDefault="000524D7" w:rsidP="000524D7">
      <w:pPr>
        <w:rPr>
          <w:b/>
          <w:bCs/>
          <w:lang w:val="en-GB"/>
        </w:rPr>
      </w:pPr>
      <w:r w:rsidRPr="000524D7">
        <w:rPr>
          <w:b/>
          <w:bCs/>
          <w:lang w:val="en-GB"/>
        </w:rPr>
        <w:t>References</w:t>
      </w:r>
    </w:p>
    <w:p w14:paraId="3090E080" w14:textId="77777777" w:rsidR="000524D7" w:rsidRPr="000524D7" w:rsidRDefault="000524D7" w:rsidP="000524D7">
      <w:pPr>
        <w:numPr>
          <w:ilvl w:val="0"/>
          <w:numId w:val="5"/>
        </w:numPr>
        <w:rPr>
          <w:b/>
          <w:bCs/>
          <w:lang w:val="en-GB"/>
        </w:rPr>
      </w:pPr>
      <w:r w:rsidRPr="000524D7">
        <w:rPr>
          <w:b/>
          <w:bCs/>
          <w:lang w:val="en-GB"/>
        </w:rPr>
        <w:t xml:space="preserve">Ashworth, G. J., &amp; Tunbridge, J. E. (2000). </w:t>
      </w:r>
      <w:r w:rsidRPr="000524D7">
        <w:rPr>
          <w:b/>
          <w:bCs/>
          <w:i/>
          <w:iCs/>
          <w:lang w:val="en-GB"/>
        </w:rPr>
        <w:t>The Tourist-Historic City</w:t>
      </w:r>
      <w:r w:rsidRPr="000524D7">
        <w:rPr>
          <w:b/>
          <w:bCs/>
          <w:lang w:val="en-GB"/>
        </w:rPr>
        <w:t xml:space="preserve">. Routledge. https://doi.org/10.4324/9780080513038 </w:t>
      </w:r>
    </w:p>
    <w:p w14:paraId="41016CAF" w14:textId="77777777" w:rsidR="000524D7" w:rsidRPr="000524D7" w:rsidRDefault="000524D7" w:rsidP="000524D7">
      <w:pPr>
        <w:numPr>
          <w:ilvl w:val="0"/>
          <w:numId w:val="5"/>
        </w:numPr>
        <w:rPr>
          <w:b/>
          <w:bCs/>
          <w:lang w:val="en-GB"/>
        </w:rPr>
      </w:pPr>
      <w:r w:rsidRPr="000524D7">
        <w:rPr>
          <w:b/>
          <w:bCs/>
          <w:lang w:val="en-GB"/>
        </w:rPr>
        <w:t xml:space="preserve">Hafstein, V. (2009). Intangible heritage as a list: From masterpieces to representation. </w:t>
      </w:r>
      <w:r w:rsidRPr="000524D7">
        <w:rPr>
          <w:b/>
          <w:bCs/>
          <w:i/>
          <w:iCs/>
          <w:lang w:val="en-GB"/>
        </w:rPr>
        <w:t>Intangible Heritage</w:t>
      </w:r>
      <w:r w:rsidRPr="000524D7">
        <w:rPr>
          <w:b/>
          <w:bCs/>
          <w:lang w:val="en-GB"/>
        </w:rPr>
        <w:t xml:space="preserve">, 93–111. https://doi.org/10.4324/9780203877924 </w:t>
      </w:r>
    </w:p>
    <w:p w14:paraId="6EB35BC6" w14:textId="77777777" w:rsidR="000524D7" w:rsidRPr="000524D7" w:rsidRDefault="000524D7" w:rsidP="000524D7">
      <w:pPr>
        <w:numPr>
          <w:ilvl w:val="0"/>
          <w:numId w:val="5"/>
        </w:numPr>
        <w:rPr>
          <w:b/>
          <w:bCs/>
          <w:lang w:val="en-GB"/>
        </w:rPr>
      </w:pPr>
      <w:r w:rsidRPr="000524D7">
        <w:rPr>
          <w:b/>
          <w:bCs/>
          <w:lang w:val="en-GB"/>
        </w:rPr>
        <w:t xml:space="preserve">Smith, L. (2006). </w:t>
      </w:r>
      <w:r w:rsidRPr="000524D7">
        <w:rPr>
          <w:b/>
          <w:bCs/>
          <w:i/>
          <w:iCs/>
          <w:lang w:val="en-GB"/>
        </w:rPr>
        <w:t>Uses of Heritage</w:t>
      </w:r>
      <w:r w:rsidRPr="000524D7">
        <w:rPr>
          <w:b/>
          <w:bCs/>
          <w:lang w:val="en-GB"/>
        </w:rPr>
        <w:t xml:space="preserve">. Routledge. https://doi.org/10.4324/9780203602267 </w:t>
      </w:r>
    </w:p>
    <w:p w14:paraId="71D4B1D7" w14:textId="77777777" w:rsidR="000524D7" w:rsidRPr="000524D7" w:rsidRDefault="000524D7" w:rsidP="000524D7">
      <w:pPr>
        <w:numPr>
          <w:ilvl w:val="0"/>
          <w:numId w:val="5"/>
        </w:numPr>
        <w:rPr>
          <w:b/>
          <w:bCs/>
          <w:lang w:val="en-GB"/>
        </w:rPr>
      </w:pPr>
      <w:proofErr w:type="spellStart"/>
      <w:r w:rsidRPr="000524D7">
        <w:rPr>
          <w:b/>
          <w:bCs/>
          <w:lang w:val="en-GB"/>
        </w:rPr>
        <w:t>Vecco</w:t>
      </w:r>
      <w:proofErr w:type="spellEnd"/>
      <w:r w:rsidRPr="000524D7">
        <w:rPr>
          <w:b/>
          <w:bCs/>
          <w:lang w:val="en-GB"/>
        </w:rPr>
        <w:t xml:space="preserve">, M. (2010). A definition of cultural heritage: From the tangible to the intangible. </w:t>
      </w:r>
      <w:r w:rsidRPr="000524D7">
        <w:rPr>
          <w:b/>
          <w:bCs/>
          <w:i/>
          <w:iCs/>
          <w:lang w:val="en-GB"/>
        </w:rPr>
        <w:t>Journal of Cultural Heritage</w:t>
      </w:r>
      <w:r w:rsidRPr="000524D7">
        <w:rPr>
          <w:b/>
          <w:bCs/>
          <w:lang w:val="en-GB"/>
        </w:rPr>
        <w:t xml:space="preserve">, 11(3), 321–324. </w:t>
      </w:r>
      <w:hyperlink r:id="rId6" w:tgtFrame="_new" w:history="1">
        <w:r w:rsidRPr="000524D7">
          <w:rPr>
            <w:rStyle w:val="Hyperlink"/>
            <w:b/>
            <w:bCs/>
            <w:lang w:val="en-GB"/>
          </w:rPr>
          <w:t>https://doi.org/10.1016/j.culher.2010.01.006</w:t>
        </w:r>
      </w:hyperlink>
      <w:r w:rsidRPr="000524D7">
        <w:rPr>
          <w:b/>
          <w:bCs/>
          <w:lang w:val="en-GB"/>
        </w:rPr>
        <w:t xml:space="preserve"> </w:t>
      </w:r>
    </w:p>
    <w:p w14:paraId="07B76923" w14:textId="77777777" w:rsidR="000524D7" w:rsidRPr="000524D7" w:rsidRDefault="000524D7" w:rsidP="000524D7">
      <w:pPr>
        <w:numPr>
          <w:ilvl w:val="0"/>
          <w:numId w:val="5"/>
        </w:numPr>
        <w:rPr>
          <w:b/>
          <w:bCs/>
          <w:lang w:val="en-GB"/>
        </w:rPr>
      </w:pPr>
      <w:r w:rsidRPr="000524D7">
        <w:rPr>
          <w:b/>
          <w:bCs/>
          <w:lang w:val="en-GB"/>
        </w:rPr>
        <w:t xml:space="preserve">UNESCO (2003). </w:t>
      </w:r>
      <w:r w:rsidRPr="000524D7">
        <w:rPr>
          <w:b/>
          <w:bCs/>
          <w:i/>
          <w:iCs/>
          <w:lang w:val="en-GB"/>
        </w:rPr>
        <w:t>Convention for the Safeguarding of the Intangible Cultural Heritage</w:t>
      </w:r>
      <w:r w:rsidRPr="000524D7">
        <w:rPr>
          <w:b/>
          <w:bCs/>
          <w:lang w:val="en-GB"/>
        </w:rPr>
        <w:t xml:space="preserve">. https://doi.org/10.18356/8d3f3c9d-en </w:t>
      </w:r>
    </w:p>
    <w:p w14:paraId="25196568" w14:textId="77777777" w:rsidR="00706C01" w:rsidRPr="00706C01" w:rsidRDefault="00706C01" w:rsidP="000524D7">
      <w:pPr>
        <w:rPr>
          <w:lang w:val="en-US"/>
        </w:rPr>
      </w:pPr>
    </w:p>
    <w:sectPr w:rsidR="00706C01" w:rsidRPr="00706C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F2B88D00-3B1A-4EF0-AF56-32DE4B98C559}"/>
    <w:embedBold r:id="rId2" w:fontKey="{B5B73E07-1B6C-4DF0-9F0E-4938C38067AE}"/>
    <w:embedBoldItalic r:id="rId3" w:fontKey="{74E45E00-AFDC-4DE7-990E-1E4B11C2078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E44FBABA-3955-41FE-8A0F-E5FA2D38AECE}"/>
  </w:font>
  <w:font w:name="Calibri Light">
    <w:panose1 w:val="020F0302020204030204"/>
    <w:charset w:val="00"/>
    <w:family w:val="swiss"/>
    <w:pitch w:val="variable"/>
    <w:sig w:usb0="E4002EFF" w:usb1="C000247B" w:usb2="00000009" w:usb3="00000000" w:csb0="000001FF" w:csb1="00000000"/>
    <w:embedRegular r:id="rId5" w:fontKey="{F2A5D633-ABDD-4DBC-BA8E-C7A9CDAADC6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6652BA"/>
    <w:multiLevelType w:val="multilevel"/>
    <w:tmpl w:val="E3002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CD552F"/>
    <w:multiLevelType w:val="multilevel"/>
    <w:tmpl w:val="8A80D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C62FF1"/>
    <w:multiLevelType w:val="multilevel"/>
    <w:tmpl w:val="E7F2F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8076B43"/>
    <w:multiLevelType w:val="multilevel"/>
    <w:tmpl w:val="584E1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A9753A4"/>
    <w:multiLevelType w:val="multilevel"/>
    <w:tmpl w:val="1980A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07645453">
    <w:abstractNumId w:val="2"/>
  </w:num>
  <w:num w:numId="2" w16cid:durableId="403377365">
    <w:abstractNumId w:val="3"/>
  </w:num>
  <w:num w:numId="3" w16cid:durableId="1948080051">
    <w:abstractNumId w:val="4"/>
  </w:num>
  <w:num w:numId="4" w16cid:durableId="497385274">
    <w:abstractNumId w:val="1"/>
  </w:num>
  <w:num w:numId="5" w16cid:durableId="3688462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26BE1"/>
    <w:rsid w:val="0003533E"/>
    <w:rsid w:val="000524D7"/>
    <w:rsid w:val="001700EC"/>
    <w:rsid w:val="00174BB1"/>
    <w:rsid w:val="00224FD9"/>
    <w:rsid w:val="002F4AE0"/>
    <w:rsid w:val="00384E8A"/>
    <w:rsid w:val="003D1074"/>
    <w:rsid w:val="00426865"/>
    <w:rsid w:val="00477CAA"/>
    <w:rsid w:val="00502E29"/>
    <w:rsid w:val="005E458B"/>
    <w:rsid w:val="00672345"/>
    <w:rsid w:val="00706C01"/>
    <w:rsid w:val="00844EC2"/>
    <w:rsid w:val="008516FE"/>
    <w:rsid w:val="009C1D0A"/>
    <w:rsid w:val="00A044F7"/>
    <w:rsid w:val="00A8150E"/>
    <w:rsid w:val="00B20343"/>
    <w:rsid w:val="00B85EA7"/>
    <w:rsid w:val="00BE65DD"/>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EAE85"/>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706C01"/>
    <w:rPr>
      <w:color w:val="0563C1" w:themeColor="hyperlink"/>
      <w:u w:val="single"/>
    </w:rPr>
  </w:style>
  <w:style w:type="character" w:styleId="UnresolvedMention">
    <w:name w:val="Unresolved Mention"/>
    <w:basedOn w:val="DefaultParagraphFont"/>
    <w:uiPriority w:val="99"/>
    <w:semiHidden/>
    <w:unhideWhenUsed/>
    <w:rsid w:val="00706C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culher.2010.01.006"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690</Words>
  <Characters>3939</Characters>
  <Application>Microsoft Office Word</Application>
  <DocSecurity>0</DocSecurity>
  <Lines>32</Lines>
  <Paragraphs>9</Paragraphs>
  <ScaleCrop>false</ScaleCrop>
  <Company/>
  <LinksUpToDate>false</LinksUpToDate>
  <CharactersWithSpaces>4620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2026-04-10T01:44:00Z</dcterms:created>
  <dcterms:modified xsi:type="dcterms:W3CDTF">2026-04-10T01:44:00Z</dcterms:modified>
</cp:coreProperties>
</file>