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52F2F" w14:textId="77777777" w:rsidR="00C63287" w:rsidRPr="000C2ACC" w:rsidRDefault="00C63287" w:rsidP="00C63287">
      <w:pPr>
        <w:spacing w:line="36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0B647C4E" wp14:editId="29016CE4">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77CFEB79" w14:textId="77777777" w:rsidR="00C63287" w:rsidRPr="000C2ACC" w:rsidRDefault="00C63287" w:rsidP="00C6328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7E897325" w14:textId="77777777" w:rsidR="00C63287" w:rsidRPr="000C2ACC" w:rsidRDefault="00C63287" w:rsidP="00C6328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Assignment 1: The Legal Framework of Tourism: Key Legislation and Global</w:t>
      </w:r>
    </w:p>
    <w:p w14:paraId="7A134BBF" w14:textId="77777777" w:rsidR="00C63287" w:rsidRPr="000C2ACC" w:rsidRDefault="00C63287" w:rsidP="00C63287">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 </w:t>
      </w:r>
      <w:r w:rsidRPr="000C2ACC">
        <w:rPr>
          <w:rFonts w:ascii="Times New Roman" w:hAnsi="Times New Roman" w:cs="Times New Roman"/>
          <w:b/>
          <w:bCs/>
          <w:szCs w:val="24"/>
        </w:rPr>
        <w:t>Practices</w:t>
      </w:r>
    </w:p>
    <w:p w14:paraId="514DE196" w14:textId="77777777" w:rsidR="00C63287" w:rsidRPr="000C2ACC" w:rsidRDefault="00C63287" w:rsidP="00C63287">
      <w:pPr>
        <w:spacing w:line="360" w:lineRule="auto"/>
        <w:rPr>
          <w:rFonts w:ascii="Times New Roman" w:hAnsi="Times New Roman" w:cs="Times New Roman"/>
          <w:b/>
          <w:bCs/>
          <w:szCs w:val="24"/>
        </w:rPr>
      </w:pPr>
      <w:r w:rsidRPr="000C2ACC">
        <w:rPr>
          <w:rFonts w:ascii="Times New Roman" w:hAnsi="Times New Roman" w:cs="Times New Roman"/>
          <w:b/>
          <w:bCs/>
          <w:szCs w:val="24"/>
        </w:rPr>
        <w:t>Question:</w:t>
      </w:r>
    </w:p>
    <w:p w14:paraId="33D4136E" w14:textId="77777777" w:rsidR="00C63287" w:rsidRPr="000C2ACC" w:rsidRDefault="00C63287" w:rsidP="00C6328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 How do international conventions and national tourism laws work together to</w:t>
      </w:r>
    </w:p>
    <w:p w14:paraId="69FA37ED" w14:textId="77777777" w:rsidR="00C63287" w:rsidRPr="000C2ACC" w:rsidRDefault="00C63287" w:rsidP="00C6328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regulate cross-border tourism, and what role does the United Nations World</w:t>
      </w:r>
    </w:p>
    <w:p w14:paraId="3F407E8D" w14:textId="77777777" w:rsidR="00C63287" w:rsidRPr="00CC67E8" w:rsidRDefault="00C63287" w:rsidP="00C63287">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Organization (UNWTO) play in this process?</w:t>
      </w:r>
    </w:p>
    <w:p w14:paraId="2843BFF1" w14:textId="77777777" w:rsidR="00C63287" w:rsidRPr="00CC67E8" w:rsidRDefault="00C63287" w:rsidP="00C63287">
      <w:pPr>
        <w:spacing w:line="360" w:lineRule="auto"/>
        <w:jc w:val="center"/>
        <w:rPr>
          <w:rFonts w:ascii="Times New Roman" w:hAnsi="Times New Roman" w:cs="Times New Roman"/>
          <w:b/>
          <w:bCs/>
          <w:szCs w:val="24"/>
        </w:rPr>
      </w:pPr>
    </w:p>
    <w:p w14:paraId="4A27366D" w14:textId="77777777" w:rsidR="00C63287" w:rsidRPr="00CC67E8" w:rsidRDefault="00C63287" w:rsidP="00C63287">
      <w:pPr>
        <w:spacing w:line="360" w:lineRule="auto"/>
        <w:jc w:val="center"/>
        <w:rPr>
          <w:rFonts w:ascii="Times New Roman" w:hAnsi="Times New Roman" w:cs="Times New Roman"/>
          <w:b/>
          <w:bCs/>
          <w:szCs w:val="24"/>
        </w:rPr>
      </w:pPr>
    </w:p>
    <w:p w14:paraId="5D5FBE13" w14:textId="77777777" w:rsidR="00C63287" w:rsidRPr="00CC67E8" w:rsidRDefault="00C63287" w:rsidP="00C63287">
      <w:pPr>
        <w:spacing w:line="360" w:lineRule="auto"/>
        <w:jc w:val="center"/>
        <w:rPr>
          <w:rFonts w:ascii="Times New Roman" w:hAnsi="Times New Roman" w:cs="Times New Roman"/>
          <w:b/>
          <w:bCs/>
          <w:szCs w:val="24"/>
        </w:rPr>
      </w:pPr>
    </w:p>
    <w:p w14:paraId="3D0BCDDF" w14:textId="77777777" w:rsidR="00C63287" w:rsidRPr="00CC67E8" w:rsidRDefault="00C63287" w:rsidP="00C63287">
      <w:pPr>
        <w:spacing w:line="360" w:lineRule="auto"/>
        <w:jc w:val="center"/>
        <w:rPr>
          <w:rFonts w:ascii="Times New Roman" w:hAnsi="Times New Roman" w:cs="Times New Roman"/>
          <w:b/>
          <w:bCs/>
          <w:szCs w:val="24"/>
        </w:rPr>
      </w:pPr>
    </w:p>
    <w:p w14:paraId="08E5BE3B" w14:textId="77777777" w:rsidR="00C63287" w:rsidRPr="00CC67E8" w:rsidRDefault="00C63287" w:rsidP="00C63287">
      <w:pPr>
        <w:spacing w:line="360" w:lineRule="auto"/>
        <w:jc w:val="center"/>
        <w:rPr>
          <w:rFonts w:ascii="Times New Roman" w:hAnsi="Times New Roman" w:cs="Times New Roman"/>
          <w:b/>
          <w:bCs/>
          <w:szCs w:val="24"/>
        </w:rPr>
      </w:pPr>
    </w:p>
    <w:p w14:paraId="70BF8538" w14:textId="77777777" w:rsidR="00C63287" w:rsidRPr="00CC67E8" w:rsidRDefault="00C63287" w:rsidP="00C63287">
      <w:pPr>
        <w:spacing w:line="360" w:lineRule="auto"/>
        <w:jc w:val="center"/>
        <w:rPr>
          <w:rFonts w:ascii="Times New Roman" w:hAnsi="Times New Roman" w:cs="Times New Roman"/>
          <w:b/>
          <w:bCs/>
          <w:szCs w:val="24"/>
        </w:rPr>
      </w:pPr>
    </w:p>
    <w:p w14:paraId="7E66A07D" w14:textId="77777777" w:rsidR="00C63287" w:rsidRPr="00CC67E8" w:rsidRDefault="00C63287" w:rsidP="00C63287">
      <w:pPr>
        <w:spacing w:line="360" w:lineRule="auto"/>
        <w:jc w:val="center"/>
        <w:rPr>
          <w:rFonts w:ascii="Times New Roman" w:hAnsi="Times New Roman" w:cs="Times New Roman"/>
          <w:b/>
          <w:bCs/>
          <w:szCs w:val="24"/>
        </w:rPr>
      </w:pPr>
    </w:p>
    <w:p w14:paraId="4227D206" w14:textId="77777777" w:rsidR="00C63287" w:rsidRPr="00CC67E8" w:rsidRDefault="00C63287" w:rsidP="00C63287">
      <w:pPr>
        <w:spacing w:line="360" w:lineRule="auto"/>
        <w:jc w:val="center"/>
        <w:rPr>
          <w:rFonts w:ascii="Times New Roman" w:hAnsi="Times New Roman" w:cs="Times New Roman"/>
          <w:b/>
          <w:bCs/>
          <w:szCs w:val="24"/>
        </w:rPr>
      </w:pPr>
    </w:p>
    <w:p w14:paraId="0CB0F857" w14:textId="77777777" w:rsidR="00C63287" w:rsidRPr="00CC67E8" w:rsidRDefault="00C63287" w:rsidP="00C63287">
      <w:pPr>
        <w:spacing w:line="360" w:lineRule="auto"/>
        <w:jc w:val="center"/>
        <w:rPr>
          <w:rFonts w:ascii="Times New Roman" w:hAnsi="Times New Roman" w:cs="Times New Roman"/>
          <w:b/>
          <w:bCs/>
          <w:szCs w:val="24"/>
        </w:rPr>
      </w:pPr>
    </w:p>
    <w:p w14:paraId="7C33D201" w14:textId="77777777" w:rsidR="00C63287" w:rsidRPr="00CC67E8" w:rsidRDefault="00C63287" w:rsidP="00C63287">
      <w:pPr>
        <w:spacing w:line="360" w:lineRule="auto"/>
        <w:jc w:val="center"/>
        <w:rPr>
          <w:rFonts w:ascii="Times New Roman" w:hAnsi="Times New Roman" w:cs="Times New Roman"/>
          <w:b/>
          <w:bCs/>
          <w:szCs w:val="24"/>
        </w:rPr>
      </w:pPr>
    </w:p>
    <w:p w14:paraId="6B0C7D9A" w14:textId="77777777" w:rsidR="00C63287" w:rsidRDefault="00C63287" w:rsidP="00C63287">
      <w:pPr>
        <w:spacing w:line="360" w:lineRule="auto"/>
        <w:jc w:val="center"/>
        <w:rPr>
          <w:rFonts w:ascii="Times New Roman" w:hAnsi="Times New Roman" w:cs="Times New Roman"/>
          <w:b/>
          <w:bCs/>
          <w:szCs w:val="24"/>
        </w:rPr>
      </w:pPr>
    </w:p>
    <w:p w14:paraId="593B65EB" w14:textId="77777777" w:rsidR="00C63287" w:rsidRDefault="00C63287" w:rsidP="00C63287">
      <w:pPr>
        <w:spacing w:line="360" w:lineRule="auto"/>
        <w:jc w:val="center"/>
        <w:rPr>
          <w:rFonts w:ascii="Times New Roman" w:hAnsi="Times New Roman" w:cs="Times New Roman"/>
          <w:b/>
          <w:bCs/>
          <w:szCs w:val="24"/>
        </w:rPr>
      </w:pPr>
    </w:p>
    <w:p w14:paraId="56C1D4A4" w14:textId="77777777" w:rsidR="00C63287" w:rsidRPr="00CC67E8" w:rsidRDefault="00C63287" w:rsidP="00C63287">
      <w:pPr>
        <w:spacing w:line="360" w:lineRule="auto"/>
        <w:rPr>
          <w:rFonts w:ascii="Times New Roman" w:hAnsi="Times New Roman" w:cs="Times New Roman"/>
          <w:b/>
          <w:bCs/>
          <w:szCs w:val="24"/>
        </w:rPr>
      </w:pPr>
    </w:p>
    <w:p w14:paraId="65078379" w14:textId="77777777" w:rsidR="00C63287" w:rsidRPr="00CC67E8" w:rsidRDefault="00C63287" w:rsidP="00C63287">
      <w:pPr>
        <w:spacing w:line="360" w:lineRule="auto"/>
        <w:jc w:val="center"/>
        <w:rPr>
          <w:rFonts w:ascii="Times New Roman" w:hAnsi="Times New Roman" w:cs="Times New Roman"/>
          <w:b/>
          <w:bCs/>
          <w:szCs w:val="24"/>
        </w:rPr>
      </w:pPr>
    </w:p>
    <w:p w14:paraId="6C4BA85F" w14:textId="77777777" w:rsidR="00C63287" w:rsidRPr="00CC67E8" w:rsidRDefault="00C63287" w:rsidP="00C63287">
      <w:pPr>
        <w:pStyle w:val="Heading2"/>
        <w:spacing w:line="36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t>Abstract</w:t>
      </w:r>
      <w:bookmarkEnd w:id="0"/>
    </w:p>
    <w:p w14:paraId="3B706718" w14:textId="77777777" w:rsidR="00C63287" w:rsidRPr="00C63287" w:rsidRDefault="00C63287" w:rsidP="00C63287">
      <w:pPr>
        <w:spacing w:line="360" w:lineRule="auto"/>
        <w:rPr>
          <w:rFonts w:ascii="Times New Roman" w:hAnsi="Times New Roman" w:cs="Times New Roman"/>
          <w:szCs w:val="24"/>
        </w:rPr>
      </w:pPr>
      <w:r w:rsidRPr="00C63287">
        <w:rPr>
          <w:rFonts w:ascii="Times New Roman" w:hAnsi="Times New Roman" w:cs="Times New Roman"/>
          <w:szCs w:val="24"/>
        </w:rPr>
        <w:t>This report discusses the legal framework of international tourism with emphasis on the interface between the international conventions and national laws on tourism in regulating international travel. Since tourism has emerged as a vital source of global economic development, harmonization of legal systems has become a pressing issue to promote safety, sustainability and efficiency of international travel. International conventions are the general principles of cooperation between nations, and the national laws are the mechanisms that this cooperation is implemented at the domestic level. The paper explains how the United Nations World Tourism Organization (UNWTO) facilitates global standards, coordinates policies, and promotes sustainable tourism development.</w:t>
      </w:r>
    </w:p>
    <w:p w14:paraId="622FE666" w14:textId="77777777" w:rsidR="00C63287" w:rsidRPr="00C63287" w:rsidRDefault="00C63287" w:rsidP="00C63287">
      <w:pPr>
        <w:spacing w:line="360" w:lineRule="auto"/>
        <w:rPr>
          <w:rFonts w:ascii="Times New Roman" w:hAnsi="Times New Roman" w:cs="Times New Roman"/>
          <w:szCs w:val="24"/>
        </w:rPr>
      </w:pPr>
      <w:r w:rsidRPr="00C63287">
        <w:rPr>
          <w:rFonts w:ascii="Times New Roman" w:hAnsi="Times New Roman" w:cs="Times New Roman"/>
          <w:szCs w:val="24"/>
        </w:rPr>
        <w:t xml:space="preserve">The report continues to examine how legal tools deal with matters of traveler rights, environmental protection and cross-border mobility. It highlights the need to harmonise national laws with international treaties so that there </w:t>
      </w:r>
      <w:proofErr w:type="gramStart"/>
      <w:r w:rsidRPr="00C63287">
        <w:rPr>
          <w:rFonts w:ascii="Times New Roman" w:hAnsi="Times New Roman" w:cs="Times New Roman"/>
          <w:szCs w:val="24"/>
        </w:rPr>
        <w:t>is</w:t>
      </w:r>
      <w:proofErr w:type="gramEnd"/>
      <w:r w:rsidRPr="00C63287">
        <w:rPr>
          <w:rFonts w:ascii="Times New Roman" w:hAnsi="Times New Roman" w:cs="Times New Roman"/>
          <w:szCs w:val="24"/>
        </w:rPr>
        <w:t xml:space="preserve"> uniformity and less legal tensions. The analysis also </w:t>
      </w:r>
      <w:proofErr w:type="gramStart"/>
      <w:r w:rsidRPr="00C63287">
        <w:rPr>
          <w:rFonts w:ascii="Times New Roman" w:hAnsi="Times New Roman" w:cs="Times New Roman"/>
          <w:szCs w:val="24"/>
        </w:rPr>
        <w:t>takes into account</w:t>
      </w:r>
      <w:proofErr w:type="gramEnd"/>
      <w:r w:rsidRPr="00C63287">
        <w:rPr>
          <w:rFonts w:ascii="Times New Roman" w:hAnsi="Times New Roman" w:cs="Times New Roman"/>
          <w:szCs w:val="24"/>
        </w:rPr>
        <w:t xml:space="preserve"> the difficulties experienced by the countries in fulfilling international conventions specifically, the developing regions where institutional and regulatory capacities can be weak.</w:t>
      </w:r>
    </w:p>
    <w:p w14:paraId="62A6B95C" w14:textId="77777777" w:rsidR="00C63287" w:rsidRPr="00C63287" w:rsidRDefault="00C63287" w:rsidP="00C63287">
      <w:pPr>
        <w:spacing w:line="360" w:lineRule="auto"/>
        <w:rPr>
          <w:rFonts w:ascii="Times New Roman" w:hAnsi="Times New Roman" w:cs="Times New Roman"/>
          <w:szCs w:val="24"/>
        </w:rPr>
      </w:pPr>
      <w:r w:rsidRPr="00C63287">
        <w:rPr>
          <w:rFonts w:ascii="Times New Roman" w:hAnsi="Times New Roman" w:cs="Times New Roman"/>
          <w:szCs w:val="24"/>
        </w:rPr>
        <w:t>This research combines theoretical concepts with practical examples to prove that the international organizations and the national authorities need to work together to achieve effective tourism governance. The UNWTO is critical in aligning these levels by giving guidelines, technical assistance, and international conversation platform. All in all, the report demonstrates the significance of an integrated legal framework to enhance sustainable and responsible tourism and promote international mobility.</w:t>
      </w:r>
    </w:p>
    <w:p w14:paraId="2316594D" w14:textId="77777777" w:rsidR="00C63287" w:rsidRDefault="00C63287" w:rsidP="00C63287">
      <w:pPr>
        <w:spacing w:line="360" w:lineRule="auto"/>
        <w:rPr>
          <w:rFonts w:ascii="Times New Roman" w:hAnsi="Times New Roman" w:cs="Times New Roman"/>
          <w:szCs w:val="24"/>
        </w:rPr>
      </w:pPr>
    </w:p>
    <w:p w14:paraId="2B6C9153" w14:textId="77777777" w:rsidR="00C63287" w:rsidRDefault="00C63287" w:rsidP="00C63287">
      <w:pPr>
        <w:spacing w:line="360" w:lineRule="auto"/>
        <w:rPr>
          <w:rFonts w:ascii="Times New Roman" w:hAnsi="Times New Roman" w:cs="Times New Roman"/>
          <w:szCs w:val="24"/>
        </w:rPr>
      </w:pPr>
    </w:p>
    <w:p w14:paraId="7F0FF963" w14:textId="77777777" w:rsidR="00C63287" w:rsidRPr="00C33E5F" w:rsidRDefault="00C63287" w:rsidP="00C63287">
      <w:pPr>
        <w:spacing w:line="360" w:lineRule="auto"/>
        <w:rPr>
          <w:rFonts w:ascii="Times New Roman" w:hAnsi="Times New Roman" w:cs="Times New Roman"/>
          <w:szCs w:val="24"/>
        </w:rPr>
      </w:pPr>
    </w:p>
    <w:p w14:paraId="22DF3BCF" w14:textId="77777777" w:rsidR="00C63287" w:rsidRPr="00CC67E8" w:rsidRDefault="00C63287" w:rsidP="00C63287">
      <w:pPr>
        <w:spacing w:line="36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69063CF4" w14:textId="77777777" w:rsidR="00C63287" w:rsidRPr="00CC67E8" w:rsidRDefault="00C63287" w:rsidP="00C63287">
          <w:pPr>
            <w:pStyle w:val="TOCHeading"/>
            <w:spacing w:line="36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2F5D44CB"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2824E5A8"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2A8B2391"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36E03ABB"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5339F598"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718FA401"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2E93A7C3"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71979ECE"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60B4432A" w14:textId="77777777" w:rsidR="00C63287" w:rsidRPr="00CC67E8" w:rsidRDefault="00C63287" w:rsidP="00C63287">
          <w:pPr>
            <w:pStyle w:val="TOC2"/>
            <w:tabs>
              <w:tab w:val="right" w:leader="dot" w:pos="9350"/>
            </w:tabs>
            <w:spacing w:line="36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7E8185AF" w14:textId="77777777" w:rsidR="00C63287" w:rsidRPr="00CC67E8" w:rsidRDefault="00C63287" w:rsidP="00C63287">
          <w:pPr>
            <w:spacing w:line="36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49F28C33" w14:textId="77777777" w:rsidR="00C63287" w:rsidRPr="00CC67E8" w:rsidRDefault="00C63287" w:rsidP="00C63287">
      <w:pPr>
        <w:spacing w:line="360" w:lineRule="auto"/>
        <w:rPr>
          <w:rFonts w:ascii="Times New Roman" w:hAnsi="Times New Roman" w:cs="Times New Roman"/>
          <w:b/>
          <w:bCs/>
          <w:szCs w:val="24"/>
        </w:rPr>
      </w:pPr>
    </w:p>
    <w:p w14:paraId="78F963A8" w14:textId="77777777" w:rsidR="00C63287" w:rsidRPr="00CC67E8" w:rsidRDefault="00C63287" w:rsidP="00C63287">
      <w:pPr>
        <w:spacing w:line="360" w:lineRule="auto"/>
        <w:rPr>
          <w:rFonts w:ascii="Times New Roman" w:hAnsi="Times New Roman" w:cs="Times New Roman"/>
          <w:b/>
          <w:bCs/>
          <w:szCs w:val="24"/>
        </w:rPr>
      </w:pPr>
    </w:p>
    <w:p w14:paraId="127109C9" w14:textId="77777777" w:rsidR="00C63287" w:rsidRPr="00CC67E8" w:rsidRDefault="00C63287" w:rsidP="00C63287">
      <w:pPr>
        <w:spacing w:line="360" w:lineRule="auto"/>
        <w:rPr>
          <w:rFonts w:ascii="Times New Roman" w:hAnsi="Times New Roman" w:cs="Times New Roman"/>
          <w:b/>
          <w:bCs/>
          <w:szCs w:val="24"/>
        </w:rPr>
      </w:pPr>
    </w:p>
    <w:p w14:paraId="15913146" w14:textId="77777777" w:rsidR="00C63287" w:rsidRPr="00CC67E8" w:rsidRDefault="00C63287" w:rsidP="00C63287">
      <w:pPr>
        <w:spacing w:line="360" w:lineRule="auto"/>
        <w:rPr>
          <w:rFonts w:ascii="Times New Roman" w:hAnsi="Times New Roman" w:cs="Times New Roman"/>
          <w:b/>
          <w:bCs/>
          <w:szCs w:val="24"/>
        </w:rPr>
      </w:pPr>
    </w:p>
    <w:p w14:paraId="7E1C0851" w14:textId="77777777" w:rsidR="00C63287" w:rsidRPr="00CC67E8" w:rsidRDefault="00C63287" w:rsidP="00C63287">
      <w:pPr>
        <w:spacing w:line="360" w:lineRule="auto"/>
        <w:rPr>
          <w:rFonts w:ascii="Times New Roman" w:hAnsi="Times New Roman" w:cs="Times New Roman"/>
          <w:b/>
          <w:bCs/>
          <w:szCs w:val="24"/>
        </w:rPr>
      </w:pPr>
    </w:p>
    <w:p w14:paraId="14780CFB" w14:textId="77777777" w:rsidR="00C63287" w:rsidRPr="00CC67E8" w:rsidRDefault="00C63287" w:rsidP="00C63287">
      <w:pPr>
        <w:spacing w:line="360" w:lineRule="auto"/>
        <w:rPr>
          <w:rFonts w:ascii="Times New Roman" w:hAnsi="Times New Roman" w:cs="Times New Roman"/>
          <w:b/>
          <w:bCs/>
          <w:szCs w:val="24"/>
        </w:rPr>
      </w:pPr>
    </w:p>
    <w:p w14:paraId="5C96AEE8" w14:textId="77777777" w:rsidR="00C63287" w:rsidRPr="00CC67E8" w:rsidRDefault="00C63287" w:rsidP="00C63287">
      <w:pPr>
        <w:spacing w:line="360" w:lineRule="auto"/>
        <w:rPr>
          <w:rFonts w:ascii="Times New Roman" w:hAnsi="Times New Roman" w:cs="Times New Roman"/>
          <w:b/>
          <w:bCs/>
          <w:szCs w:val="24"/>
        </w:rPr>
      </w:pPr>
    </w:p>
    <w:p w14:paraId="1BC0DD30" w14:textId="77777777" w:rsidR="00C63287" w:rsidRPr="00CC67E8" w:rsidRDefault="00C63287" w:rsidP="00C63287">
      <w:pPr>
        <w:spacing w:line="360" w:lineRule="auto"/>
        <w:rPr>
          <w:rFonts w:ascii="Times New Roman" w:hAnsi="Times New Roman" w:cs="Times New Roman"/>
          <w:b/>
          <w:bCs/>
          <w:szCs w:val="24"/>
        </w:rPr>
      </w:pPr>
    </w:p>
    <w:p w14:paraId="50F24B49" w14:textId="77777777" w:rsidR="00C63287" w:rsidRPr="00CC67E8" w:rsidRDefault="00C63287" w:rsidP="00C63287">
      <w:pPr>
        <w:spacing w:line="360" w:lineRule="auto"/>
        <w:rPr>
          <w:rFonts w:ascii="Times New Roman" w:hAnsi="Times New Roman" w:cs="Times New Roman"/>
          <w:b/>
          <w:bCs/>
          <w:szCs w:val="24"/>
        </w:rPr>
      </w:pPr>
    </w:p>
    <w:p w14:paraId="7A3F08FB" w14:textId="77777777" w:rsidR="00C63287" w:rsidRPr="00CC67E8" w:rsidRDefault="00C63287" w:rsidP="00C63287">
      <w:pPr>
        <w:spacing w:line="360" w:lineRule="auto"/>
        <w:rPr>
          <w:rFonts w:ascii="Times New Roman" w:hAnsi="Times New Roman" w:cs="Times New Roman"/>
          <w:b/>
          <w:bCs/>
          <w:szCs w:val="24"/>
        </w:rPr>
      </w:pPr>
    </w:p>
    <w:p w14:paraId="5F4880BD" w14:textId="77777777" w:rsidR="00C63287" w:rsidRPr="00CC67E8" w:rsidRDefault="00C63287" w:rsidP="00C63287">
      <w:pPr>
        <w:spacing w:line="360" w:lineRule="auto"/>
        <w:rPr>
          <w:rFonts w:ascii="Times New Roman" w:hAnsi="Times New Roman" w:cs="Times New Roman"/>
          <w:b/>
          <w:bCs/>
          <w:szCs w:val="24"/>
        </w:rPr>
      </w:pPr>
    </w:p>
    <w:p w14:paraId="7B7FC0BA" w14:textId="77777777" w:rsidR="00C63287" w:rsidRPr="00CC67E8" w:rsidRDefault="00C63287" w:rsidP="00C63287">
      <w:pPr>
        <w:spacing w:line="360" w:lineRule="auto"/>
        <w:rPr>
          <w:rFonts w:ascii="Times New Roman" w:hAnsi="Times New Roman" w:cs="Times New Roman"/>
          <w:szCs w:val="24"/>
        </w:rPr>
      </w:pPr>
    </w:p>
    <w:p w14:paraId="6F119940" w14:textId="77777777" w:rsidR="00C63287" w:rsidRPr="00CC67E8" w:rsidRDefault="00C63287" w:rsidP="00C63287">
      <w:pPr>
        <w:spacing w:line="360" w:lineRule="auto"/>
        <w:rPr>
          <w:rFonts w:ascii="Times New Roman" w:hAnsi="Times New Roman" w:cs="Times New Roman"/>
          <w:szCs w:val="24"/>
        </w:rPr>
      </w:pPr>
    </w:p>
    <w:p w14:paraId="3F94F8B8"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lastRenderedPageBreak/>
        <w:t>Introduction</w:t>
      </w:r>
    </w:p>
    <w:p w14:paraId="51166F8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Tourism has become one of the most important sectors of global economy that contributes to the creation of jobs, sharing of cultures and economic growth. With the increasing number of people traveling internationally, the necessity of having a unified legal system that governs tourism activities has gained </w:t>
      </w:r>
      <w:proofErr w:type="gramStart"/>
      <w:r w:rsidRPr="003123AC">
        <w:rPr>
          <w:rFonts w:ascii="Times New Roman" w:hAnsi="Times New Roman" w:cs="Times New Roman"/>
          <w:szCs w:val="24"/>
        </w:rPr>
        <w:t>more and more</w:t>
      </w:r>
      <w:proofErr w:type="gramEnd"/>
      <w:r w:rsidRPr="003123AC">
        <w:rPr>
          <w:rFonts w:ascii="Times New Roman" w:hAnsi="Times New Roman" w:cs="Times New Roman"/>
          <w:szCs w:val="24"/>
        </w:rPr>
        <w:t xml:space="preserve"> significance. Legal framework of tourism refers to a set of international conventions, regional agreements, and national laws that jointly regulate the cross-border movement and other tourism-related activities (Hall, 2019).</w:t>
      </w:r>
    </w:p>
    <w:p w14:paraId="64C263B7"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International conventions are important in setting up shared principles and standards of tourism regulation. These conventions cover different aspects of tourism such as safety of the travelers, environmental sustainability and protection of cultural heritage. As an example, international organizations like the Chicago Convention on International Civil Aviation and Global Code of Ethics on Tourism offer principles that shape state policies on tourism (UNWTO, 2001). These systems aid in the collaboration of nations and cooperation in legal application, which diminishes obstruction to worldwide travel (Shaw and Williams, 2004).</w:t>
      </w:r>
    </w:p>
    <w:p w14:paraId="1078481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National tourism laws, conversely, put international principles into operation at the domestic levels. Every nation has its system of laws to govern the tourism activities, considering their economic interests, cultural beliefs, and environmental concerns. Page (2019) argues that national laws are essential in the application of international standards and adherence to international norms. Nevertheless, variations in legal systems and regulatory capabilities might pose problems to aligning international and national laws, especially in developing nations (Dredge and Jenkins, 2011).</w:t>
      </w:r>
    </w:p>
    <w:p w14:paraId="717331D6"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United Nations World Tourism Organization (UNWTO) is an international organization that acts as a coordinating body in the tourism industry. The UNWTO as a specialized agency of the United Nations advocates responsible, sustainable, and universally accessible tourism. It offers policy directions, technical support, and a means of discussion between member states (UNWTO, 2018). The organization also contributes to the creation of international legal tools, including the Global Code of Ethics for Tourism, that establishes the principles of sustainable and ethical tourism conduct (Fayos-Solà, 2012).</w:t>
      </w:r>
    </w:p>
    <w:p w14:paraId="6B4BCC83"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lastRenderedPageBreak/>
        <w:t>Besides providing an international cooperation, the UNWTO also assists in capacity building and knowledge sharing among nations. This is especially significant in developing countries, where the institutions to enforce the international tourism regulations might be lacking (Hall, 2019). The UNWTO assists in closing the gap between international conventions and national legislation by promoting best practices and offering technical assistance.</w:t>
      </w:r>
    </w:p>
    <w:p w14:paraId="55F19B79" w14:textId="77777777" w:rsidR="003123AC" w:rsidRPr="003123AC" w:rsidRDefault="003123AC" w:rsidP="003123AC">
      <w:pPr>
        <w:spacing w:line="360" w:lineRule="auto"/>
        <w:rPr>
          <w:rFonts w:ascii="Times New Roman" w:hAnsi="Times New Roman" w:cs="Times New Roman"/>
          <w:szCs w:val="24"/>
        </w:rPr>
      </w:pPr>
      <w:proofErr w:type="gramStart"/>
      <w:r w:rsidRPr="003123AC">
        <w:rPr>
          <w:rFonts w:ascii="Times New Roman" w:hAnsi="Times New Roman" w:cs="Times New Roman"/>
          <w:szCs w:val="24"/>
        </w:rPr>
        <w:t>In spite of</w:t>
      </w:r>
      <w:proofErr w:type="gramEnd"/>
      <w:r w:rsidRPr="003123AC">
        <w:rPr>
          <w:rFonts w:ascii="Times New Roman" w:hAnsi="Times New Roman" w:cs="Times New Roman"/>
          <w:szCs w:val="24"/>
        </w:rPr>
        <w:t xml:space="preserve"> these, there are still </w:t>
      </w:r>
      <w:proofErr w:type="gramStart"/>
      <w:r w:rsidRPr="003123AC">
        <w:rPr>
          <w:rFonts w:ascii="Times New Roman" w:hAnsi="Times New Roman" w:cs="Times New Roman"/>
          <w:szCs w:val="24"/>
        </w:rPr>
        <w:t>a number of</w:t>
      </w:r>
      <w:proofErr w:type="gramEnd"/>
      <w:r w:rsidRPr="003123AC">
        <w:rPr>
          <w:rFonts w:ascii="Times New Roman" w:hAnsi="Times New Roman" w:cs="Times New Roman"/>
          <w:szCs w:val="24"/>
        </w:rPr>
        <w:t xml:space="preserve"> obstacles to the realization of a complete harmonized legal system on tourism. The absence of uniformity in the implementation of international standards may be caused by differences in political systems, economic priorities and legal traditions. In addition, new challenges, including climate change, digitalization, and global health crises, demand ongoing adjustments of the law to follow new risks and opportunities (Gössling et al., 2020).</w:t>
      </w:r>
    </w:p>
    <w:p w14:paraId="30E661BA"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In general, the relationship between international conventions and domestic tourism legislation is needed to manage cross-border tourism and guarantee its sustainability. UNWTO is the important player in this interaction, as it promotes cooperation, gives guidance and facilitates the creation of effective legal frameworks. The present report will critically examine these dynamics and evaluate their implication in global tourism governance.</w:t>
      </w:r>
    </w:p>
    <w:p w14:paraId="113FDE36" w14:textId="77777777" w:rsidR="003123AC" w:rsidRPr="003123AC" w:rsidRDefault="003123AC" w:rsidP="003123AC">
      <w:pPr>
        <w:spacing w:line="360" w:lineRule="auto"/>
        <w:rPr>
          <w:rFonts w:ascii="Times New Roman" w:hAnsi="Times New Roman" w:cs="Times New Roman"/>
          <w:szCs w:val="24"/>
        </w:rPr>
      </w:pPr>
    </w:p>
    <w:p w14:paraId="5A3C7596" w14:textId="77777777" w:rsidR="003123AC" w:rsidRPr="003123AC" w:rsidRDefault="003123AC" w:rsidP="003123AC">
      <w:pPr>
        <w:spacing w:line="360" w:lineRule="auto"/>
        <w:rPr>
          <w:rFonts w:ascii="Times New Roman" w:hAnsi="Times New Roman" w:cs="Times New Roman"/>
          <w:szCs w:val="24"/>
        </w:rPr>
      </w:pPr>
    </w:p>
    <w:p w14:paraId="5C77EFA1"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Literature Review</w:t>
      </w:r>
    </w:p>
    <w:p w14:paraId="0030E229"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legal aspect of tourism has been a subject of extensive academic discussion specifically with references to the interface between global conventions and domestic legislation. According to scholars, tourism governance is multi-layered in nature, entailing global, regional, and domestic legal frameworks that should operate in a coordinated manner to control cross-border operations (Hall, 2019; Dredge and Jenkins, 2011). This complexity requires a concerted effort to bring about consistency, transparency, and effectiveness in the regulation of tourism.</w:t>
      </w:r>
    </w:p>
    <w:p w14:paraId="6E60FD3B"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Conventions are essential in setting up some universal standards of tourism activities. One example is the Chicago Convention on International Civil Aviation, which finds the legal foundation of international air travel of safety and cooperation among member states (Shaw and </w:t>
      </w:r>
      <w:r w:rsidRPr="003123AC">
        <w:rPr>
          <w:rFonts w:ascii="Times New Roman" w:hAnsi="Times New Roman" w:cs="Times New Roman"/>
          <w:szCs w:val="24"/>
        </w:rPr>
        <w:lastRenderedPageBreak/>
        <w:t>Williams, 2004). In the same spirit, the UNWTO Global Code of Ethics in Tourism identifies the principles of responsible and sustainable tourism with a strong focus on respecting cultural heritage, environmental conservation, and the rights of local people (Fayos-Solà, 2012). These global systems are crucial in enabling international movement and eliminating legal ambiguities.</w:t>
      </w:r>
    </w:p>
    <w:p w14:paraId="19DFC56F"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Nonetheless, global tourism regulations rely mostly on national laws concerning tourism. Different countries interpret international principles in their own national context, which creates differences in legal regulations. Page (2019) points out that national legislation plays a significant role in the enforcement of international standards and other tourism-related practices, including licensing, safety, and environmental management. However, legal systems and varying economic development may also cause discrepancies in implementation, especially in the developing world (Dredge and Jenkins, 2011).</w:t>
      </w:r>
    </w:p>
    <w:p w14:paraId="38A60512"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United Nations World Tourism Organization (UNWTO) has been widely discussed in the literature as one of the facilitators of global tourism governance. UNWTO facilitates collaboration between member states, formulates policy guidelines, and even encourages sustainable tourism development (UNWTO, 2018). Fayos-Solà (2012) says that the organization is one of the most important actors in the development of international tourism policy and promotion of the use of ethical principles. Also, UNWTO assists countries through technical assistance and capacity-building programs to implement international conventions effectively (Hall, 2019).</w:t>
      </w:r>
    </w:p>
    <w:p w14:paraId="541D63E5"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other vital theme of the literature is the connection between sustainability and tourism law. With the emergence of climate change and over-tourism, environmental protection has taken center stage in the regulation of tourism. Gossling et al. (2020) propose that the legal frameworks should aim at environmental effects reshaping a sustainable approach and controlling tourism activity. The international conventions on cultural heritage like the Paris Agreement and UNESCO conventions also advisively support the necessity of considering environmental aspects in tourism laws.</w:t>
      </w:r>
    </w:p>
    <w:p w14:paraId="068E38AA"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There are also concerns pertaining to traveler rights and consumer protection in cross-border tourism. It has been shown that international conventions and domestic laws need to cooperate </w:t>
      </w:r>
      <w:proofErr w:type="gramStart"/>
      <w:r w:rsidRPr="003123AC">
        <w:rPr>
          <w:rFonts w:ascii="Times New Roman" w:hAnsi="Times New Roman" w:cs="Times New Roman"/>
          <w:szCs w:val="24"/>
        </w:rPr>
        <w:t>in order to</w:t>
      </w:r>
      <w:proofErr w:type="gramEnd"/>
      <w:r w:rsidRPr="003123AC">
        <w:rPr>
          <w:rFonts w:ascii="Times New Roman" w:hAnsi="Times New Roman" w:cs="Times New Roman"/>
          <w:szCs w:val="24"/>
        </w:rPr>
        <w:t xml:space="preserve"> secure tourists against risks like fraud, safety risks, and service failures (Holloway and </w:t>
      </w:r>
      <w:r w:rsidRPr="003123AC">
        <w:rPr>
          <w:rFonts w:ascii="Times New Roman" w:hAnsi="Times New Roman" w:cs="Times New Roman"/>
          <w:szCs w:val="24"/>
        </w:rPr>
        <w:lastRenderedPageBreak/>
        <w:t>Humphreys, 2019). Laws are usually designed to contain clauses on dispute settlement, insurance conditions, and responsibility to guarantee the safety of tourists.</w:t>
      </w:r>
    </w:p>
    <w:p w14:paraId="19207786"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Moreover, globalization and technological changes have brought new challenges to the tourism regulation. The emergence of online travel agencies and sharing economy platforms has introduced regulatory loopholes that are potentially not sufficiently covered by the traditional legal framework (Xiang et al., 2017). This demonstrates the importance of ensuring the constant revision of tourism legislation to meet the changing technological times.</w:t>
      </w:r>
    </w:p>
    <w:p w14:paraId="0D961824"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The roles of governance and institutional capacity have also been highlighted in the literature as being critical in ensuring that tourism laws are put into practice. Good governance systems, such as efficient regulatory authorities and enforcement agencies, are needed </w:t>
      </w:r>
      <w:proofErr w:type="gramStart"/>
      <w:r w:rsidRPr="003123AC">
        <w:rPr>
          <w:rFonts w:ascii="Times New Roman" w:hAnsi="Times New Roman" w:cs="Times New Roman"/>
          <w:szCs w:val="24"/>
        </w:rPr>
        <w:t>in order to</w:t>
      </w:r>
      <w:proofErr w:type="gramEnd"/>
      <w:r w:rsidRPr="003123AC">
        <w:rPr>
          <w:rFonts w:ascii="Times New Roman" w:hAnsi="Times New Roman" w:cs="Times New Roman"/>
          <w:szCs w:val="24"/>
        </w:rPr>
        <w:t xml:space="preserve"> promote adherence to legal principles (Hall, 2019). On the contrary, weak institutions may contribute to poor regulation and more risks to tourists and local communities.</w:t>
      </w:r>
    </w:p>
    <w:p w14:paraId="5228C2FE" w14:textId="77777777" w:rsidR="003123AC" w:rsidRPr="003123AC" w:rsidRDefault="003123AC" w:rsidP="003123AC">
      <w:pPr>
        <w:spacing w:line="360" w:lineRule="auto"/>
        <w:rPr>
          <w:rFonts w:ascii="Times New Roman" w:hAnsi="Times New Roman" w:cs="Times New Roman"/>
          <w:szCs w:val="24"/>
        </w:rPr>
      </w:pPr>
      <w:proofErr w:type="gramStart"/>
      <w:r w:rsidRPr="003123AC">
        <w:rPr>
          <w:rFonts w:ascii="Times New Roman" w:hAnsi="Times New Roman" w:cs="Times New Roman"/>
          <w:szCs w:val="24"/>
        </w:rPr>
        <w:t>On the whole</w:t>
      </w:r>
      <w:proofErr w:type="gramEnd"/>
      <w:r w:rsidRPr="003123AC">
        <w:rPr>
          <w:rFonts w:ascii="Times New Roman" w:hAnsi="Times New Roman" w:cs="Times New Roman"/>
          <w:szCs w:val="24"/>
        </w:rPr>
        <w:t>, the literature indicates that the success of tourism law is determined by its blend with international conventions and domestic laws with effective governance and institutional capacity. UNWTO is at the center of ensuring that this integration occurs and issues surrounding implementation, sustainability, and technological change are also critical.</w:t>
      </w:r>
    </w:p>
    <w:p w14:paraId="00CD60AC" w14:textId="77777777" w:rsidR="003123AC" w:rsidRPr="003123AC" w:rsidRDefault="003123AC" w:rsidP="003123AC">
      <w:pPr>
        <w:spacing w:line="360" w:lineRule="auto"/>
        <w:rPr>
          <w:rFonts w:ascii="Times New Roman" w:hAnsi="Times New Roman" w:cs="Times New Roman"/>
          <w:szCs w:val="24"/>
        </w:rPr>
      </w:pPr>
    </w:p>
    <w:p w14:paraId="62024427"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Methodology</w:t>
      </w:r>
    </w:p>
    <w:p w14:paraId="0BFD89A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research paper will use a qualitative research design to explore the legal framework of tourism with regards to how international conventions, national laws, and UNWTO interact. A qualitative design would be suitable because the study will examine legal concepts, policy frameworks, and institutional roles and not quantitative data.</w:t>
      </w:r>
    </w:p>
    <w:p w14:paraId="18977A4E"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paper is rooted in a methodical analysis of the secondary data utilizing peer-reviewed journal articles, scholarly books, and international legal texts, as well as reports by such organizations as the UNWTO and the United Nations. To maintain academic credibility and relevancy, databases like Google Scholar, JSTOR, and ScienceDirect were searched to gather sources. The keywords applied in the search procedure were tourism law, international tourist conventions, UNWTO role, cross-border tourism regulation, and sustainable tourism law.</w:t>
      </w:r>
    </w:p>
    <w:p w14:paraId="063BCE9E"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lastRenderedPageBreak/>
        <w:t xml:space="preserve">The association between international and national law systems is critically assessed using a critical analysis framework. This will include the comparison of various legal instruments and their effects on tourism governance. As an illustration, international conventions are studied in relation to their purpose, range, and mechanisms of implementation whereas national laws are studied </w:t>
      </w:r>
      <w:proofErr w:type="gramStart"/>
      <w:r w:rsidRPr="003123AC">
        <w:rPr>
          <w:rFonts w:ascii="Times New Roman" w:hAnsi="Times New Roman" w:cs="Times New Roman"/>
          <w:szCs w:val="24"/>
        </w:rPr>
        <w:t>with regard to</w:t>
      </w:r>
      <w:proofErr w:type="gramEnd"/>
      <w:r w:rsidRPr="003123AC">
        <w:rPr>
          <w:rFonts w:ascii="Times New Roman" w:hAnsi="Times New Roman" w:cs="Times New Roman"/>
          <w:szCs w:val="24"/>
        </w:rPr>
        <w:t xml:space="preserve"> their efficiency in implementing these principles (Page, 2019; Hall, 2019).</w:t>
      </w:r>
    </w:p>
    <w:p w14:paraId="3F72336E"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Comparative analysis is also used as part of the methodology in evaluating the differences in tourism laws in various countries. This strategy will be used to discover shared challenges and best practices in the implementation of international conventions. Moreover, policy documents and scholarly literature are examined to appreciate the role of the UNWTO in the world tourism governance (UNWTO, 2018).</w:t>
      </w:r>
    </w:p>
    <w:p w14:paraId="1B2BC700"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To guarantee reliability and validity, the study triangulates information on various sources, such as academic research, policy documents and case studies. The methodology minimizes bias and aids in obtaining a holistic view of the issue. The study, however, is constrained by its use of secondary information that might not entirely represent the latest events or practices in individual countries.</w:t>
      </w:r>
    </w:p>
    <w:p w14:paraId="797DFBC6"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methodology offers a systematic and organized way of studying the legal framework of tourism despite these constraints. The paper combines theoretical knowledge with practical examples to create a thorough critique of the interaction between international conventions and national legislation in controlling cross-border tourism.</w:t>
      </w:r>
    </w:p>
    <w:p w14:paraId="7130E4A5" w14:textId="77777777" w:rsidR="003123AC" w:rsidRPr="003123AC" w:rsidRDefault="003123AC" w:rsidP="003123AC">
      <w:pPr>
        <w:spacing w:line="360" w:lineRule="auto"/>
        <w:rPr>
          <w:rFonts w:ascii="Times New Roman" w:hAnsi="Times New Roman" w:cs="Times New Roman"/>
          <w:szCs w:val="24"/>
        </w:rPr>
      </w:pPr>
    </w:p>
    <w:p w14:paraId="7BC088BF"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Findings</w:t>
      </w:r>
    </w:p>
    <w:p w14:paraId="244AFC80"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This research shows that the legal framework of tourism is greatly reliant on the interface of international conventions and national laws. International agreements offer a uniform basis on which to enforce cross-border tourism with national laws modifying them to local settings. This is a two-layered structure that guarantees consistency and flexibility in tourism governance (Hall, 2019; Page, 2019).</w:t>
      </w:r>
    </w:p>
    <w:p w14:paraId="6BC590B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Among the findings is the fact that international conventions are playing an important role in enabling people to cross borders by creating comparable legal standards. Conventions like the </w:t>
      </w:r>
      <w:r w:rsidRPr="003123AC">
        <w:rPr>
          <w:rFonts w:ascii="Times New Roman" w:hAnsi="Times New Roman" w:cs="Times New Roman"/>
          <w:szCs w:val="24"/>
        </w:rPr>
        <w:lastRenderedPageBreak/>
        <w:t>Chicago Convention and the UNWTO Global Code of Ethics in Tourism encourage cross-border collaboration and offer safety, sustainability, as well as ethical standards (Shaw and Williams, 2004; Fayos-Solà, 2012). These frameworks decrease legal uncertainty and ensure that there is a predictable environment to international tourism activities.</w:t>
      </w:r>
    </w:p>
    <w:p w14:paraId="154EA57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Nevertheless, the research concludes that success of international conventions is heavily attributable to their national execution. International agreements are interpreted and applied differently by countries depending on their legal systems, economic priorities and institutional capacities (Dredge and Jenkins, 2011). This inconsistency may cause unequal application and pose a problem to cross-border-based tourists and businesses. International standards can become a challenge to developing countries, especially because of the lack of resources and regulatory abilities (Hall, 2019).</w:t>
      </w:r>
    </w:p>
    <w:p w14:paraId="052F6596"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intervention of the United Nations World Tourism Organization (UNWTO) comes out as a central element to filling the gap between international and national frameworks. The UNWTO offers technical support, policy leadership, and international collaboration space, which allows nations to harmonize their legislation with international norms (UNWTO, 2018). The organization also advances the principles of sustainable tourism and sustainability, and aids in incorporating environmental and social factors in tourism policies (Fayos-Solà, 2012).</w:t>
      </w:r>
    </w:p>
    <w:p w14:paraId="0658CF50"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other significant result pertains to the increasing focus on sustainability in the law of tourism. The environment is currently a dominant issue, and legal regulations are beginning to discuss the challenges of climate change, resource utilization, and the protection of culture (Gössling et al., 2020). International conventions and domestic legislations are being integrated to enhance sustainable tourism practices, though there is still a challenge to create a balance between economic growth and environment conservation.</w:t>
      </w:r>
    </w:p>
    <w:p w14:paraId="1815DCCC"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research also emphasizes the role of legal framework in safeguarding the right of travelers, as well as providing consumer protection. Safety standards, liability, and dispute resolution are important features in national laws that are necessary to preserve trust in the tourism industry (Holloway and Humphreys, 2019). Nevertheless, the emergence of digital platforms and the sharing economy has posed new challenges, with the current regulations possibly being insufficient to cover the new business models (Xiang et al., 2017).</w:t>
      </w:r>
    </w:p>
    <w:p w14:paraId="19C44272"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lastRenderedPageBreak/>
        <w:t>Moreover, tourism regulation has been made complex by globalization and technological changes. International travel is expanding rapidly and needs effective legal systems that can handle large numbers of activities involving cross-border. This has spawned more holistic and dynamic legal frameworks that integrate international guidelines with domestic enforcement mechanisms.</w:t>
      </w:r>
    </w:p>
    <w:p w14:paraId="1935DC12"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In general, the results suggest that although international conventions are a solid basis of tourism regulation, their success relies on national execution, institutional ability and ongoing adaptation to rising challenges. UNWTO has a crucial role to play in this process, and additional effort is required to attain a higher level of harmonization and effectiveness of global tourism law.</w:t>
      </w:r>
    </w:p>
    <w:p w14:paraId="42484B0C" w14:textId="77777777" w:rsidR="003123AC" w:rsidRPr="003123AC" w:rsidRDefault="003123AC" w:rsidP="003123AC">
      <w:pPr>
        <w:spacing w:line="360" w:lineRule="auto"/>
        <w:rPr>
          <w:rFonts w:ascii="Times New Roman" w:hAnsi="Times New Roman" w:cs="Times New Roman"/>
          <w:szCs w:val="24"/>
        </w:rPr>
      </w:pPr>
    </w:p>
    <w:p w14:paraId="6A73E126" w14:textId="77777777" w:rsidR="003123AC" w:rsidRPr="003123AC" w:rsidRDefault="003123AC" w:rsidP="003123AC">
      <w:pPr>
        <w:spacing w:line="360" w:lineRule="auto"/>
        <w:rPr>
          <w:rFonts w:ascii="Times New Roman" w:hAnsi="Times New Roman" w:cs="Times New Roman"/>
          <w:szCs w:val="24"/>
        </w:rPr>
      </w:pPr>
    </w:p>
    <w:p w14:paraId="7A916E2E"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Discussion</w:t>
      </w:r>
    </w:p>
    <w:p w14:paraId="383CD2D2"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presented research demonstrates the dynamic and complexity of the legal framework that regulates tourism. The interaction between the international conventions and the national laws indicate the necessity of both international coordination and national adaptation. This discussion is a critical review of these findings and their implications to tourism governance.</w:t>
      </w:r>
    </w:p>
    <w:p w14:paraId="1070A2BA"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Among the most important identified problems is the problem of the international and national legal systems harmonization. Although international conventions offer a framework of reference, their application in different countries is unequal, which results in the inconsistency of tourism regulation (Dredge and Jenkins 2011). This implies that total harmonization might be challenging because these countries have different legal traditions, political systems, and economic conditions. Nonetheless, a higher alignment is possible by maximizing cooperation and capacity-building efforts.</w:t>
      </w:r>
    </w:p>
    <w:p w14:paraId="4C1F6447"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The UNWTO has a special role in curbing these issues. The UNWTO assists in maintaining the linkage between international and national structures by fostering international standards and ensuring a dialogue between member states (UNWTO, 2018). Fayos-Solà (2012) stresses that the involvement of the organization in formulation of ethical guidelines and sustainable tourism promotion constitutes the critical aspect of tourism governance enhancement. Nonetheless, the </w:t>
      </w:r>
      <w:r w:rsidRPr="003123AC">
        <w:rPr>
          <w:rFonts w:ascii="Times New Roman" w:hAnsi="Times New Roman" w:cs="Times New Roman"/>
          <w:szCs w:val="24"/>
        </w:rPr>
        <w:lastRenderedPageBreak/>
        <w:t>success of the UNWTO relies on the goodwill of the member states to accept and put its recommendations into practice.</w:t>
      </w:r>
    </w:p>
    <w:p w14:paraId="6B56E629"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In contemporary tourism law, sustainability stands out as one of the key themes. The growing effect of tourism on the environment has brought sustainability principles into the legal system. According to Gossling et al. (2020), to reduce the adverse impacts of tourism, including the degradation of the environment and the loss of resources, legal action is required. This underscores the importance of considering the environment in the international conventions and national laws.</w:t>
      </w:r>
    </w:p>
    <w:p w14:paraId="7FC8A216" w14:textId="77777777" w:rsidR="003123AC" w:rsidRPr="003123AC" w:rsidRDefault="003123AC" w:rsidP="003123AC">
      <w:pPr>
        <w:spacing w:line="360" w:lineRule="auto"/>
        <w:rPr>
          <w:rFonts w:ascii="Times New Roman" w:hAnsi="Times New Roman" w:cs="Times New Roman"/>
          <w:szCs w:val="24"/>
        </w:rPr>
      </w:pPr>
    </w:p>
    <w:p w14:paraId="4EFF151C"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discussion also highlights the need to protect the rights of the traveler and consumer confidence. Laws are instrumental in creating safety regulations, liability principles, and conflict-resolution policies (Holloway and Humphreys, 2019). Nonetheless, the emergence of digital platforms has posed new challenges because the old-time regulations may not sufficiently address online transactions and sharing economy services (Xiang et al., 2017). This implies that legal structures should adapt to the changing technology and developing business models.</w:t>
      </w:r>
    </w:p>
    <w:p w14:paraId="2AD9BB66"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other key factor is the role of governance and institutional capability in the enforcement of tourism laws. Effective governance frameworks play a critical role when it comes to adhering to legal requirements and safeguarding stakeholders (Hall, 2019). Conversely, weak institutions may result in failing to regulate and exposing tourists and local communities to high risks. This demonstrates the necessity of capacity-building programs and foreign aid, especially to the developing nations.</w:t>
      </w:r>
    </w:p>
    <w:p w14:paraId="7DF704E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need to adapt tourism laws continuously to address the challenges faced by the world, including pandemics and climate change, is also mentioned in the discussion. As Gossling et al. (2020) stress, legal frameworks should be adaptable and adapt to new risks. This necessitates continuous cooperation of international organizations, national governments and industry players.</w:t>
      </w:r>
    </w:p>
    <w:p w14:paraId="0885063E" w14:textId="77777777" w:rsidR="003123AC" w:rsidRPr="003123AC" w:rsidRDefault="003123AC" w:rsidP="003123AC">
      <w:pPr>
        <w:spacing w:line="360" w:lineRule="auto"/>
        <w:rPr>
          <w:rFonts w:ascii="Times New Roman" w:hAnsi="Times New Roman" w:cs="Times New Roman"/>
          <w:szCs w:val="24"/>
        </w:rPr>
      </w:pPr>
      <w:proofErr w:type="gramStart"/>
      <w:r w:rsidRPr="003123AC">
        <w:rPr>
          <w:rFonts w:ascii="Times New Roman" w:hAnsi="Times New Roman" w:cs="Times New Roman"/>
          <w:szCs w:val="24"/>
        </w:rPr>
        <w:t>On the whole</w:t>
      </w:r>
      <w:proofErr w:type="gramEnd"/>
      <w:r w:rsidRPr="003123AC">
        <w:rPr>
          <w:rFonts w:ascii="Times New Roman" w:hAnsi="Times New Roman" w:cs="Times New Roman"/>
          <w:szCs w:val="24"/>
        </w:rPr>
        <w:t xml:space="preserve">, the discussion shows that the legal system of tourism is a multi-layered and dynamic system that must be orchestrated at various levels. Although international conventions offer a platform of regulation, their success is subject to national execution and institutional </w:t>
      </w:r>
      <w:r w:rsidRPr="003123AC">
        <w:rPr>
          <w:rFonts w:ascii="Times New Roman" w:hAnsi="Times New Roman" w:cs="Times New Roman"/>
          <w:szCs w:val="24"/>
        </w:rPr>
        <w:lastRenderedPageBreak/>
        <w:t>capacity. The UNWTO is a very important agent in enabling this process, yet more can be done to boost cooperation, enhance governance and solve emerging challenges.</w:t>
      </w:r>
    </w:p>
    <w:p w14:paraId="724D1BA9" w14:textId="77777777" w:rsidR="003123AC" w:rsidRPr="003123AC" w:rsidRDefault="003123AC" w:rsidP="003123AC">
      <w:pPr>
        <w:spacing w:line="360" w:lineRule="auto"/>
        <w:rPr>
          <w:rFonts w:ascii="Times New Roman" w:hAnsi="Times New Roman" w:cs="Times New Roman"/>
          <w:szCs w:val="24"/>
        </w:rPr>
      </w:pPr>
    </w:p>
    <w:p w14:paraId="132B29DE" w14:textId="77777777" w:rsidR="003123AC" w:rsidRPr="003123AC" w:rsidRDefault="003123AC" w:rsidP="003123AC">
      <w:pPr>
        <w:spacing w:line="360" w:lineRule="auto"/>
        <w:rPr>
          <w:rFonts w:ascii="Times New Roman" w:hAnsi="Times New Roman" w:cs="Times New Roman"/>
          <w:szCs w:val="24"/>
        </w:rPr>
      </w:pPr>
    </w:p>
    <w:p w14:paraId="79F1ECB5"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Recommendation </w:t>
      </w:r>
    </w:p>
    <w:p w14:paraId="5112CB65"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On the findings and analysis of the legal framework that governs international tourism, </w:t>
      </w:r>
      <w:proofErr w:type="gramStart"/>
      <w:r w:rsidRPr="003123AC">
        <w:rPr>
          <w:rFonts w:ascii="Times New Roman" w:hAnsi="Times New Roman" w:cs="Times New Roman"/>
          <w:szCs w:val="24"/>
        </w:rPr>
        <w:t>a number of</w:t>
      </w:r>
      <w:proofErr w:type="gramEnd"/>
      <w:r w:rsidRPr="003123AC">
        <w:rPr>
          <w:rFonts w:ascii="Times New Roman" w:hAnsi="Times New Roman" w:cs="Times New Roman"/>
          <w:szCs w:val="24"/>
        </w:rPr>
        <w:t xml:space="preserve"> recommendations can be given regarding how the effectiveness, consistency and sustainability of tourism regulation can be improved at both the international and national levels.</w:t>
      </w:r>
    </w:p>
    <w:p w14:paraId="5911D468"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To start with, the harmonization of international conventions and national tourism laws must be enhanced. Although international frameworks offer general guidelines, lack of consistency in national action brings about gaps in regulations and the difficulties of cross-border tourism. To avoid contradictions in laws across countries, governments must be proactive in harmonizing their national laws with international ones, especially those set by global bodies like UNWTO (Hall, 2019). This is possible by making legislative changes, reviewing policies, and by engaging more in international agreements.</w:t>
      </w:r>
    </w:p>
    <w:p w14:paraId="1C0E7725"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Secondly, there should be more emphasis on capacity-building programs, particularly in developing nations. A significant number of countries have challenges in enforcing international tourism laws because of low institutional and regulatory capabilities. To aid these countries, the UNWTO and other international bodies are to increase technical assistance programs, training opportunities and knowledge-sharing platforms (UNWTO, 2018). Enhancing institutional capacity will enhance compliance, enforcement and overall governance of the tourism sector.</w:t>
      </w:r>
    </w:p>
    <w:p w14:paraId="71FD865A"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Thirdly, more attention to the application of sustainability to the law and policy of tourism is required. Both international conventions and national legislation should incorporate environmental protection and responsible tourism practices. The governments are advised to implement more stringent rules to address the environmental effects, sustainable use of resources, and conservation of the cultural heritage sites (Gössling et al., 2020). </w:t>
      </w:r>
      <w:proofErr w:type="gramStart"/>
      <w:r w:rsidRPr="003123AC">
        <w:rPr>
          <w:rFonts w:ascii="Times New Roman" w:hAnsi="Times New Roman" w:cs="Times New Roman"/>
          <w:szCs w:val="24"/>
        </w:rPr>
        <w:t>Also</w:t>
      </w:r>
      <w:proofErr w:type="gramEnd"/>
      <w:r w:rsidRPr="003123AC">
        <w:rPr>
          <w:rFonts w:ascii="Times New Roman" w:hAnsi="Times New Roman" w:cs="Times New Roman"/>
          <w:szCs w:val="24"/>
        </w:rPr>
        <w:t xml:space="preserve"> it must implement policies that promote sustainable tourism actions among businesses and tourists by use of incentives, sensitization initiatives, and regulation.</w:t>
      </w:r>
    </w:p>
    <w:p w14:paraId="26182894"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lastRenderedPageBreak/>
        <w:t xml:space="preserve">The other important suggestion is the modernization of tourism laws to deal with the new challenges of technology and globalization. The blistering development of digital services, online travel agencies, and sharing economy has brought about gaps in regulation that traditional legal frameworks might not fully cover. The governments are advised to revise their legal frameworks </w:t>
      </w:r>
      <w:proofErr w:type="gramStart"/>
      <w:r w:rsidRPr="003123AC">
        <w:rPr>
          <w:rFonts w:ascii="Times New Roman" w:hAnsi="Times New Roman" w:cs="Times New Roman"/>
          <w:szCs w:val="24"/>
        </w:rPr>
        <w:t>in order to</w:t>
      </w:r>
      <w:proofErr w:type="gramEnd"/>
      <w:r w:rsidRPr="003123AC">
        <w:rPr>
          <w:rFonts w:ascii="Times New Roman" w:hAnsi="Times New Roman" w:cs="Times New Roman"/>
          <w:szCs w:val="24"/>
        </w:rPr>
        <w:t xml:space="preserve"> control digital tourism services, consumer protection, and fair competition in the market (Xiang et al., 2017).</w:t>
      </w:r>
    </w:p>
    <w:p w14:paraId="07D96F3D"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In addition, the enhancement of the security of the rights of travelers should be prioritized. Laws should also have explicit safety standards, liability, dispute resolution, and consumer protection. This will boost confidence in the tourism industry and guarantee a pleasant experience to the travellers (Holloway &amp; Humphreys, 2019). The international collaboration is also necessary in resolving cross-border conflicts and securing uniform safeguarding of tourist rights.</w:t>
      </w:r>
    </w:p>
    <w:p w14:paraId="3B8D36DA"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Lastly, tourism regulation requires strengthening governance and transparency. The government must create strong regulatory organizations, impose legal practice, and encourage responsibility in the tourism industry. Alternatively, use of public-private partnerships may also be instrumental in enhancing governance and facilitating the proper enactment of tourism policies (Dredge and Jenkins, 2011).</w:t>
      </w:r>
    </w:p>
    <w:p w14:paraId="337E0BCF"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To sum up, the improvement of the legal system of tourism should be a joint effort that involves international bodies, governments of countries, and tourism stakeholders. Through harmonization, capacity building, sustainability, modernization of rules and transparency, the tourism industry will be able to attain sustainable development and play a positive role in the development of the world.</w:t>
      </w:r>
    </w:p>
    <w:p w14:paraId="0597CA09" w14:textId="77777777" w:rsidR="003123AC" w:rsidRPr="003123AC" w:rsidRDefault="003123AC" w:rsidP="003123AC">
      <w:pPr>
        <w:spacing w:line="360" w:lineRule="auto"/>
        <w:rPr>
          <w:rFonts w:ascii="Times New Roman" w:hAnsi="Times New Roman" w:cs="Times New Roman"/>
          <w:szCs w:val="24"/>
        </w:rPr>
      </w:pPr>
    </w:p>
    <w:p w14:paraId="2B2E79D6"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Conclusion</w:t>
      </w:r>
    </w:p>
    <w:p w14:paraId="3104D3EB"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This report has also critically analysed the legal framework of tourism with reference to how international conventions and national laws of tourism interrelate in the regulation of cross-border tourism. The analysis shows that tourism governance is governed by a multi-layered system of laws, as international agreements provide general principles by which national laws provide specific implementation. This bilateral framework is necessary to provide stability in the international tourism </w:t>
      </w:r>
      <w:proofErr w:type="gramStart"/>
      <w:r w:rsidRPr="003123AC">
        <w:rPr>
          <w:rFonts w:ascii="Times New Roman" w:hAnsi="Times New Roman" w:cs="Times New Roman"/>
          <w:szCs w:val="24"/>
        </w:rPr>
        <w:t>practices, but</w:t>
      </w:r>
      <w:proofErr w:type="gramEnd"/>
      <w:r w:rsidRPr="003123AC">
        <w:rPr>
          <w:rFonts w:ascii="Times New Roman" w:hAnsi="Times New Roman" w:cs="Times New Roman"/>
          <w:szCs w:val="24"/>
        </w:rPr>
        <w:t xml:space="preserve"> be flexible in meeting country-specific requirements.</w:t>
      </w:r>
    </w:p>
    <w:p w14:paraId="2142BBA9"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lastRenderedPageBreak/>
        <w:t xml:space="preserve">These results illustrate that international conventions are important in supporting cross-border tourism to offer standardized provisions on safety, sustainability, and ethical behavior. Their </w:t>
      </w:r>
      <w:proofErr w:type="gramStart"/>
      <w:r w:rsidRPr="003123AC">
        <w:rPr>
          <w:rFonts w:ascii="Times New Roman" w:hAnsi="Times New Roman" w:cs="Times New Roman"/>
          <w:szCs w:val="24"/>
        </w:rPr>
        <w:t>success</w:t>
      </w:r>
      <w:proofErr w:type="gramEnd"/>
      <w:r w:rsidRPr="003123AC">
        <w:rPr>
          <w:rFonts w:ascii="Times New Roman" w:hAnsi="Times New Roman" w:cs="Times New Roman"/>
          <w:szCs w:val="24"/>
        </w:rPr>
        <w:t xml:space="preserve"> however, highly relies on the ability and willingness of national governments to enforce these frameworks. The differences in legal systems, institutional capability, and economic development present difficulties in the practice of the equal application of international standards.</w:t>
      </w:r>
    </w:p>
    <w:p w14:paraId="1825FB58"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The United Nations World Tourism Organization (UNWTO) becomes one of the key players in tourism governance at the international level. The UNWTO assists in reducing the divide between international and national legal systems by facilitating collaboration and offering policy advice and capacity-building efforts. It has a significant role to play in the advancement of sustainable and responsible tourism, especially in the consideration of new global issues like climate change and overtourism.</w:t>
      </w:r>
    </w:p>
    <w:p w14:paraId="0428143F" w14:textId="77777777" w:rsidR="003123AC" w:rsidRPr="003123AC"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Moreover, the report highlights the growing relevance of sustainability and protection of travelers in tourism law. Laws need to be constantly revised to accommodate environmental issues, new technology and changing consumer demands. The emergence of digital spaces and worldwide crises, including pandemics, further proves the necessity of adaptable and reactive legal frameworks.</w:t>
      </w:r>
    </w:p>
    <w:p w14:paraId="11312BDB" w14:textId="109D6DFC" w:rsidR="00C63287" w:rsidRDefault="003123AC" w:rsidP="003123AC">
      <w:pPr>
        <w:spacing w:line="360" w:lineRule="auto"/>
        <w:rPr>
          <w:rFonts w:ascii="Times New Roman" w:hAnsi="Times New Roman" w:cs="Times New Roman"/>
          <w:szCs w:val="24"/>
        </w:rPr>
      </w:pPr>
      <w:r w:rsidRPr="003123AC">
        <w:rPr>
          <w:rFonts w:ascii="Times New Roman" w:hAnsi="Times New Roman" w:cs="Times New Roman"/>
          <w:szCs w:val="24"/>
        </w:rPr>
        <w:t xml:space="preserve">To sum up, the key to successful tourism control lies in the combination of international conventions, national laws, and institutional abilities. Although there is a lot of progress on the harmonization of tourism laws, more needs to be done to deal with inconsistencies and the emerging challenges. International organizations, governments and industry actors will need to enhance collaboration </w:t>
      </w:r>
      <w:proofErr w:type="gramStart"/>
      <w:r w:rsidRPr="003123AC">
        <w:rPr>
          <w:rFonts w:ascii="Times New Roman" w:hAnsi="Times New Roman" w:cs="Times New Roman"/>
          <w:szCs w:val="24"/>
        </w:rPr>
        <w:t>in order to</w:t>
      </w:r>
      <w:proofErr w:type="gramEnd"/>
      <w:r w:rsidRPr="003123AC">
        <w:rPr>
          <w:rFonts w:ascii="Times New Roman" w:hAnsi="Times New Roman" w:cs="Times New Roman"/>
          <w:szCs w:val="24"/>
        </w:rPr>
        <w:t xml:space="preserve"> advance sustainable, safe, and efficient global tourism.</w:t>
      </w:r>
    </w:p>
    <w:p w14:paraId="147C2CB2" w14:textId="77777777" w:rsidR="003123AC" w:rsidRDefault="003123AC" w:rsidP="003123AC">
      <w:pPr>
        <w:spacing w:line="360" w:lineRule="auto"/>
        <w:rPr>
          <w:rFonts w:ascii="Times New Roman" w:hAnsi="Times New Roman" w:cs="Times New Roman"/>
          <w:szCs w:val="24"/>
        </w:rPr>
      </w:pPr>
    </w:p>
    <w:p w14:paraId="266C30ED" w14:textId="77777777" w:rsidR="00C63287" w:rsidRPr="00CC67E8" w:rsidRDefault="00C63287" w:rsidP="00C63287">
      <w:pPr>
        <w:spacing w:line="360" w:lineRule="auto"/>
        <w:rPr>
          <w:rFonts w:ascii="Times New Roman" w:hAnsi="Times New Roman" w:cs="Times New Roman"/>
          <w:szCs w:val="24"/>
        </w:rPr>
      </w:pPr>
    </w:p>
    <w:p w14:paraId="1F9DA8B3" w14:textId="77777777" w:rsidR="00C63287" w:rsidRPr="00A97DD3" w:rsidRDefault="00C63287" w:rsidP="00C63287">
      <w:pPr>
        <w:pStyle w:val="Heading2"/>
        <w:spacing w:line="360" w:lineRule="auto"/>
        <w:rPr>
          <w:rFonts w:ascii="Times New Roman" w:hAnsi="Times New Roman" w:cs="Times New Roman"/>
          <w:sz w:val="24"/>
          <w:szCs w:val="24"/>
        </w:rPr>
      </w:pPr>
      <w:bookmarkStart w:id="1" w:name="_Toc224846307"/>
      <w:r w:rsidRPr="00CC67E8">
        <w:rPr>
          <w:rFonts w:ascii="Times New Roman" w:hAnsi="Times New Roman" w:cs="Times New Roman"/>
          <w:sz w:val="24"/>
          <w:szCs w:val="24"/>
        </w:rPr>
        <w:t>References</w:t>
      </w:r>
      <w:bookmarkEnd w:id="1"/>
    </w:p>
    <w:p w14:paraId="7E5DA221"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Dredge, D., &amp; Jenkins, J. (2011). </w:t>
      </w:r>
      <w:r w:rsidRPr="003643CD">
        <w:rPr>
          <w:rFonts w:ascii="Times New Roman" w:hAnsi="Times New Roman" w:cs="Times New Roman"/>
          <w:i/>
          <w:iCs/>
          <w:szCs w:val="24"/>
        </w:rPr>
        <w:t>Tourism planning and policy</w:t>
      </w:r>
      <w:r w:rsidRPr="003643CD">
        <w:rPr>
          <w:rFonts w:ascii="Times New Roman" w:hAnsi="Times New Roman" w:cs="Times New Roman"/>
          <w:szCs w:val="24"/>
        </w:rPr>
        <w:t>. Wiley.</w:t>
      </w:r>
    </w:p>
    <w:p w14:paraId="6921DAA6"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Fayos-Solà, E. (2012). The UNWTO global code of ethics for tourism. </w:t>
      </w:r>
      <w:r w:rsidRPr="003643CD">
        <w:rPr>
          <w:rFonts w:ascii="Times New Roman" w:hAnsi="Times New Roman" w:cs="Times New Roman"/>
          <w:i/>
          <w:iCs/>
          <w:szCs w:val="24"/>
        </w:rPr>
        <w:t>Tourism Management Perspectives</w:t>
      </w:r>
      <w:r w:rsidRPr="003643CD">
        <w:rPr>
          <w:rFonts w:ascii="Times New Roman" w:hAnsi="Times New Roman" w:cs="Times New Roman"/>
          <w:szCs w:val="24"/>
        </w:rPr>
        <w:t>, 2–3, 6–11. https://doi.org/10.1016/j.tmp.2012.03.003</w:t>
      </w:r>
    </w:p>
    <w:p w14:paraId="52CE0C83"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lastRenderedPageBreak/>
        <w:t xml:space="preserve">Gössling, S., Scott, D., &amp; Hall, C. M. (2020). Pandemics, tourism and global change.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29(1), 1–20. </w:t>
      </w:r>
      <w:hyperlink r:id="rId5" w:tgtFrame="_new" w:history="1">
        <w:r w:rsidRPr="003643CD">
          <w:rPr>
            <w:rStyle w:val="Hyperlink"/>
            <w:rFonts w:ascii="Times New Roman" w:hAnsi="Times New Roman" w:cs="Times New Roman"/>
            <w:szCs w:val="24"/>
          </w:rPr>
          <w:t>https://doi.org/10.1080/09669582.2020.1758708</w:t>
        </w:r>
      </w:hyperlink>
    </w:p>
    <w:p w14:paraId="45C2E13F"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Hall, C. M. (2019). </w:t>
      </w:r>
      <w:r w:rsidRPr="003643CD">
        <w:rPr>
          <w:rFonts w:ascii="Times New Roman" w:hAnsi="Times New Roman" w:cs="Times New Roman"/>
          <w:i/>
          <w:iCs/>
          <w:szCs w:val="24"/>
        </w:rPr>
        <w:t>Tourism and public policy</w:t>
      </w:r>
      <w:r w:rsidRPr="003643CD">
        <w:rPr>
          <w:rFonts w:ascii="Times New Roman" w:hAnsi="Times New Roman" w:cs="Times New Roman"/>
          <w:szCs w:val="24"/>
        </w:rPr>
        <w:t>. Routledge.</w:t>
      </w:r>
    </w:p>
    <w:p w14:paraId="6047F7B0"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Page, S. J. (2019). </w:t>
      </w:r>
      <w:r w:rsidRPr="003643CD">
        <w:rPr>
          <w:rFonts w:ascii="Times New Roman" w:hAnsi="Times New Roman" w:cs="Times New Roman"/>
          <w:i/>
          <w:iCs/>
          <w:szCs w:val="24"/>
        </w:rPr>
        <w:t>Tourism management</w:t>
      </w:r>
      <w:r w:rsidRPr="003643CD">
        <w:rPr>
          <w:rFonts w:ascii="Times New Roman" w:hAnsi="Times New Roman" w:cs="Times New Roman"/>
          <w:szCs w:val="24"/>
        </w:rPr>
        <w:t xml:space="preserve"> (6th ed.). Routledge.</w:t>
      </w:r>
    </w:p>
    <w:p w14:paraId="43F617EB"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Shaw, G., &amp; Williams, A. M. (2004). </w:t>
      </w:r>
      <w:r w:rsidRPr="003643CD">
        <w:rPr>
          <w:rFonts w:ascii="Times New Roman" w:hAnsi="Times New Roman" w:cs="Times New Roman"/>
          <w:i/>
          <w:iCs/>
          <w:szCs w:val="24"/>
        </w:rPr>
        <w:t>Tourism and tourism spaces</w:t>
      </w:r>
      <w:r w:rsidRPr="003643CD">
        <w:rPr>
          <w:rFonts w:ascii="Times New Roman" w:hAnsi="Times New Roman" w:cs="Times New Roman"/>
          <w:szCs w:val="24"/>
        </w:rPr>
        <w:t>. Sage.</w:t>
      </w:r>
    </w:p>
    <w:p w14:paraId="53006B4F"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UNWTO. (2001). </w:t>
      </w:r>
      <w:r w:rsidRPr="003643CD">
        <w:rPr>
          <w:rFonts w:ascii="Times New Roman" w:hAnsi="Times New Roman" w:cs="Times New Roman"/>
          <w:i/>
          <w:iCs/>
          <w:szCs w:val="24"/>
        </w:rPr>
        <w:t>Global code of ethics for tourism</w:t>
      </w:r>
      <w:r w:rsidRPr="003643CD">
        <w:rPr>
          <w:rFonts w:ascii="Times New Roman" w:hAnsi="Times New Roman" w:cs="Times New Roman"/>
          <w:szCs w:val="24"/>
        </w:rPr>
        <w:t>. World Tourism Organization.</w:t>
      </w:r>
    </w:p>
    <w:p w14:paraId="5221A6D7"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UNWTO. (2018). </w:t>
      </w:r>
      <w:r w:rsidRPr="003643CD">
        <w:rPr>
          <w:rFonts w:ascii="Times New Roman" w:hAnsi="Times New Roman" w:cs="Times New Roman"/>
          <w:i/>
          <w:iCs/>
          <w:szCs w:val="24"/>
        </w:rPr>
        <w:t>Tourism and the Sustainable Development Goals</w:t>
      </w:r>
      <w:r w:rsidRPr="003643CD">
        <w:rPr>
          <w:rFonts w:ascii="Times New Roman" w:hAnsi="Times New Roman" w:cs="Times New Roman"/>
          <w:szCs w:val="24"/>
        </w:rPr>
        <w:t>. World Tourism Organization.</w:t>
      </w:r>
    </w:p>
    <w:p w14:paraId="700A6A95"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Holloway, J. C., &amp; Humphreys, C. (2019). </w:t>
      </w:r>
      <w:r w:rsidRPr="003643CD">
        <w:rPr>
          <w:rFonts w:ascii="Times New Roman" w:hAnsi="Times New Roman" w:cs="Times New Roman"/>
          <w:i/>
          <w:iCs/>
          <w:szCs w:val="24"/>
        </w:rPr>
        <w:t>The business of tourism</w:t>
      </w:r>
      <w:r w:rsidRPr="003643CD">
        <w:rPr>
          <w:rFonts w:ascii="Times New Roman" w:hAnsi="Times New Roman" w:cs="Times New Roman"/>
          <w:szCs w:val="24"/>
        </w:rPr>
        <w:t xml:space="preserve"> (11th ed.). Pearson.</w:t>
      </w:r>
    </w:p>
    <w:p w14:paraId="5AA7C638"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Xiang, Z., Magnini, V. P., &amp; Fesenmaier, D. R. (2017). Information technology and consumer behavior in travel and tourism. </w:t>
      </w:r>
      <w:r w:rsidRPr="003643CD">
        <w:rPr>
          <w:rFonts w:ascii="Times New Roman" w:hAnsi="Times New Roman" w:cs="Times New Roman"/>
          <w:i/>
          <w:iCs/>
          <w:szCs w:val="24"/>
        </w:rPr>
        <w:t>Journal of Travel Research</w:t>
      </w:r>
      <w:r w:rsidRPr="003643CD">
        <w:rPr>
          <w:rFonts w:ascii="Times New Roman" w:hAnsi="Times New Roman" w:cs="Times New Roman"/>
          <w:szCs w:val="24"/>
        </w:rPr>
        <w:t>, 56(1), 3–15. https://doi.org/10.1177/0047287516649057</w:t>
      </w:r>
    </w:p>
    <w:p w14:paraId="716C485A"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Bramwell, B., &amp; Lane, B. (2011). Critical research on governance and sustainability in tourism.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19(4–5), 411–421. </w:t>
      </w:r>
      <w:hyperlink r:id="rId6" w:tgtFrame="_new" w:history="1">
        <w:r w:rsidRPr="003643CD">
          <w:rPr>
            <w:rStyle w:val="Hyperlink"/>
            <w:rFonts w:ascii="Times New Roman" w:hAnsi="Times New Roman" w:cs="Times New Roman"/>
            <w:szCs w:val="24"/>
          </w:rPr>
          <w:t>https://doi.org/10.1080/09669582.2011.580586</w:t>
        </w:r>
      </w:hyperlink>
    </w:p>
    <w:p w14:paraId="6220A81E"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UNESCO. (1972). </w:t>
      </w:r>
      <w:r w:rsidRPr="003643CD">
        <w:rPr>
          <w:rFonts w:ascii="Times New Roman" w:hAnsi="Times New Roman" w:cs="Times New Roman"/>
          <w:i/>
          <w:iCs/>
          <w:szCs w:val="24"/>
        </w:rPr>
        <w:t>Convention concerning the protection of the world cultural and natural heritage</w:t>
      </w:r>
      <w:r w:rsidRPr="003643CD">
        <w:rPr>
          <w:rFonts w:ascii="Times New Roman" w:hAnsi="Times New Roman" w:cs="Times New Roman"/>
          <w:szCs w:val="24"/>
        </w:rPr>
        <w:t>. UNESCO.</w:t>
      </w:r>
    </w:p>
    <w:p w14:paraId="19DE77D1"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OECD. (2020). </w:t>
      </w:r>
      <w:r w:rsidRPr="003643CD">
        <w:rPr>
          <w:rFonts w:ascii="Times New Roman" w:hAnsi="Times New Roman" w:cs="Times New Roman"/>
          <w:i/>
          <w:iCs/>
          <w:szCs w:val="24"/>
        </w:rPr>
        <w:t>Tourism policy responses to the coronavirus (COVID-19)</w:t>
      </w:r>
      <w:r w:rsidRPr="003643CD">
        <w:rPr>
          <w:rFonts w:ascii="Times New Roman" w:hAnsi="Times New Roman" w:cs="Times New Roman"/>
          <w:szCs w:val="24"/>
        </w:rPr>
        <w:t>. OECD Publishing. https://doi.org/10.1787/6466aa20-en</w:t>
      </w:r>
    </w:p>
    <w:p w14:paraId="06A75C81"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WTTC. (2021). </w:t>
      </w:r>
      <w:r w:rsidRPr="003643CD">
        <w:rPr>
          <w:rFonts w:ascii="Times New Roman" w:hAnsi="Times New Roman" w:cs="Times New Roman"/>
          <w:i/>
          <w:iCs/>
          <w:szCs w:val="24"/>
        </w:rPr>
        <w:t>Economic impact reports</w:t>
      </w:r>
      <w:r w:rsidRPr="003643CD">
        <w:rPr>
          <w:rFonts w:ascii="Times New Roman" w:hAnsi="Times New Roman" w:cs="Times New Roman"/>
          <w:szCs w:val="24"/>
        </w:rPr>
        <w:t>. World Travel &amp; Tourism Council.</w:t>
      </w:r>
    </w:p>
    <w:p w14:paraId="5D947097"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Scott, D., Hall, C. M., &amp; Gössling, S. (2019). Global tourism vulnerability to climate change.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xml:space="preserve">, 77, 49–61. </w:t>
      </w:r>
      <w:hyperlink r:id="rId7" w:tgtFrame="_new" w:history="1">
        <w:r w:rsidRPr="003643CD">
          <w:rPr>
            <w:rStyle w:val="Hyperlink"/>
            <w:rFonts w:ascii="Times New Roman" w:hAnsi="Times New Roman" w:cs="Times New Roman"/>
            <w:szCs w:val="24"/>
          </w:rPr>
          <w:t>https://doi.org/10.1016/j.annals.2019.05.007</w:t>
        </w:r>
      </w:hyperlink>
    </w:p>
    <w:p w14:paraId="22B045BF"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Hall, C. M., Scott, D., &amp; Gössling, S. (2020). Pandemics, transformations and tourism. </w:t>
      </w:r>
      <w:r w:rsidRPr="003643CD">
        <w:rPr>
          <w:rFonts w:ascii="Times New Roman" w:hAnsi="Times New Roman" w:cs="Times New Roman"/>
          <w:i/>
          <w:iCs/>
          <w:szCs w:val="24"/>
        </w:rPr>
        <w:t>Tourism Geographies</w:t>
      </w:r>
      <w:r w:rsidRPr="003643CD">
        <w:rPr>
          <w:rFonts w:ascii="Times New Roman" w:hAnsi="Times New Roman" w:cs="Times New Roman"/>
          <w:szCs w:val="24"/>
        </w:rPr>
        <w:t>, 22(3), 577–598. https://doi.org/10.1080/14616688.2020.1759130</w:t>
      </w:r>
    </w:p>
    <w:p w14:paraId="5F7071A6"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t xml:space="preserve">Peeters, P., Gössling, S., &amp; Becken, S. (2006). Innovation towards tourism sustainability.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14(5), 503–520. https://doi.org/10.2167/jost539.0</w:t>
      </w:r>
    </w:p>
    <w:p w14:paraId="77C4CF28" w14:textId="77777777" w:rsidR="00C63287" w:rsidRPr="003643CD" w:rsidRDefault="00C63287" w:rsidP="00C63287">
      <w:pPr>
        <w:spacing w:line="360" w:lineRule="auto"/>
        <w:rPr>
          <w:rFonts w:ascii="Times New Roman" w:hAnsi="Times New Roman" w:cs="Times New Roman"/>
          <w:szCs w:val="24"/>
        </w:rPr>
      </w:pPr>
      <w:r w:rsidRPr="003643CD">
        <w:rPr>
          <w:rFonts w:ascii="Times New Roman" w:hAnsi="Times New Roman" w:cs="Times New Roman"/>
          <w:szCs w:val="24"/>
        </w:rPr>
        <w:lastRenderedPageBreak/>
        <w:t xml:space="preserve">McKercher, B., &amp; Prideaux, B. (2014). Academic myths of tourism.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46, 16–28. https://doi.org/10.1016/j.annals.2014.02.003</w:t>
      </w:r>
    </w:p>
    <w:p w14:paraId="544C3A46" w14:textId="77777777" w:rsidR="00C63287" w:rsidRPr="00CC67E8" w:rsidRDefault="00C63287" w:rsidP="00C63287">
      <w:pPr>
        <w:spacing w:line="360" w:lineRule="auto"/>
        <w:rPr>
          <w:rFonts w:ascii="Times New Roman" w:hAnsi="Times New Roman" w:cs="Times New Roman"/>
          <w:szCs w:val="24"/>
        </w:rPr>
      </w:pPr>
    </w:p>
    <w:p w14:paraId="31863319" w14:textId="77777777" w:rsidR="00C63287" w:rsidRDefault="00C63287"/>
    <w:sectPr w:rsidR="00C632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287"/>
    <w:rsid w:val="003123AC"/>
    <w:rsid w:val="007369F1"/>
    <w:rsid w:val="00C6328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2541"/>
  <w15:chartTrackingRefBased/>
  <w15:docId w15:val="{B5A33332-CDFB-4D9A-B48C-2A42E4686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287"/>
  </w:style>
  <w:style w:type="paragraph" w:styleId="Heading1">
    <w:name w:val="heading 1"/>
    <w:basedOn w:val="Normal"/>
    <w:next w:val="Normal"/>
    <w:link w:val="Heading1Char"/>
    <w:uiPriority w:val="9"/>
    <w:qFormat/>
    <w:rsid w:val="00C6328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C6328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C6328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C632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2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2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2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2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2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28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C6328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C6328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C632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2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287"/>
    <w:rPr>
      <w:rFonts w:eastAsiaTheme="majorEastAsia" w:cstheme="majorBidi"/>
      <w:color w:val="272727" w:themeColor="text1" w:themeTint="D8"/>
    </w:rPr>
  </w:style>
  <w:style w:type="paragraph" w:styleId="Title">
    <w:name w:val="Title"/>
    <w:basedOn w:val="Normal"/>
    <w:next w:val="Normal"/>
    <w:link w:val="TitleChar"/>
    <w:uiPriority w:val="10"/>
    <w:qFormat/>
    <w:rsid w:val="00C6328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6328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6328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6328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63287"/>
    <w:pPr>
      <w:spacing w:before="160"/>
      <w:jc w:val="center"/>
    </w:pPr>
    <w:rPr>
      <w:i/>
      <w:iCs/>
      <w:color w:val="404040" w:themeColor="text1" w:themeTint="BF"/>
    </w:rPr>
  </w:style>
  <w:style w:type="character" w:customStyle="1" w:styleId="QuoteChar">
    <w:name w:val="Quote Char"/>
    <w:basedOn w:val="DefaultParagraphFont"/>
    <w:link w:val="Quote"/>
    <w:uiPriority w:val="29"/>
    <w:rsid w:val="00C63287"/>
    <w:rPr>
      <w:i/>
      <w:iCs/>
      <w:color w:val="404040" w:themeColor="text1" w:themeTint="BF"/>
    </w:rPr>
  </w:style>
  <w:style w:type="paragraph" w:styleId="ListParagraph">
    <w:name w:val="List Paragraph"/>
    <w:basedOn w:val="Normal"/>
    <w:uiPriority w:val="34"/>
    <w:qFormat/>
    <w:rsid w:val="00C63287"/>
    <w:pPr>
      <w:ind w:left="720"/>
      <w:contextualSpacing/>
    </w:pPr>
  </w:style>
  <w:style w:type="character" w:styleId="IntenseEmphasis">
    <w:name w:val="Intense Emphasis"/>
    <w:basedOn w:val="DefaultParagraphFont"/>
    <w:uiPriority w:val="21"/>
    <w:qFormat/>
    <w:rsid w:val="00C63287"/>
    <w:rPr>
      <w:i/>
      <w:iCs/>
      <w:color w:val="0F4761" w:themeColor="accent1" w:themeShade="BF"/>
    </w:rPr>
  </w:style>
  <w:style w:type="paragraph" w:styleId="IntenseQuote">
    <w:name w:val="Intense Quote"/>
    <w:basedOn w:val="Normal"/>
    <w:next w:val="Normal"/>
    <w:link w:val="IntenseQuoteChar"/>
    <w:uiPriority w:val="30"/>
    <w:qFormat/>
    <w:rsid w:val="00C63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287"/>
    <w:rPr>
      <w:i/>
      <w:iCs/>
      <w:color w:val="0F4761" w:themeColor="accent1" w:themeShade="BF"/>
    </w:rPr>
  </w:style>
  <w:style w:type="character" w:styleId="IntenseReference">
    <w:name w:val="Intense Reference"/>
    <w:basedOn w:val="DefaultParagraphFont"/>
    <w:uiPriority w:val="32"/>
    <w:qFormat/>
    <w:rsid w:val="00C63287"/>
    <w:rPr>
      <w:b/>
      <w:bCs/>
      <w:smallCaps/>
      <w:color w:val="0F4761" w:themeColor="accent1" w:themeShade="BF"/>
      <w:spacing w:val="5"/>
    </w:rPr>
  </w:style>
  <w:style w:type="character" w:styleId="Hyperlink">
    <w:name w:val="Hyperlink"/>
    <w:basedOn w:val="DefaultParagraphFont"/>
    <w:uiPriority w:val="99"/>
    <w:unhideWhenUsed/>
    <w:rsid w:val="00C63287"/>
    <w:rPr>
      <w:color w:val="467886" w:themeColor="hyperlink"/>
      <w:u w:val="single"/>
    </w:rPr>
  </w:style>
  <w:style w:type="paragraph" w:styleId="TOCHeading">
    <w:name w:val="TOC Heading"/>
    <w:basedOn w:val="Heading1"/>
    <w:next w:val="Normal"/>
    <w:uiPriority w:val="39"/>
    <w:unhideWhenUsed/>
    <w:qFormat/>
    <w:rsid w:val="00C63287"/>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632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annals.2019.05.0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69582.2011.580586" TargetMode="External"/><Relationship Id="rId5" Type="http://schemas.openxmlformats.org/officeDocument/2006/relationships/hyperlink" Target="https://doi.org/10.1080/09669582.2020.175870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4543</Words>
  <Characters>25901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2026-03-21T06:08:00Z</dcterms:created>
  <dcterms:modified xsi:type="dcterms:W3CDTF">2026-03-21T06:15:00Z</dcterms:modified>
</cp:coreProperties>
</file>