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60379EDC" w14:textId="77777777" w:rsidR="00BC0BEA" w:rsidRPr="00BC0BEA" w:rsidRDefault="00BC0BEA" w:rsidP="00BC0BEA">
      <w:pPr>
        <w:spacing w:line="480" w:lineRule="auto"/>
        <w:rPr>
          <w:b/>
          <w:bCs/>
          <w:lang w:val="en-GB"/>
        </w:rPr>
      </w:pPr>
      <w:r w:rsidRPr="00BC0BEA">
        <w:rPr>
          <w:b/>
          <w:bCs/>
          <w:lang w:val="en-GB"/>
        </w:rPr>
        <w:lastRenderedPageBreak/>
        <w:t>Applying the Global Code of Ethics for Tourism: Advantages for India</w:t>
      </w:r>
    </w:p>
    <w:p w14:paraId="2AC8CD00" w14:textId="77777777" w:rsidR="00100842" w:rsidRPr="00100842" w:rsidRDefault="00100842" w:rsidP="00100842">
      <w:pPr>
        <w:spacing w:line="480" w:lineRule="auto"/>
        <w:rPr>
          <w:lang w:val="en-GB"/>
        </w:rPr>
      </w:pPr>
      <w:r w:rsidRPr="00100842">
        <w:rPr>
          <w:lang w:val="en-GB"/>
        </w:rPr>
        <w:t>India's tourist industry is essential to the country's economic expansion, cross-cultural interactions, and job creation. However, problems like cultural exploitation, unfair benefit distribution, and environmental degradation pose a threat to its survival. An ethical framework for addressing these issues and guaranteeing the growth of responsible tourism is offered by the Global Code of Ethics for Tourism (GCET) to India.</w:t>
      </w:r>
      <w:r w:rsidRPr="00100842">
        <w:rPr>
          <w:lang w:val="en-GB"/>
        </w:rPr>
        <w:br/>
        <w:t>Better governance and policy coherence are two major advantages of using the GCET. Many parties are involved in the development of tourism in India, including local communities, private businesses, and the federal and state governments. The GCET encourages stakeholder cooperation, accountability, and openness. Coordination between tourist, environmental, and cultural heritage authorities can be improved, regulatory uniformity can be increased, and corruption can be decreased by incorporating ethical concepts into tourism policy (Hall, 2011).</w:t>
      </w:r>
      <w:r w:rsidRPr="00100842">
        <w:rPr>
          <w:lang w:val="en-GB"/>
        </w:rPr>
        <w:br/>
        <w:t>The preservation of cultural heritage and identity is another significant advantage. Every year, millions of tourists visit India's historical landmarks, religious sites, and festivals. Without moral protections, tourism may become commodified and lose its cultural significance. The GCET places a strong emphasis on protecting intangible cultural resources and showing respect for host cultures. By putting these guidelines into practice, tourism is guaranteed to enhance rather than diminish cultural identity by promoting historical preservation, culturally aware travel offerings, and considerate guest conduct (Timothy, 2018).</w:t>
      </w:r>
      <w:r w:rsidRPr="00100842">
        <w:rPr>
          <w:lang w:val="en-GB"/>
        </w:rPr>
        <w:br/>
        <w:t xml:space="preserve">Additionally, the GCET promotes customer trust and ethical corporate practices. Fair pricing, honest marketing, and observance of consumer rights are all encouraged by ethical tourism norms. This can lower deceptive advertising, raise service standards, and increase visitor </w:t>
      </w:r>
      <w:r w:rsidRPr="00100842">
        <w:rPr>
          <w:lang w:val="en-GB"/>
        </w:rPr>
        <w:lastRenderedPageBreak/>
        <w:t>happiness for India. By fostering trust between tour operators and foreign tourists, ethical business practices increase destination competitiveness and encourage return visits (Dodds &amp; Joppe, 2005).</w:t>
      </w:r>
      <w:r w:rsidRPr="00100842">
        <w:rPr>
          <w:lang w:val="en-GB"/>
        </w:rPr>
        <w:br/>
        <w:t>Long-term economic resilience is also aided by ethical tourism. The GCET assists India in avoiding the boom-and-bust cycles linked to mass tourism by opposing exploitative behaviours and encouraging sustainability. Diversification, creativity, and resilience are encouraged by ethical tourism, especially in new and rural areas. Over time, tourism will continue to be a consistent source of national income thanks to sustainable expansion (Bramwell &amp; Lane, 2011).</w:t>
      </w:r>
      <w:r w:rsidRPr="00100842">
        <w:rPr>
          <w:lang w:val="en-GB"/>
        </w:rPr>
        <w:br/>
        <w:t xml:space="preserve">In conclusion, India may achieve robust economic growth, build governance, safeguard cultural heritage, and improve business ethics by implementing the Global Code of Ethics for Tourism. </w:t>
      </w:r>
      <w:proofErr w:type="gramStart"/>
      <w:r w:rsidRPr="00100842">
        <w:rPr>
          <w:lang w:val="en-GB"/>
        </w:rPr>
        <w:t>An</w:t>
      </w:r>
      <w:proofErr w:type="gramEnd"/>
      <w:r w:rsidRPr="00100842">
        <w:rPr>
          <w:lang w:val="en-GB"/>
        </w:rPr>
        <w:t xml:space="preserve"> technique that strikes a balance between social responsibility, environmental sustainability, and commercial goals is offered by ethical tourism.</w:t>
      </w:r>
    </w:p>
    <w:p w14:paraId="1E956207" w14:textId="77777777" w:rsidR="00100842" w:rsidRDefault="00100842" w:rsidP="00BC0BEA">
      <w:pPr>
        <w:spacing w:line="480" w:lineRule="auto"/>
        <w:rPr>
          <w:b/>
          <w:bCs/>
          <w:lang w:val="en-GB"/>
        </w:rPr>
      </w:pPr>
    </w:p>
    <w:p w14:paraId="31DD5CCC" w14:textId="681C3E78" w:rsidR="00BC0BEA" w:rsidRPr="00BC0BEA" w:rsidRDefault="00BC0BEA" w:rsidP="00BC0BEA">
      <w:pPr>
        <w:spacing w:line="480" w:lineRule="auto"/>
        <w:rPr>
          <w:b/>
          <w:bCs/>
          <w:lang w:val="en-GB"/>
        </w:rPr>
      </w:pPr>
      <w:r w:rsidRPr="00BC0BEA">
        <w:rPr>
          <w:b/>
          <w:bCs/>
          <w:lang w:val="en-GB"/>
        </w:rPr>
        <w:t>References (DOI)</w:t>
      </w:r>
    </w:p>
    <w:p w14:paraId="143DCF42" w14:textId="77777777" w:rsidR="00BC0BEA" w:rsidRPr="00BC0BEA" w:rsidRDefault="00BC0BEA" w:rsidP="00BC0BEA">
      <w:pPr>
        <w:numPr>
          <w:ilvl w:val="0"/>
          <w:numId w:val="3"/>
        </w:numPr>
        <w:spacing w:line="480" w:lineRule="auto"/>
        <w:rPr>
          <w:b/>
          <w:bCs/>
          <w:lang w:val="en-GB"/>
        </w:rPr>
      </w:pPr>
      <w:r w:rsidRPr="00BC0BEA">
        <w:rPr>
          <w:b/>
          <w:bCs/>
          <w:lang w:val="en-GB"/>
        </w:rPr>
        <w:t xml:space="preserve">Bramwell, B., &amp; Lane, B. (2011). Critical research on governance for sustainable tourism. </w:t>
      </w:r>
      <w:r w:rsidRPr="00BC0BEA">
        <w:rPr>
          <w:b/>
          <w:bCs/>
          <w:i/>
          <w:iCs/>
          <w:lang w:val="en-GB"/>
        </w:rPr>
        <w:t>Journal of Sustainable Tourism, 19</w:t>
      </w:r>
      <w:r w:rsidRPr="00BC0BEA">
        <w:rPr>
          <w:b/>
          <w:bCs/>
          <w:lang w:val="en-GB"/>
        </w:rPr>
        <w:t xml:space="preserve">(4–5), 411–421. </w:t>
      </w:r>
      <w:hyperlink r:id="rId6" w:tgtFrame="_new" w:history="1">
        <w:r w:rsidRPr="00BC0BEA">
          <w:rPr>
            <w:rStyle w:val="Hyperlink"/>
            <w:b/>
            <w:bCs/>
            <w:lang w:val="en-GB"/>
          </w:rPr>
          <w:t>https://doi.org/10.1080/09669582.2011.580586</w:t>
        </w:r>
      </w:hyperlink>
    </w:p>
    <w:p w14:paraId="2244E5F4" w14:textId="77777777" w:rsidR="00BC0BEA" w:rsidRPr="00BC0BEA" w:rsidRDefault="00BC0BEA" w:rsidP="00BC0BEA">
      <w:pPr>
        <w:numPr>
          <w:ilvl w:val="0"/>
          <w:numId w:val="3"/>
        </w:numPr>
        <w:spacing w:line="480" w:lineRule="auto"/>
        <w:rPr>
          <w:b/>
          <w:bCs/>
          <w:lang w:val="en-GB"/>
        </w:rPr>
      </w:pPr>
      <w:r w:rsidRPr="00BC0BEA">
        <w:rPr>
          <w:b/>
          <w:bCs/>
          <w:lang w:val="en-GB"/>
        </w:rPr>
        <w:t xml:space="preserve">Dodds, R., &amp; Joppe, M. (2005). CSR in the tourism industry. </w:t>
      </w:r>
      <w:r w:rsidRPr="00BC0BEA">
        <w:rPr>
          <w:b/>
          <w:bCs/>
          <w:i/>
          <w:iCs/>
          <w:lang w:val="en-GB"/>
        </w:rPr>
        <w:t>Journal of Sustainable Tourism, 13</w:t>
      </w:r>
      <w:r w:rsidRPr="00BC0BEA">
        <w:rPr>
          <w:b/>
          <w:bCs/>
          <w:lang w:val="en-GB"/>
        </w:rPr>
        <w:t>(1), 1–19. https://doi.org/10.1080/09669580508668470</w:t>
      </w:r>
    </w:p>
    <w:p w14:paraId="4836865A" w14:textId="77777777" w:rsidR="00BC0BEA" w:rsidRPr="00BC0BEA" w:rsidRDefault="00BC0BEA" w:rsidP="00BC0BEA">
      <w:pPr>
        <w:numPr>
          <w:ilvl w:val="0"/>
          <w:numId w:val="3"/>
        </w:numPr>
        <w:spacing w:line="480" w:lineRule="auto"/>
        <w:rPr>
          <w:b/>
          <w:bCs/>
          <w:lang w:val="en-GB"/>
        </w:rPr>
      </w:pPr>
      <w:r w:rsidRPr="00BC0BEA">
        <w:rPr>
          <w:b/>
          <w:bCs/>
          <w:lang w:val="en-GB"/>
        </w:rPr>
        <w:t xml:space="preserve">Hall, C. M. (2011). Policy learning and sustainable tourism. </w:t>
      </w:r>
      <w:r w:rsidRPr="00BC0BEA">
        <w:rPr>
          <w:b/>
          <w:bCs/>
          <w:i/>
          <w:iCs/>
          <w:lang w:val="en-GB"/>
        </w:rPr>
        <w:t>Journal of Sustainable Tourism, 19</w:t>
      </w:r>
      <w:r w:rsidRPr="00BC0BEA">
        <w:rPr>
          <w:b/>
          <w:bCs/>
          <w:lang w:val="en-GB"/>
        </w:rPr>
        <w:t xml:space="preserve">(4–5), 649–671. </w:t>
      </w:r>
      <w:hyperlink r:id="rId7" w:tgtFrame="_new" w:history="1">
        <w:r w:rsidRPr="00BC0BEA">
          <w:rPr>
            <w:rStyle w:val="Hyperlink"/>
            <w:b/>
            <w:bCs/>
            <w:lang w:val="en-GB"/>
          </w:rPr>
          <w:t>https://doi.org/10.1080/09669582.2011.555555</w:t>
        </w:r>
      </w:hyperlink>
    </w:p>
    <w:p w14:paraId="6ECCF3D3" w14:textId="77777777" w:rsidR="00BC0BEA" w:rsidRPr="00BC0BEA" w:rsidRDefault="00BC0BEA" w:rsidP="00BC0BEA">
      <w:pPr>
        <w:numPr>
          <w:ilvl w:val="0"/>
          <w:numId w:val="3"/>
        </w:numPr>
        <w:spacing w:line="480" w:lineRule="auto"/>
        <w:rPr>
          <w:b/>
          <w:bCs/>
          <w:lang w:val="en-GB"/>
        </w:rPr>
      </w:pPr>
      <w:r w:rsidRPr="00BC0BEA">
        <w:rPr>
          <w:b/>
          <w:bCs/>
          <w:lang w:val="en-GB"/>
        </w:rPr>
        <w:t xml:space="preserve">Timothy, D. J. (2018). Cultural heritage and tourism. </w:t>
      </w:r>
      <w:r w:rsidRPr="00BC0BEA">
        <w:rPr>
          <w:b/>
          <w:bCs/>
          <w:i/>
          <w:iCs/>
          <w:lang w:val="en-GB"/>
        </w:rPr>
        <w:t>Tourism Management Perspectives, 26</w:t>
      </w:r>
      <w:r w:rsidRPr="00BC0BEA">
        <w:rPr>
          <w:b/>
          <w:bCs/>
          <w:lang w:val="en-GB"/>
        </w:rPr>
        <w:t>, 1–3. https://doi.org/10.1016/j.tmp.2018.01.001</w:t>
      </w:r>
    </w:p>
    <w:p w14:paraId="1BC5DD0F" w14:textId="77777777" w:rsidR="0073676E" w:rsidRPr="0073676E" w:rsidRDefault="0073676E" w:rsidP="00BC0BEA">
      <w:pPr>
        <w:spacing w:line="480" w:lineRule="auto"/>
        <w:rPr>
          <w:lang w:val="en-US"/>
        </w:rPr>
      </w:pPr>
    </w:p>
    <w:sectPr w:rsidR="0073676E" w:rsidRPr="0073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7F54E9D-D9AB-41AE-B309-CA82E364790B}"/>
    <w:embedBold r:id="rId2" w:fontKey="{5915E885-3541-4FC3-971A-094FA4D2F952}"/>
    <w:embedBoldItalic r:id="rId3" w:fontKey="{78E44BD2-47C8-4E97-BD96-8EC3CC7132C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4084E6A-B4B1-4B2F-99AC-85AE87046050}"/>
  </w:font>
  <w:font w:name="Calibri Light">
    <w:panose1 w:val="020F0302020204030204"/>
    <w:charset w:val="00"/>
    <w:family w:val="swiss"/>
    <w:pitch w:val="variable"/>
    <w:sig w:usb0="E4002EFF" w:usb1="C000247B" w:usb2="00000009" w:usb3="00000000" w:csb0="000001FF" w:csb1="00000000"/>
    <w:embedRegular r:id="rId5" w:fontKey="{F7DC818E-DAF9-4DB8-8491-0CEAF148F50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D3AC0"/>
    <w:multiLevelType w:val="multilevel"/>
    <w:tmpl w:val="1CC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336446"/>
    <w:multiLevelType w:val="multilevel"/>
    <w:tmpl w:val="298C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 w:numId="2" w16cid:durableId="611281705">
    <w:abstractNumId w:val="1"/>
  </w:num>
  <w:num w:numId="3" w16cid:durableId="2064717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00842"/>
    <w:rsid w:val="001700EC"/>
    <w:rsid w:val="00174BB1"/>
    <w:rsid w:val="0019504D"/>
    <w:rsid w:val="001A08AF"/>
    <w:rsid w:val="00203724"/>
    <w:rsid w:val="00224FD9"/>
    <w:rsid w:val="002F4AE0"/>
    <w:rsid w:val="00306D3F"/>
    <w:rsid w:val="00384E8A"/>
    <w:rsid w:val="003B0A7B"/>
    <w:rsid w:val="003D1074"/>
    <w:rsid w:val="00426865"/>
    <w:rsid w:val="00477CAA"/>
    <w:rsid w:val="00481859"/>
    <w:rsid w:val="00502E29"/>
    <w:rsid w:val="005E458B"/>
    <w:rsid w:val="00607429"/>
    <w:rsid w:val="00661030"/>
    <w:rsid w:val="006C5B28"/>
    <w:rsid w:val="00716E23"/>
    <w:rsid w:val="0073676E"/>
    <w:rsid w:val="008039ED"/>
    <w:rsid w:val="00844EC2"/>
    <w:rsid w:val="008516FE"/>
    <w:rsid w:val="008A684E"/>
    <w:rsid w:val="00903466"/>
    <w:rsid w:val="009C1D0A"/>
    <w:rsid w:val="00A044F7"/>
    <w:rsid w:val="00A8150E"/>
    <w:rsid w:val="00AA40E0"/>
    <w:rsid w:val="00B20343"/>
    <w:rsid w:val="00B85EA7"/>
    <w:rsid w:val="00BB240B"/>
    <w:rsid w:val="00BC0BEA"/>
    <w:rsid w:val="00BE65DD"/>
    <w:rsid w:val="00C21EBA"/>
    <w:rsid w:val="00C551DF"/>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09669582.2011.5555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2.2011.580586"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595</Words>
  <Characters>3392</Characters>
  <Application>Microsoft Office Word</Application>
  <DocSecurity>0</DocSecurity>
  <Lines>28</Lines>
  <Paragraphs>7</Paragraphs>
  <ScaleCrop>false</ScaleCrop>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2026-01-27T05:34:00Z</dcterms:created>
  <dcterms:modified xsi:type="dcterms:W3CDTF">2026-01-27T05:34:00Z</dcterms:modified>
</cp:coreProperties>
</file>