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jc w:val="center"/>
      </w:pPr>
      <w:r>
        <w:rPr>
          <w:rFonts w:ascii="Times New Roman" w:hAnsi="Times New Roman"/>
          <w:b/>
          <w:color w:val="203864"/>
          <w:sz w:val="28"/>
        </w:rPr>
        <w:t>Business Administration Fundamentals</w:t>
      </w:r>
    </w:p>
    <w:p>
      <w:pPr>
        <w:spacing w:before="480" w:after="320"/>
        <w:jc w:val="center"/>
      </w:pPr>
      <w:r>
        <w:rPr>
          <w:rFonts w:ascii="Times New Roman" w:hAnsi="Times New Roman"/>
          <w:b/>
          <w:color w:val="1F1F1F"/>
          <w:sz w:val="40"/>
        </w:rPr>
        <w:t>Human Oversight in the Algorithmic Firm: Reframing Planning, Organising, Leading and Controlling</w:t>
      </w:r>
    </w:p>
    <w:p>
      <w:pPr>
        <w:jc w:val="center"/>
      </w:pPr>
      <w:r>
        <w:rPr>
          <w:rFonts w:ascii="Times New Roman" w:hAnsi="Times New Roman"/>
          <w:i/>
          <w:color w:val="203864"/>
          <w:sz w:val="24"/>
        </w:rPr>
        <w:t>Option 1: Classical Management Functions in an AI-Enabled Organisation</w:t>
      </w:r>
    </w:p>
    <w:p/>
    <w:p/>
    <w:p/>
    <w:p>
      <w:pPr>
        <w:spacing w:after="180"/>
        <w:jc w:val="center"/>
      </w:pPr>
      <w:r>
        <w:rPr>
          <w:rFonts w:ascii="Times New Roman" w:hAnsi="Times New Roman"/>
          <w:b w:val="0"/>
          <w:sz w:val="24"/>
        </w:rPr>
        <w:t>Student Name: ______________________________</w:t>
      </w:r>
    </w:p>
    <w:p>
      <w:pPr>
        <w:spacing w:after="180"/>
        <w:jc w:val="center"/>
      </w:pPr>
      <w:r>
        <w:rPr>
          <w:rFonts w:ascii="Times New Roman" w:hAnsi="Times New Roman"/>
          <w:b w:val="0"/>
          <w:sz w:val="24"/>
        </w:rPr>
        <w:t>Student ID: ________________________________</w:t>
      </w:r>
    </w:p>
    <w:p>
      <w:r>
        <w:br w:type="page"/>
      </w:r>
    </w:p>
    <w:p>
      <w:pPr>
        <w:pStyle w:val="TOCHeading"/>
        <w:spacing w:after="240"/>
        <w:jc w:val="center"/>
      </w:pPr>
      <w:r>
        <w:rPr>
          <w:rFonts w:ascii="Times New Roman" w:hAnsi="Times New Roman" w:eastAsia="Times New Roman"/>
          <w:b/>
          <w:color w:val="203864"/>
          <w:sz w:val="28"/>
        </w:rPr>
        <w:t>Table of Contents</w:t>
      </w:r>
    </w:p>
    <w:p>
      <w:pPr>
        <w:pStyle w:val="TOC1"/>
      </w:pPr>
      <w:r>
        <w:rPr>
          <w:rFonts w:ascii="Times New Roman" w:hAnsi="Times New Roman" w:eastAsia="Times New Roman"/>
          <w:b w:val="0"/>
          <w:sz w:val="24"/>
        </w:rPr>
        <w:fldChar w:fldCharType="begin" w:dirty="true"/>
        <w:instrText xml:space="preserve"> TOC \o "1-1" \h \z \u </w:instrText>
      </w:r>
      <w:r>
        <w:rPr>
          <w:rFonts w:ascii="Times New Roman" w:hAnsi="Times New Roman" w:eastAsia="Times New Roman"/>
          <w:b w:val="0"/>
          <w:sz w:val="24"/>
        </w:rPr>
        <w:fldChar w:fldCharType="separate"/>
      </w:r>
      <w:r>
        <w:rPr>
          <w:rFonts w:ascii="Times New Roman" w:hAnsi="Times New Roman" w:eastAsia="Times New Roman"/>
          <w:b w:val="0"/>
          <w:sz w:val="24"/>
        </w:rPr>
        <w:t>Abstract</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Introduction</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Literature Review</w:t>
      </w:r>
      <w:r>
        <w:rPr>
          <w:rFonts w:ascii="Times New Roman" w:hAnsi="Times New Roman" w:eastAsia="Times New Roman"/>
          <w:b w:val="0"/>
          <w:sz w:val="24"/>
        </w:rPr>
        <w:tab/>
      </w:r>
      <w:r>
        <w:rPr>
          <w:rFonts w:ascii="Times New Roman" w:hAnsi="Times New Roman" w:eastAsia="Times New Roman"/>
          <w:b w:val="0"/>
          <w:sz w:val="24"/>
        </w:rPr>
        <w:t>5</w:t>
      </w:r>
    </w:p>
    <w:p>
      <w:pPr>
        <w:pStyle w:val="TOC1"/>
      </w:pPr>
      <w:r>
        <w:rPr>
          <w:rFonts w:ascii="Times New Roman" w:hAnsi="Times New Roman" w:eastAsia="Times New Roman"/>
          <w:b w:val="0"/>
          <w:sz w:val="24"/>
        </w:rPr>
        <w:t>Methodology / Approach</w:t>
      </w:r>
      <w:r>
        <w:rPr>
          <w:rFonts w:ascii="Times New Roman" w:hAnsi="Times New Roman" w:eastAsia="Times New Roman"/>
          <w:b w:val="0"/>
          <w:sz w:val="24"/>
        </w:rPr>
        <w:tab/>
      </w:r>
      <w:r>
        <w:rPr>
          <w:rFonts w:ascii="Times New Roman" w:hAnsi="Times New Roman" w:eastAsia="Times New Roman"/>
          <w:b w:val="0"/>
          <w:sz w:val="24"/>
        </w:rPr>
        <w:t>7</w:t>
      </w:r>
    </w:p>
    <w:p>
      <w:pPr>
        <w:pStyle w:val="TOC1"/>
      </w:pPr>
      <w:r>
        <w:rPr>
          <w:rFonts w:ascii="Times New Roman" w:hAnsi="Times New Roman" w:eastAsia="Times New Roman"/>
          <w:b w:val="0"/>
          <w:sz w:val="24"/>
        </w:rPr>
        <w:t>Findings / Analysis</w:t>
      </w:r>
      <w:r>
        <w:rPr>
          <w:rFonts w:ascii="Times New Roman" w:hAnsi="Times New Roman" w:eastAsia="Times New Roman"/>
          <w:b w:val="0"/>
          <w:sz w:val="24"/>
        </w:rPr>
        <w:tab/>
      </w:r>
      <w:r>
        <w:rPr>
          <w:rFonts w:ascii="Times New Roman" w:hAnsi="Times New Roman" w:eastAsia="Times New Roman"/>
          <w:b w:val="0"/>
          <w:sz w:val="24"/>
        </w:rPr>
        <w:t>7</w:t>
      </w:r>
    </w:p>
    <w:p>
      <w:pPr>
        <w:pStyle w:val="TOC1"/>
      </w:pPr>
      <w:r>
        <w:rPr>
          <w:rFonts w:ascii="Times New Roman" w:hAnsi="Times New Roman" w:eastAsia="Times New Roman"/>
          <w:b w:val="0"/>
          <w:sz w:val="24"/>
        </w:rPr>
        <w:t>Discussion</w:t>
      </w:r>
      <w:r>
        <w:rPr>
          <w:rFonts w:ascii="Times New Roman" w:hAnsi="Times New Roman" w:eastAsia="Times New Roman"/>
          <w:b w:val="0"/>
          <w:sz w:val="24"/>
        </w:rPr>
        <w:tab/>
      </w:r>
      <w:r>
        <w:rPr>
          <w:rFonts w:ascii="Times New Roman" w:hAnsi="Times New Roman" w:eastAsia="Times New Roman"/>
          <w:b w:val="0"/>
          <w:sz w:val="24"/>
        </w:rPr>
        <w:t>14</w:t>
      </w:r>
    </w:p>
    <w:p>
      <w:pPr>
        <w:pStyle w:val="TOC1"/>
      </w:pPr>
      <w:r>
        <w:rPr>
          <w:rFonts w:ascii="Times New Roman" w:hAnsi="Times New Roman" w:eastAsia="Times New Roman"/>
          <w:b w:val="0"/>
          <w:sz w:val="24"/>
        </w:rPr>
        <w:t>Conclusion and Recommendations</w:t>
      </w:r>
      <w:r>
        <w:rPr>
          <w:rFonts w:ascii="Times New Roman" w:hAnsi="Times New Roman" w:eastAsia="Times New Roman"/>
          <w:b w:val="0"/>
          <w:sz w:val="24"/>
        </w:rPr>
        <w:tab/>
      </w:r>
      <w:r>
        <w:rPr>
          <w:rFonts w:ascii="Times New Roman" w:hAnsi="Times New Roman" w:eastAsia="Times New Roman"/>
          <w:b w:val="0"/>
          <w:sz w:val="24"/>
        </w:rPr>
        <w:t>15</w:t>
      </w:r>
    </w:p>
    <w:p>
      <w:pPr>
        <w:pStyle w:val="TOC1"/>
      </w:pPr>
      <w:r>
        <w:rPr>
          <w:rFonts w:ascii="Times New Roman" w:hAnsi="Times New Roman" w:eastAsia="Times New Roman"/>
          <w:b w:val="0"/>
          <w:sz w:val="24"/>
        </w:rPr>
        <w:t>References</w:t>
      </w:r>
      <w:r>
        <w:rPr>
          <w:rFonts w:ascii="Times New Roman" w:hAnsi="Times New Roman" w:eastAsia="Times New Roman"/>
          <w:b w:val="0"/>
          <w:sz w:val="24"/>
        </w:rPr>
        <w:tab/>
      </w:r>
      <w:r>
        <w:rPr>
          <w:rFonts w:ascii="Times New Roman" w:hAnsi="Times New Roman" w:eastAsia="Times New Roman"/>
          <w:b w:val="0"/>
          <w:sz w:val="24"/>
        </w:rPr>
        <w:t>16</w:t>
      </w:r>
    </w:p>
    <w:p>
      <w:pPr>
        <w:pStyle w:val="TOC1"/>
      </w:pPr>
      <w:r>
        <w:rPr>
          <w:rFonts w:ascii="Times New Roman" w:hAnsi="Times New Roman" w:eastAsia="Times New Roman"/>
          <w:b w:val="0"/>
          <w:sz w:val="24"/>
        </w:rPr>
        <w:t>Appendix A: Managerial Implementation Checklist</w:t>
      </w:r>
      <w:r>
        <w:rPr>
          <w:rFonts w:ascii="Times New Roman" w:hAnsi="Times New Roman" w:eastAsia="Times New Roman"/>
          <w:b w:val="0"/>
          <w:sz w:val="24"/>
        </w:rPr>
        <w:tab/>
      </w:r>
      <w:r>
        <w:rPr>
          <w:rFonts w:ascii="Times New Roman" w:hAnsi="Times New Roman" w:eastAsia="Times New Roman"/>
          <w:b w:val="0"/>
          <w:sz w:val="24"/>
        </w:rPr>
        <w:t>17</w:t>
      </w:r>
      <w:r>
        <w:rPr>
          <w:rFonts w:ascii="Times New Roman" w:hAnsi="Times New Roman" w:eastAsia="Times New Roman"/>
          <w:b w:val="0"/>
          <w:sz w:val="24"/>
        </w:rPr>
        <w:fldChar w:fldCharType="end"/>
      </w:r>
    </w:p>
    <w:p>
      <w:pPr>
        <w:spacing w:after="0"/>
      </w:pPr>
    </w:p>
    <w:p>
      <w:r>
        <w:br w:type="page"/>
      </w:r>
    </w:p>
    <w:p>
      <w:pPr>
        <w:pStyle w:val="Heading1"/>
        <w:keepNext/>
      </w:pPr>
      <w:r>
        <w:rPr>
          <w:rFonts w:ascii="Times New Roman" w:hAnsi="Times New Roman"/>
          <w:b/>
          <w:color w:val="203864"/>
          <w:sz w:val="28"/>
        </w:rPr>
        <w:t>Abstract</w:t>
      </w:r>
    </w:p>
    <w:p>
      <w:pPr>
        <w:keepLines w:val="0"/>
        <w:spacing w:line="480" w:lineRule="auto" w:after="0"/>
        <w:ind w:firstLine="432"/>
      </w:pPr>
      <w:r>
        <w:rPr>
          <w:rFonts w:ascii="Times New Roman" w:hAnsi="Times New Roman"/>
          <w:sz w:val="24"/>
        </w:rPr>
        <w:t>Artificial intelligence does not make the classical functions of management obsolete; it changes the information, speed and authority through which they are performed. This report examines planning, organising, leading and controlling as an integrated managerial system and evaluates how AI alters each function. The central argument is that AI creates most value when it is treated as an augmenting capability rather than an autonomous substitute for managerial responsibility. Planning can become more adaptive through prediction and scenario generation; organising can become more data-responsive through dynamic resource allocation; leading can be strengthened by better information but weakened when trust, judgement and communication are delegated to opaque systems; and controlling can move from periodic review toward continuous monitoring while simultaneously creating risks of surveillance and metric fixation. Drawing on management theory and research on human-AI collaboration, the report develops a governance-oriented model based on decision rights, contestability, human review and capability development. The analysis concludes that the durable contribution of classical management is not a fixed set of routines but a responsibility architecture: managers remain accountable for objectives, structure, meaning and corrective action even when algorithms perform significant analytical work.</w:t>
      </w:r>
    </w:p>
    <w:p>
      <w:pPr>
        <w:pStyle w:val="Heading1"/>
        <w:keepNext/>
      </w:pPr>
      <w:r>
        <w:rPr>
          <w:rFonts w:ascii="Times New Roman" w:hAnsi="Times New Roman"/>
          <w:b/>
          <w:color w:val="203864"/>
          <w:sz w:val="28"/>
        </w:rPr>
        <w:t>Introduction</w:t>
      </w:r>
    </w:p>
    <w:p>
      <w:pPr>
        <w:keepLines w:val="0"/>
        <w:spacing w:line="480" w:lineRule="auto" w:after="0"/>
        <w:ind w:firstLine="432"/>
      </w:pPr>
      <w:r>
        <w:rPr>
          <w:rFonts w:ascii="Times New Roman" w:hAnsi="Times New Roman"/>
          <w:sz w:val="24"/>
        </w:rPr>
        <w:t>Business administration has always involved converting limited information into coordinated action. Classical management theory gave this challenge a durable structure through planning, organising, leading and controlling. Those functions remain visible in modern organisations even though the technologies that support them have changed dramatically. Artificial intelligence now forecasts demand, ranks alternatives, generates plans, allocates work, drafts communications and detects deviations in real time. The practical question is therefore not whether management functions disappear, but how managerial responsibility should be exercised when increasingly capable systems participate in them. Fayol's early administrative framework is useful precisely because it separates purposes of management from the tools used to achieve them (Fayol, 1949). AI changes the toolset; it does not remove the need to define objectives, coordinate resources, motivate people or correct performance.</w:t>
      </w:r>
    </w:p>
    <w:p>
      <w:pPr>
        <w:keepLines w:val="0"/>
        <w:spacing w:line="480" w:lineRule="auto" w:after="0"/>
        <w:ind w:firstLine="432"/>
      </w:pPr>
      <w:r>
        <w:rPr>
          <w:rFonts w:ascii="Times New Roman" w:hAnsi="Times New Roman"/>
          <w:sz w:val="24"/>
        </w:rPr>
        <w:t>The report argues that AI should be understood as an organisational capability embedded within managerial systems rather than as a stand-alone technology. Research on AI capability shows that performance effects depend on complementary data, skills, coordination routines and organisational resources, not merely on purchasing a model or platform (Mikalef &amp; Gupta, 2021). At the same time, AI has distinctive features: it can learn from data, scale decisions and produce outputs whose internal reasoning may be difficult to inspect. These features increase analytical capacity while also complicating accountability. The result is an automation-augmentation paradox in which attempts to automate managerial work often create new demands for human interpretation, exception handling and governance (Raisch &amp; Krakowski, 2021).</w:t>
      </w:r>
    </w:p>
    <w:p>
      <w:pPr>
        <w:keepLines w:val="0"/>
        <w:spacing w:line="480" w:lineRule="auto" w:after="0"/>
        <w:ind w:firstLine="432"/>
      </w:pPr>
      <w:r>
        <w:rPr>
          <w:rFonts w:ascii="Times New Roman" w:hAnsi="Times New Roman"/>
          <w:sz w:val="24"/>
        </w:rPr>
        <w:t>This report addresses three questions. First, what remains fundamental about the four classical management functions? Second, how does AI reshape the mechanisms through which those functions are performed? Third, what principles help managers use AI without allowing speed and apparent precision to crowd out judgement, trust and responsibility? The discussion combines foundational management ideas with contemporary research on AI in organisations. It treats AI as a broad family of predictive, optimisation, machine-learning and generative systems. The objective is not to advocate maximum automation. It is to identify where machine capabilities are strong, where human oversight is indispensable, and how the two can be combined into a coherent management architecture.</w:t>
      </w:r>
    </w:p>
    <w:p>
      <w:pPr>
        <w:pStyle w:val="Heading1"/>
        <w:keepNext/>
      </w:pPr>
      <w:r>
        <w:rPr>
          <w:rFonts w:ascii="Times New Roman" w:hAnsi="Times New Roman"/>
          <w:b/>
          <w:color w:val="203864"/>
          <w:sz w:val="28"/>
        </w:rPr>
        <w:t>Literature Review</w:t>
      </w:r>
    </w:p>
    <w:p>
      <w:pPr>
        <w:pStyle w:val="Heading2"/>
        <w:keepNext/>
      </w:pPr>
      <w:r>
        <w:rPr>
          <w:rFonts w:ascii="Times New Roman" w:hAnsi="Times New Roman"/>
          <w:b/>
          <w:color w:val="203864"/>
          <w:sz w:val="25"/>
        </w:rPr>
        <w:t>Classical management as a responsibility system</w:t>
      </w:r>
    </w:p>
    <w:p>
      <w:pPr>
        <w:keepLines w:val="0"/>
        <w:spacing w:line="480" w:lineRule="auto" w:after="0"/>
        <w:ind w:firstLine="432"/>
      </w:pPr>
      <w:r>
        <w:rPr>
          <w:rFonts w:ascii="Times New Roman" w:hAnsi="Times New Roman"/>
          <w:sz w:val="24"/>
        </w:rPr>
        <w:t>The continuing relevance of classical management lies in the problems it organises. Planning determines desired outcomes and courses of action; organising allocates authority and resources; leading mobilises attention and commitment; and controlling compares results with expectations and initiates correction. Fayol's framework is sometimes criticised for appearing linear and hierarchical, yet its functions can be interpreted dynamically. In practice, control informs new planning, leadership changes the feasibility of plans, and organising redistributes the resources through which corrective action occurs. This feedback interpretation makes the framework compatible with fast-moving environments because it emphasises managerial purposes rather than a rigid sequence (Fayol, 1949).</w:t>
      </w:r>
    </w:p>
    <w:p>
      <w:pPr>
        <w:keepLines w:val="0"/>
        <w:spacing w:line="480" w:lineRule="auto" w:after="0"/>
        <w:ind w:firstLine="432"/>
      </w:pPr>
      <w:r>
        <w:rPr>
          <w:rFonts w:ascii="Times New Roman" w:hAnsi="Times New Roman"/>
          <w:sz w:val="24"/>
        </w:rPr>
        <w:t>AI expands the information-processing capacity available inside each function. Keding's review of AI and strategic management shows that AI research increasingly touches strategic analysis, decision support, implementation and competitive adaptation (Keding, 2021). However, better processing does not automatically produce better management. Algorithms optimise objectives represented in data and code; managers must still decide which objectives are legitimate, how trade-offs are framed, and what consequences are acceptable. Faraj et al. (2018) emphasise that learning algorithms can be black-boxed, anticipatory and politically consequential, meaning that their outputs may reshape expertise and authority rather than merely accelerate existing routines.</w:t>
      </w:r>
    </w:p>
    <w:p>
      <w:pPr>
        <w:pStyle w:val="Heading2"/>
        <w:keepNext/>
      </w:pPr>
      <w:r>
        <w:rPr>
          <w:rFonts w:ascii="Times New Roman" w:hAnsi="Times New Roman"/>
          <w:b/>
          <w:color w:val="203864"/>
          <w:sz w:val="25"/>
        </w:rPr>
        <w:t>Augmentation, trust and organisational capability</w:t>
      </w:r>
    </w:p>
    <w:p>
      <w:pPr>
        <w:keepLines w:val="0"/>
        <w:spacing w:line="480" w:lineRule="auto" w:after="0"/>
        <w:ind w:firstLine="432"/>
      </w:pPr>
      <w:r>
        <w:rPr>
          <w:rFonts w:ascii="Times New Roman" w:hAnsi="Times New Roman"/>
          <w:sz w:val="24"/>
        </w:rPr>
        <w:t>A useful distinction is between substitution and augmentation. Jarrahi (2018) argues that AI is particularly strong at handling complexity through computational analysis, whereas humans remain valuable when decisions involve uncertainty, equivocality and contextual meaning. This complementarity suggests that management design should assign different components of a decision to the actor best suited to them. AI may search a large option space, while managers interrogate assumptions and make accountable trade-offs. Raisch and Krakowski (2021) caution, however, that automation and augmentation are interdependent: a system that automates routine judgement can also change what expertise people retain, which in turn affects their ability to supervise the system.</w:t>
      </w:r>
    </w:p>
    <w:p>
      <w:pPr>
        <w:keepLines w:val="0"/>
        <w:spacing w:line="480" w:lineRule="auto" w:after="0"/>
        <w:ind w:firstLine="432"/>
      </w:pPr>
      <w:r>
        <w:rPr>
          <w:rFonts w:ascii="Times New Roman" w:hAnsi="Times New Roman"/>
          <w:sz w:val="24"/>
        </w:rPr>
        <w:t>Trust is therefore a performance variable rather than a soft afterthought. Glikson and Woolley (2020) show that human trust in AI depends on how systems are represented, what capabilities they display and how users experience them. Too little trust causes disuse; too much trust can create complacency. Organisations need calibrated trust, where confidence is matched to demonstrated reliability and users retain the ability to challenge outputs. This requirement links directly to leadership and control. A manager who cannot explain when an AI recommendation should be questioned has not delegated responsibly, even if the model is statistically sophisticated.</w:t>
      </w:r>
    </w:p>
    <w:p>
      <w:pPr>
        <w:keepLines w:val="0"/>
        <w:spacing w:line="480" w:lineRule="auto" w:after="0"/>
        <w:ind w:firstLine="432"/>
      </w:pPr>
      <w:r>
        <w:rPr>
          <w:rFonts w:ascii="Times New Roman" w:hAnsi="Times New Roman"/>
          <w:sz w:val="24"/>
        </w:rPr>
        <w:t>Finally, the literature indicates that successful adoption is socio-technical. Davenport and Ronanki (2018) observe that practical AI applications often deliver value through focused process improvements rather than ambitious attempts to replace whole roles. Iansiti and Lakhani (2020) describe AI-driven operating models in which data, algorithms and software networks make processes more scalable and less dependent on traditional bottlenecks. The implication is that the four functions become more tightly coupled: AI-supported planning can trigger automated resource allocation, real-time control can update forecasts, and leaders must manage the human consequences of these faster loops.</w:t>
      </w:r>
    </w:p>
    <w:p>
      <w:pPr>
        <w:pStyle w:val="Heading1"/>
        <w:keepNext/>
      </w:pPr>
      <w:r>
        <w:rPr>
          <w:rFonts w:ascii="Times New Roman" w:hAnsi="Times New Roman"/>
          <w:b/>
          <w:color w:val="203864"/>
          <w:sz w:val="28"/>
        </w:rPr>
        <w:t>Methodology / Approach</w:t>
      </w:r>
    </w:p>
    <w:p>
      <w:pPr>
        <w:keepLines w:val="0"/>
        <w:spacing w:line="480" w:lineRule="auto" w:after="0"/>
        <w:ind w:firstLine="432"/>
      </w:pPr>
      <w:r>
        <w:rPr>
          <w:rFonts w:ascii="Times New Roman" w:hAnsi="Times New Roman"/>
          <w:sz w:val="24"/>
        </w:rPr>
        <w:t>The report uses a critical integrative review rather than an empirical case study. Foundational management literature is used to define the purpose of the four management functions, while peer-reviewed research and established management scholarship are used to analyse AI-enabled changes. Sources were selected for three reasons: conceptual relevance to managerial work, evidence concerning human-AI interaction or organisational capability, and usefulness for evaluating governance risks. The analysis applies a common set of questions to each function: What decision is being improved? What can AI contribute? What remains a human responsibility? What failure mode becomes more likely? This method supports comparison across the four functions without assuming that one technological solution is appropriate for every context.</w:t>
      </w:r>
    </w:p>
    <w:p>
      <w:pPr>
        <w:keepLines w:val="0"/>
        <w:spacing w:line="480" w:lineRule="auto" w:after="0"/>
        <w:ind w:firstLine="432"/>
      </w:pPr>
      <w:r>
        <w:rPr>
          <w:rFonts w:ascii="Times New Roman" w:hAnsi="Times New Roman"/>
          <w:sz w:val="24"/>
        </w:rPr>
        <w:t>Organisational examples are used illustratively rather than as proof of universal effects. The analysis therefore avoids the common error of presenting a successful pilot as evidence that all firms should automate the same process. The more defensible approach is contingency-based: the appropriate degree of AI involvement depends on data quality, task repeatability, consequence severity, explainability needs and the availability of capable human reviewers. Ethical concerns are integrated into the analysis rather than isolated in a final section because fairness, privacy and accountability affect the design of planning, organising, leading and controlling themselves.</w:t>
      </w:r>
    </w:p>
    <w:p>
      <w:pPr>
        <w:pStyle w:val="Heading1"/>
        <w:keepNext/>
      </w:pPr>
      <w:r>
        <w:rPr>
          <w:rFonts w:ascii="Times New Roman" w:hAnsi="Times New Roman"/>
          <w:b/>
          <w:color w:val="203864"/>
          <w:sz w:val="28"/>
        </w:rPr>
        <w:t>Findings / Analysis</w:t>
      </w:r>
    </w:p>
    <w:p>
      <w:pPr>
        <w:pStyle w:val="Heading2"/>
        <w:keepNext/>
      </w:pPr>
      <w:r>
        <w:rPr>
          <w:rFonts w:ascii="Times New Roman" w:hAnsi="Times New Roman"/>
          <w:b/>
          <w:color w:val="203864"/>
          <w:sz w:val="25"/>
        </w:rPr>
        <w:t>Planning: from periodic forecasts to adaptive sensemaking</w:t>
      </w:r>
    </w:p>
    <w:p>
      <w:pPr>
        <w:keepLines w:val="0"/>
        <w:spacing w:line="480" w:lineRule="auto" w:after="0"/>
        <w:ind w:firstLine="432"/>
      </w:pPr>
      <w:r>
        <w:rPr>
          <w:rFonts w:ascii="Times New Roman" w:hAnsi="Times New Roman"/>
          <w:sz w:val="24"/>
        </w:rPr>
        <w:t>Planning is the function most visibly affected by predictive and generative AI. Traditional planning relies on managers to interpret historical performance, environmental signals and resource constraints. AI can widen the information set, discover patterns across high-dimensional data and generate multiple scenarios quickly. This can improve forecast granularity and shorten planning cycles. Keding (2021) notes that AI has become increasingly relevant to strategic tasks, while Mikalef and Gupta (2021) show that AI capability is associated with organisational creativity and performance when supported by complementary resources. In practical terms, managers can use AI to estimate demand, stress-test assumptions, identify weak signals and produce alternative resource plans.</w:t>
      </w:r>
    </w:p>
    <w:p>
      <w:pPr>
        <w:keepLines w:val="0"/>
        <w:spacing w:line="480" w:lineRule="auto" w:after="0"/>
        <w:ind w:firstLine="432"/>
      </w:pPr>
      <w:r>
        <w:rPr>
          <w:rFonts w:ascii="Times New Roman" w:hAnsi="Times New Roman"/>
          <w:sz w:val="24"/>
        </w:rPr>
        <w:t>The danger is confusing prediction with strategy. A model can estimate what is likely under assumptions embedded in its training data, but it cannot determine what the organisation ought to pursue. Strategic planning often involves discontinuities, political constraints, reputational considerations and novel choices that historical patterns do not contain. Managers should therefore treat AI-generated plans as propositions to interrogate. A useful discipline is to require every important AI-supported plan to state its objective function, key assumptions, uncertainty range, excluded variables and triggers for human reconsideration. This preserves the speed advantage of machine analysis while keeping normative choices visible.</w:t>
      </w:r>
    </w:p>
    <w:p>
      <w:pPr>
        <w:keepLines w:val="0"/>
        <w:spacing w:line="480" w:lineRule="auto" w:after="0"/>
        <w:ind w:firstLine="432"/>
      </w:pPr>
      <w:r>
        <w:rPr>
          <w:rFonts w:ascii="Times New Roman" w:hAnsi="Times New Roman"/>
          <w:sz w:val="24"/>
        </w:rPr>
        <w:t>Generative systems add another layer. They can draft strategic options, competitor responses and implementation plans, making ideation cheaper. Yet fluent output can create an illusion of completeness. Haenlein and Kaplan (2019) stress that AI systems learn from data and adapt toward specific goals; they do not possess organisational purpose independently of those goals. Managers should therefore separate ideation from approval. AI may expand the option set, but decision ownership should remain explicit and senior managers should document why one option was selected over plausible alternatives.</w:t>
      </w:r>
    </w:p>
    <w:p>
      <w:pPr>
        <w:pStyle w:val="Heading2"/>
        <w:keepNext/>
      </w:pPr>
      <w:r>
        <w:rPr>
          <w:rFonts w:ascii="Times New Roman" w:hAnsi="Times New Roman"/>
          <w:b/>
          <w:color w:val="203864"/>
          <w:sz w:val="25"/>
        </w:rPr>
        <w:t>Organising: dynamic allocation with explicit decision rights</w:t>
      </w:r>
    </w:p>
    <w:p>
      <w:pPr>
        <w:keepLines w:val="0"/>
        <w:spacing w:line="480" w:lineRule="auto" w:after="0"/>
        <w:ind w:firstLine="432"/>
      </w:pPr>
      <w:r>
        <w:rPr>
          <w:rFonts w:ascii="Times New Roman" w:hAnsi="Times New Roman"/>
          <w:sz w:val="24"/>
        </w:rPr>
        <w:t>Organising translates plans into roles, workflows and resource commitments. AI enables this function to become more dynamic. Scheduling systems can match skills to tasks, optimisation tools can allocate inventory or capacity, and workflow engines can reroute cases based on predicted urgency. The benefit is responsiveness: resources can be rebalanced faster than periodic managerial reviews allow. Iansiti and Lakhani (2020) argue that AI-centred operating models can reduce traditional constraints on scale because decision processes become embedded in software and data flows.</w:t>
      </w:r>
    </w:p>
    <w:p>
      <w:pPr>
        <w:keepLines w:val="0"/>
        <w:spacing w:line="480" w:lineRule="auto" w:after="0"/>
        <w:ind w:firstLine="432"/>
      </w:pPr>
      <w:r>
        <w:rPr>
          <w:rFonts w:ascii="Times New Roman" w:hAnsi="Times New Roman"/>
          <w:sz w:val="24"/>
        </w:rPr>
        <w:t>However, dynamic allocation can quietly become dynamic authority. If a system determines who receives work, which customer receives priority or which employee is flagged for intervention, it is already exercising organisational power. Faraj et al. (2018) highlight how algorithms can reshape occupational boundaries and control. Managers should therefore map decision rights before implementation. A strong design distinguishes recommendations, automatic low-risk actions and decisions requiring approval. It also identifies an accountable owner for the data, model, process and affected stakeholder group. This prevents responsibility from dissolving across technical and business teams.</w:t>
      </w:r>
    </w:p>
    <w:p>
      <w:pPr>
        <w:keepLines w:val="0"/>
        <w:spacing w:line="480" w:lineRule="auto" w:after="0"/>
        <w:ind w:firstLine="432"/>
      </w:pPr>
      <w:r>
        <w:rPr>
          <w:rFonts w:ascii="Times New Roman" w:hAnsi="Times New Roman"/>
          <w:sz w:val="24"/>
        </w:rPr>
        <w:t>Organising also requires capability design. When AI automates routine coordination, employees may lose opportunities to develop judgement through experience. Raisch and Krakowski's (2021) automation-augmentation paradox is important here: removing too much human participation can reduce the expertise needed for future oversight. A resilient organisation deliberately preserves learning loops. Rotations, exception reviews and simulation exercises can expose managers to difficult cases even when routine decisions are automated.</w:t>
      </w:r>
    </w:p>
    <w:p>
      <w:pPr>
        <w:pStyle w:val="Heading2"/>
        <w:keepNext/>
      </w:pPr>
      <w:r>
        <w:rPr>
          <w:rFonts w:ascii="Times New Roman" w:hAnsi="Times New Roman"/>
          <w:b/>
          <w:color w:val="203864"/>
          <w:sz w:val="25"/>
        </w:rPr>
        <w:t>Leading: information-rich leadership without algorithmic distance</w:t>
      </w:r>
    </w:p>
    <w:p>
      <w:pPr>
        <w:keepLines w:val="0"/>
        <w:spacing w:line="480" w:lineRule="auto" w:after="0"/>
        <w:ind w:firstLine="432"/>
      </w:pPr>
      <w:r>
        <w:rPr>
          <w:rFonts w:ascii="Times New Roman" w:hAnsi="Times New Roman"/>
          <w:sz w:val="24"/>
        </w:rPr>
        <w:t>Leadership concerns direction, meaning, communication and motivation. AI can support leaders by summarising large information streams, identifying employee concerns, preparing communication drafts and personalising learning resources. These tools can reduce administrative load and help managers respond faster. They can also improve consistency when leaders must communicate complex policies across dispersed teams. Yet leadership cannot be reduced to message production. Trust depends on whether employees believe decisions are legitimate, whether managers understand local realities and whether people can question outcomes.</w:t>
      </w:r>
    </w:p>
    <w:p>
      <w:pPr>
        <w:keepLines w:val="0"/>
        <w:spacing w:line="480" w:lineRule="auto" w:after="0"/>
        <w:ind w:firstLine="432"/>
      </w:pPr>
      <w:r>
        <w:rPr>
          <w:rFonts w:ascii="Times New Roman" w:hAnsi="Times New Roman"/>
          <w:sz w:val="24"/>
        </w:rPr>
        <w:t>Glikson and Woolley (2020) show that trust in AI is shaped by both cognitive and emotional factors. This matters because leaders often introduce AI into situations involving uncertainty about roles, status or future employment. A technically accurate system can still damage trust if employees experience it as surveillance or as an unchallengeable authority. Leaders should therefore explain the purpose and limits of systems, distinguish decision support from decision replacement, and create visible routes for appeal. They should also avoid presenting AI recommendations as neutral facts. Algorithms encode choices about targets, data and acceptable error.</w:t>
      </w:r>
    </w:p>
    <w:p>
      <w:pPr>
        <w:keepLines w:val="0"/>
        <w:spacing w:line="480" w:lineRule="auto" w:after="0"/>
        <w:ind w:firstLine="432"/>
      </w:pPr>
      <w:r>
        <w:rPr>
          <w:rFonts w:ascii="Times New Roman" w:hAnsi="Times New Roman"/>
          <w:sz w:val="24"/>
        </w:rPr>
        <w:t>Leadership quality is especially important during capability transition. Jarrahi (2018) frames human-AI collaboration as a form of symbiosis in which different strengths are combined. Leaders need to model this behaviour by openly interrogating AI output rather than either rejecting it reflexively or deferring to it automatically. Teams learn appropriate reliance when leaders ask: What evidence supports this recommendation? Where might it fail? What do we know from context that the model does not? Such routines turn critical judgement into a shared organisational norm.</w:t>
      </w:r>
    </w:p>
    <w:p>
      <w:pPr>
        <w:pStyle w:val="Heading2"/>
        <w:keepNext/>
      </w:pPr>
      <w:r>
        <w:rPr>
          <w:rFonts w:ascii="Times New Roman" w:hAnsi="Times New Roman"/>
          <w:b/>
          <w:color w:val="203864"/>
          <w:sz w:val="25"/>
        </w:rPr>
        <w:t>Controlling: continuous visibility with safeguards against metric fixation</w:t>
      </w:r>
    </w:p>
    <w:p>
      <w:pPr>
        <w:keepLines w:val="0"/>
        <w:spacing w:line="480" w:lineRule="auto" w:after="0"/>
        <w:ind w:firstLine="432"/>
      </w:pPr>
      <w:r>
        <w:rPr>
          <w:rFonts w:ascii="Times New Roman" w:hAnsi="Times New Roman"/>
          <w:sz w:val="24"/>
        </w:rPr>
        <w:t>AI can transform controlling from periodic comparison into continuous sensing. Anomaly detection can flag deviations, predictive maintenance can anticipate failure, and dashboards can update performance signals in near real time. This supports earlier intervention and can reduce the cost of control. Davenport and Ronanki (2018) note that many successful AI initiatives focus on process automation and insight, both of which fit naturally within managerial control systems.</w:t>
      </w:r>
    </w:p>
    <w:p>
      <w:pPr>
        <w:keepLines w:val="0"/>
        <w:spacing w:line="480" w:lineRule="auto" w:after="0"/>
        <w:ind w:firstLine="432"/>
      </w:pPr>
      <w:r>
        <w:rPr>
          <w:rFonts w:ascii="Times New Roman" w:hAnsi="Times New Roman"/>
          <w:sz w:val="24"/>
        </w:rPr>
        <w:t>The risk is that what is measurable becomes what is managed. Continuous monitoring can encourage employees to optimise visible indicators while neglecting unmeasured quality, cooperation or long-term capability. Learning systems can also change over time, so a control model that was initially reliable may drift as data or behaviour changes. AI-enabled control therefore requires control of the AI itself. Managers need thresholds for model performance, bias testing, audit logs, incident review and clear rules for suspending automated actions. Mikalef and Gupta (2021) imply that AI capability includes managerial and organisational resources; governance mechanisms should be treated as part of that capability, not as an external compliance burden.</w:t>
      </w:r>
    </w:p>
    <w:p>
      <w:pPr>
        <w:keepLines w:val="0"/>
        <w:spacing w:line="480" w:lineRule="auto" w:after="0"/>
        <w:ind w:firstLine="432"/>
      </w:pPr>
      <w:r>
        <w:rPr>
          <w:rFonts w:ascii="Times New Roman" w:hAnsi="Times New Roman"/>
          <w:sz w:val="24"/>
        </w:rPr>
        <w:t>A balanced control system combines machine detection with human interpretation. Algorithms are well suited to scanning large data streams for anomalies, while managers are better positioned to decide whether an anomaly is meaningful, ethically sensitive or caused by a changed context. This division of labour also supports learning: control becomes a process of understanding variation rather than merely punishing it.</w:t>
      </w:r>
    </w:p>
    <w:p>
      <w:pPr>
        <w:pStyle w:val="Heading2"/>
        <w:keepNext/>
      </w:pPr>
      <w:r>
        <w:rPr>
          <w:rFonts w:ascii="Times New Roman" w:hAnsi="Times New Roman"/>
          <w:b/>
          <w:color w:val="203864"/>
          <w:sz w:val="25"/>
        </w:rPr>
        <w:t>Cross-functional risks and opportunities</w:t>
      </w:r>
    </w:p>
    <w:p>
      <w:pPr>
        <w:keepLines w:val="0"/>
        <w:spacing w:line="480" w:lineRule="auto" w:after="0"/>
        <w:ind w:firstLine="432"/>
      </w:pPr>
      <w:r>
        <w:rPr>
          <w:rFonts w:ascii="Times New Roman" w:hAnsi="Times New Roman"/>
          <w:sz w:val="24"/>
        </w:rPr>
        <w:t>Across the four functions, three opportunities recur: speed, scale and pattern recognition. AI can compress information-processing time, apply rules consistently across large operations and detect relationships that are difficult for individuals to see. These advantages are especially valuable in stable or moderately changing domains with rich data and repeated decisions. The strongest opportunity is therefore not universal automation but selective acceleration of information-intensive tasks.</w:t>
      </w:r>
    </w:p>
    <w:p>
      <w:pPr>
        <w:keepLines w:val="0"/>
        <w:spacing w:line="480" w:lineRule="auto" w:after="0"/>
        <w:ind w:firstLine="432"/>
      </w:pPr>
      <w:r>
        <w:rPr>
          <w:rFonts w:ascii="Times New Roman" w:hAnsi="Times New Roman"/>
          <w:sz w:val="24"/>
        </w:rPr>
        <w:t>Four recurring risks also appear. First, over-reliance can weaken human judgement and create automation bias. Second, opaque models can create accountability gaps when no actor feels able to explain or override a decision. Third, data can reproduce historical inequities or omit important context. Fourth, intensive monitoring can change behaviour and trust in ways that reduce the quality of work. Faraj et al. (2018) and Glikson and Woolley (2020) together show why technical performance and social acceptance cannot be separated. A system can be accurate and still be organisationally damaging if it undermines expertise, voice or legitimacy.</w:t>
      </w:r>
    </w:p>
    <w:p>
      <w:pPr>
        <w:keepLines w:val="0"/>
        <w:spacing w:line="480" w:lineRule="auto" w:after="0"/>
        <w:ind w:firstLine="432"/>
      </w:pPr>
      <w:r>
        <w:rPr>
          <w:rFonts w:ascii="Times New Roman" w:hAnsi="Times New Roman"/>
          <w:sz w:val="24"/>
        </w:rPr>
        <w:t>The key managerial finding is that human oversight must be designed, not assumed. Simply placing a manager 'in the loop' is insufficient if the manager lacks time, information or authority to challenge the system. Effective oversight requires clear decision rights, understandable evidence, trained reviewers, escalation thresholds and records of overrides. These arrangements reconnect AI-enabled work to the classical functions: someone must still plan objectives, organise responsibilities, lead people through uncertainty and control both operational results and the technology producing them.</w:t>
      </w:r>
    </w:p>
    <w:p>
      <w:pPr>
        <w:pStyle w:val="Heading2"/>
        <w:keepNext/>
      </w:pPr>
      <w:r>
        <w:rPr>
          <w:rFonts w:ascii="Times New Roman" w:hAnsi="Times New Roman"/>
          <w:b/>
          <w:color w:val="203864"/>
          <w:sz w:val="25"/>
        </w:rPr>
        <w:t>Governance implications for managerial practice</w:t>
      </w:r>
    </w:p>
    <w:p>
      <w:pPr>
        <w:keepLines w:val="0"/>
        <w:spacing w:line="480" w:lineRule="auto" w:after="0"/>
        <w:ind w:firstLine="432"/>
      </w:pPr>
      <w:r>
        <w:rPr>
          <w:rFonts w:ascii="Times New Roman" w:hAnsi="Times New Roman"/>
          <w:sz w:val="24"/>
        </w:rPr>
        <w:t>A governance-oriented reading of the four functions highlights an important distinction between having a human involved and having effective human oversight. A manager who receives hundreds of alerts, approves model outputs in seconds, or lacks access to the assumptions behind a recommendation is formally in the loop but practically unable to supervise it. Glikson and Woolley (2020) suggest that trust in AI can become either too low or too high; both extremes reduce performance. Effective oversight therefore requires usable evidence, enough review time and clear authority to override the system. These conditions should be designed into workflow capacity rather than added as a policy statement after deployment.</w:t>
      </w:r>
    </w:p>
    <w:p>
      <w:pPr>
        <w:keepLines w:val="0"/>
        <w:spacing w:line="480" w:lineRule="auto" w:after="0"/>
        <w:ind w:firstLine="432"/>
      </w:pPr>
      <w:r>
        <w:rPr>
          <w:rFonts w:ascii="Times New Roman" w:hAnsi="Times New Roman"/>
          <w:sz w:val="24"/>
        </w:rPr>
        <w:t>The same principle applies to accountability. AI systems often cross functional boundaries: a marketing model may affect pricing, inventory, customer treatment and revenue forecasts. If accountability is divided only by technical ownership, managers may struggle to identify who is responsible for the business consequence. Mikalef and Gupta (2021) show that AI capability is organisational, combining technology with skills and resources. This means accountability should follow the decision process. A business owner should remain answerable for the objective and consequences, while technical owners are responsible for model quality, monitoring and documented limitations.</w:t>
      </w:r>
    </w:p>
    <w:p>
      <w:pPr>
        <w:keepLines w:val="0"/>
        <w:spacing w:line="480" w:lineRule="auto" w:after="0"/>
        <w:ind w:firstLine="432"/>
      </w:pPr>
      <w:r>
        <w:rPr>
          <w:rFonts w:ascii="Times New Roman" w:hAnsi="Times New Roman"/>
          <w:sz w:val="24"/>
        </w:rPr>
        <w:t>There is also a capability-development risk. The automation-augmentation paradox described by Raisch and Krakowski (2021) implies that extensive automation can weaken the very expertise required for oversight. If junior managers never practise forecasting, investigate anomalies or work through difficult staffing decisions because the system handles routine cases, the organisation may create a future shortage of experienced reviewers. Management development should therefore include periodic manual exercises, case reviews and structured analysis of overrides. These practices preserve judgement while still allowing automation to handle repetitive work.</w:t>
      </w:r>
    </w:p>
    <w:p>
      <w:pPr>
        <w:keepLines w:val="0"/>
        <w:spacing w:line="480" w:lineRule="auto" w:after="0"/>
        <w:ind w:firstLine="432"/>
      </w:pPr>
      <w:r>
        <w:rPr>
          <w:rFonts w:ascii="Times New Roman" w:hAnsi="Times New Roman"/>
          <w:sz w:val="24"/>
        </w:rPr>
        <w:t>Finally, ethical responsibility should be treated as part of performance rather than a separate compliance topic. A system that improves efficiency while generating unfair treatment, intrusive monitoring or unchallengeable decisions can damage trust and create strategic risk. Jarrahi (2018) argues for human-AI symbiosis because humans and machines contribute different strengths. In managerial terms, the machine can provide scale and pattern recognition, while humans must evaluate legitimacy, context and consequences. The practical measure of successful AI management is therefore not the proportion of work automated, but whether the organisation improves decisions without weakening responsibility, learning or stakeholder trust.</w:t>
      </w:r>
    </w:p>
    <w:p>
      <w:pPr>
        <w:keepNext/>
        <w:spacing w:before="120" w:after="100"/>
      </w:pPr>
      <w:r>
        <w:rPr>
          <w:rFonts w:ascii="Times New Roman" w:hAnsi="Times New Roman"/>
          <w:b/>
          <w:i/>
          <w:color w:val="203864"/>
          <w:sz w:val="21"/>
        </w:rPr>
        <w:t>Table 1. Management-function design for responsible AI integration</w:t>
      </w:r>
    </w:p>
    <w:tbl>
      <w:tblPr>
        <w:tblW w:type="auto" w:w="0"/>
        <w:jc w:val="center"/>
        <w:tblLayout w:type="fixed"/>
        <w:tblLook w:firstColumn="1" w:firstRow="1" w:lastColumn="0" w:lastRow="0" w:noHBand="0" w:noVBand="1" w:val="04A0"/>
      </w:tblPr>
      <w:tblGrid>
        <w:gridCol w:w="1800"/>
        <w:gridCol w:w="3528"/>
        <w:gridCol w:w="4032"/>
      </w:tblGrid>
      <w:tr>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Function</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AI contribution</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Required human safeguard</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Planning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Forecasting, scenario generation, pattern detection</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Managers define objectives, challenge assumptions and approve strategic trade-offs</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Organising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Scheduling, resource matching, workflow routing</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Explicit decision rights, ownership and preserved learning opportunities</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Leading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Information synthesis, drafting, personalised support</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Transparent communication, employee voice and calibrated trust</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Controlling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Continuous monitoring, anomaly detection, prediction</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Model monitoring, contextual review, audit trails and appeal routes</w:t>
            </w:r>
          </w:p>
        </w:tc>
      </w:tr>
    </w:tbl>
    <w:p>
      <w:pPr>
        <w:spacing w:after="0"/>
      </w:pPr>
    </w:p>
    <w:p>
      <w:pPr>
        <w:pStyle w:val="Heading1"/>
        <w:keepNext/>
      </w:pPr>
      <w:r>
        <w:rPr>
          <w:rFonts w:ascii="Times New Roman" w:hAnsi="Times New Roman"/>
          <w:b/>
          <w:color w:val="203864"/>
          <w:sz w:val="28"/>
        </w:rPr>
        <w:t>Discussion</w:t>
      </w:r>
    </w:p>
    <w:p>
      <w:pPr>
        <w:keepLines w:val="0"/>
        <w:spacing w:line="480" w:lineRule="auto" w:after="0"/>
        <w:ind w:firstLine="432"/>
      </w:pPr>
      <w:r>
        <w:rPr>
          <w:rFonts w:ascii="Times New Roman" w:hAnsi="Times New Roman"/>
          <w:sz w:val="24"/>
        </w:rPr>
        <w:t>The analysis suggests that AI intensifies the interdependence of the four management functions. In a conventional organisation, a plan might be developed quarterly, translated into budgets, communicated through hierarchy and reviewed through monthly control. In an AI-enabled organisation, predictive signals can trigger near-continuous replanning and automated resource adjustments. This creates a faster management loop, but speed can outpace reflection. Classical functions therefore become more important as governance categories because they force managers to ask who sets direction, who has authority, who creates commitment and who corrects deviations.</w:t>
      </w:r>
    </w:p>
    <w:p>
      <w:pPr>
        <w:keepLines w:val="0"/>
        <w:spacing w:line="480" w:lineRule="auto" w:after="0"/>
        <w:ind w:firstLine="432"/>
      </w:pPr>
      <w:r>
        <w:rPr>
          <w:rFonts w:ascii="Times New Roman" w:hAnsi="Times New Roman"/>
          <w:sz w:val="24"/>
        </w:rPr>
        <w:t>A second implication concerns managerial identity. If AI performs more analysis, summarisation and routine coordination, managers create value less by being the sole source of answers and more by framing questions, integrating perspectives, handling exceptions and maintaining accountability. Jarrahi (2018) supports this complementary view, while Raisch and Krakowski (2021) show that the relationship remains paradoxical because augmentation can lead to new forms of dependence. Management development should consequently include statistical and AI literacy together with ethical reasoning, communication and systems thinking.</w:t>
      </w:r>
    </w:p>
    <w:p>
      <w:pPr>
        <w:keepLines w:val="0"/>
        <w:spacing w:line="480" w:lineRule="auto" w:after="0"/>
        <w:ind w:firstLine="432"/>
      </w:pPr>
      <w:r>
        <w:rPr>
          <w:rFonts w:ascii="Times New Roman" w:hAnsi="Times New Roman"/>
          <w:sz w:val="24"/>
        </w:rPr>
        <w:t>A third implication is that governance should be proportional to consequence. Low-risk, reversible decisions can tolerate more automation. High-impact decisions affecting employment, safety, customer rights or major capital commitments require stronger evidence, transparency and human authority. This principle avoids two extremes: banning useful automation because some applications are risky, or allowing high-stakes decisions to be automated merely because the technology can produce an answer. The practical objective is fit between task, technology and accountability.</w:t>
      </w:r>
    </w:p>
    <w:p>
      <w:pPr>
        <w:pStyle w:val="Heading1"/>
        <w:keepNext/>
      </w:pPr>
      <w:r>
        <w:rPr>
          <w:rFonts w:ascii="Times New Roman" w:hAnsi="Times New Roman"/>
          <w:b/>
          <w:color w:val="203864"/>
          <w:sz w:val="28"/>
        </w:rPr>
        <w:t>Conclusion and Recommendations</w:t>
      </w:r>
    </w:p>
    <w:p>
      <w:pPr>
        <w:keepLines w:val="0"/>
        <w:spacing w:line="480" w:lineRule="auto" w:after="0"/>
        <w:ind w:firstLine="432"/>
      </w:pPr>
      <w:r>
        <w:rPr>
          <w:rFonts w:ascii="Times New Roman" w:hAnsi="Times New Roman"/>
          <w:sz w:val="24"/>
        </w:rPr>
        <w:t>Artificial intelligence is reshaping the mechanisms of management without eliminating its fundamental purposes. Planning becomes more predictive and adaptive; organising becomes more dynamic; leading becomes more information-rich but also more dependent on trust; and controlling becomes continuous. The value created by these changes depends on whether organisations preserve explicit human responsibility. The central risk is not simply that an algorithm makes an error. It is that decision authority becomes ambiguous, employees lose the ability to contest outputs, and managers cease to understand the work they are expected to govern.</w:t>
      </w:r>
    </w:p>
    <w:p>
      <w:pPr>
        <w:keepLines w:val="0"/>
        <w:spacing w:line="480" w:lineRule="auto" w:after="0"/>
        <w:ind w:firstLine="432"/>
      </w:pPr>
      <w:r>
        <w:rPr>
          <w:rFonts w:ascii="Times New Roman" w:hAnsi="Times New Roman"/>
          <w:sz w:val="24"/>
        </w:rPr>
        <w:t>Managers should adopt six practical principles. First, define the decision before selecting the AI tool: clarify the objective, affected stakeholders and acceptable error. Second, assign explicit decision rights so staff know which outputs are advisory, which actions are automated and who can override them. Third, require evidence and uncertainty to accompany important AI recommendations rather than accepting a single confident answer. Fourth, maintain human capability through exception reviews, simulations and deliberate exposure to difficult cases. Fifth, audit both model performance and behavioural consequences, including bias, gaming, trust and workload. Sixth, create contestability by giving employees and customers a meaningful route to question consequential automated outcomes.</w:t>
      </w:r>
    </w:p>
    <w:p>
      <w:pPr>
        <w:keepLines w:val="0"/>
        <w:spacing w:line="480" w:lineRule="auto" w:after="0"/>
        <w:ind w:firstLine="432"/>
      </w:pPr>
      <w:r>
        <w:rPr>
          <w:rFonts w:ascii="Times New Roman" w:hAnsi="Times New Roman"/>
          <w:sz w:val="24"/>
        </w:rPr>
        <w:t>These recommendations preserve the strengths of classical administration while adapting its mechanisms to an AI-enabled environment. The most effective organisation is unlikely to be the one that automates the greatest number of managerial tasks. It will be the one that combines machine speed and analytical reach with human judgement, responsibility and legitimacy. AI can extend management; it cannot absolve managers of the obligation to manage.</w:t>
      </w:r>
    </w:p>
    <w:p>
      <w:pPr>
        <w:pStyle w:val="Heading1"/>
        <w:keepNext/>
      </w:pPr>
      <w:r>
        <w:rPr>
          <w:rFonts w:ascii="Times New Roman" w:hAnsi="Times New Roman"/>
          <w:b/>
          <w:color w:val="203864"/>
          <w:sz w:val="28"/>
        </w:rPr>
        <w:t>References</w:t>
      </w:r>
    </w:p>
    <w:p>
      <w:pPr>
        <w:spacing w:line="480" w:lineRule="auto" w:after="0"/>
        <w:ind w:left="432" w:hanging="432"/>
      </w:pPr>
      <w:r>
        <w:rPr>
          <w:rFonts w:ascii="Times New Roman" w:hAnsi="Times New Roman"/>
          <w:sz w:val="23"/>
        </w:rPr>
        <w:t>Davenport, T. H., &amp; Ronanki, R. (2018). Artificial intelligence for the real world. Harvard Business Review, 96(1), 108-116.</w:t>
      </w:r>
    </w:p>
    <w:p>
      <w:pPr>
        <w:spacing w:line="480" w:lineRule="auto" w:after="0"/>
        <w:ind w:left="432" w:hanging="432"/>
      </w:pPr>
      <w:r>
        <w:rPr>
          <w:rFonts w:ascii="Times New Roman" w:hAnsi="Times New Roman"/>
          <w:sz w:val="23"/>
        </w:rPr>
        <w:t>Faraj, S., Pachidi, S., &amp; Sayegh, K. (2018). Working and organizing in the age of the learning algorithm. Information and Organization, 28(1), 62-70. https://doi.org/10.1016/j.infoandorg.2018.02.005</w:t>
      </w:r>
    </w:p>
    <w:p>
      <w:pPr>
        <w:spacing w:line="480" w:lineRule="auto" w:after="0"/>
        <w:ind w:left="432" w:hanging="432"/>
      </w:pPr>
      <w:r>
        <w:rPr>
          <w:rFonts w:ascii="Times New Roman" w:hAnsi="Times New Roman"/>
          <w:sz w:val="23"/>
        </w:rPr>
        <w:t>Fayol, H. (1949). General and industrial management. Pitman.</w:t>
      </w:r>
    </w:p>
    <w:p>
      <w:pPr>
        <w:spacing w:line="480" w:lineRule="auto" w:after="0"/>
        <w:ind w:left="432" w:hanging="432"/>
      </w:pPr>
      <w:r>
        <w:rPr>
          <w:rFonts w:ascii="Times New Roman" w:hAnsi="Times New Roman"/>
          <w:sz w:val="23"/>
        </w:rPr>
        <w:t>Glikson, E., &amp; Woolley, A. W. (2020). Human trust in artificial intelligence: Review of empirical research. Academy of Management Annals, 14(2), 627-660. https://doi.org/10.5465/annals.2018.0057</w:t>
      </w:r>
    </w:p>
    <w:p>
      <w:pPr>
        <w:spacing w:line="480" w:lineRule="auto" w:after="0"/>
        <w:ind w:left="432" w:hanging="432"/>
      </w:pPr>
      <w:r>
        <w:rPr>
          <w:rFonts w:ascii="Times New Roman" w:hAnsi="Times New Roman"/>
          <w:sz w:val="23"/>
        </w:rPr>
        <w:t>Haenlein, M., &amp; Kaplan, A. (2019). A brief history of artificial intelligence: On the past, present, and future of artificial intelligence. California Management Review, 61(4), 5-14. https://doi.org/10.1177/0008125619864925</w:t>
      </w:r>
    </w:p>
    <w:p>
      <w:pPr>
        <w:spacing w:line="480" w:lineRule="auto" w:after="0"/>
        <w:ind w:left="432" w:hanging="432"/>
      </w:pPr>
      <w:r>
        <w:rPr>
          <w:rFonts w:ascii="Times New Roman" w:hAnsi="Times New Roman"/>
          <w:sz w:val="23"/>
        </w:rPr>
        <w:t>Iansiti, M., &amp; Lakhani, K. R. (2020). Competing in the age of AI: Strategy and leadership when algorithms and networks run the world. Harvard Business Review Press.</w:t>
      </w:r>
    </w:p>
    <w:p>
      <w:pPr>
        <w:spacing w:line="480" w:lineRule="auto" w:after="0"/>
        <w:ind w:left="432" w:hanging="432"/>
      </w:pPr>
      <w:r>
        <w:rPr>
          <w:rFonts w:ascii="Times New Roman" w:hAnsi="Times New Roman"/>
          <w:sz w:val="23"/>
        </w:rPr>
        <w:t>Jarrahi, M. H. (2018). Artificial intelligence and the future of work: Human-AI symbiosis in organizational decision making. Business Horizons, 61(4), 577-586. https://doi.org/10.1016/j.bushor.2018.03.007</w:t>
      </w:r>
    </w:p>
    <w:p>
      <w:pPr>
        <w:spacing w:line="480" w:lineRule="auto" w:after="0"/>
        <w:ind w:left="432" w:hanging="432"/>
      </w:pPr>
      <w:r>
        <w:rPr>
          <w:rFonts w:ascii="Times New Roman" w:hAnsi="Times New Roman"/>
          <w:sz w:val="23"/>
        </w:rPr>
        <w:t>Keding, C. (2021). Understanding the interplay of artificial intelligence and strategic management: Four decades of research in review. Management Review Quarterly, 71, 91-134. https://doi.org/10.1007/s11301-020-00181-x</w:t>
      </w:r>
    </w:p>
    <w:p>
      <w:pPr>
        <w:spacing w:line="480" w:lineRule="auto" w:after="0"/>
        <w:ind w:left="432" w:hanging="432"/>
      </w:pPr>
      <w:r>
        <w:rPr>
          <w:rFonts w:ascii="Times New Roman" w:hAnsi="Times New Roman"/>
          <w:sz w:val="23"/>
        </w:rPr>
        <w:t>Mikalef, P., &amp; Gupta, M. (2021). Artificial intelligence capability: Conceptualization, measurement calibration, and empirical study on its impact on organizational creativity and firm performance. Information &amp; Management, 58(3), 103434. https://doi.org/10.1016/j.im.2021.103434</w:t>
      </w:r>
    </w:p>
    <w:p>
      <w:pPr>
        <w:spacing w:line="480" w:lineRule="auto" w:after="0"/>
        <w:ind w:left="432" w:hanging="432"/>
      </w:pPr>
      <w:r>
        <w:rPr>
          <w:rFonts w:ascii="Times New Roman" w:hAnsi="Times New Roman"/>
          <w:sz w:val="23"/>
        </w:rPr>
        <w:t>Raisch, S., &amp; Krakowski, S. (2021). Artificial intelligence and management: The automation-augmentation paradox. Academy of Management Review, 46(1), 192-210. https://doi.org/10.5465/amr.2018.0072</w:t>
      </w:r>
    </w:p>
    <w:p>
      <w:pPr>
        <w:pStyle w:val="Heading1"/>
        <w:keepNext/>
      </w:pPr>
      <w:r>
        <w:rPr>
          <w:rFonts w:ascii="Times New Roman" w:hAnsi="Times New Roman"/>
          <w:b/>
          <w:color w:val="203864"/>
          <w:sz w:val="28"/>
        </w:rPr>
        <w:t>Appendix A: Managerial Implementation Checklist</w:t>
      </w:r>
    </w:p>
    <w:p>
      <w:pPr>
        <w:pStyle w:val="ListBullet"/>
        <w:spacing w:line="360" w:lineRule="auto" w:after="60"/>
        <w:ind w:firstLine="0"/>
      </w:pPr>
      <w:r>
        <w:rPr>
          <w:rFonts w:ascii="Times New Roman" w:hAnsi="Times New Roman"/>
          <w:sz w:val="22"/>
        </w:rPr>
        <w:t>Define the decision or people/process outcome before choosing the AI tool.</w:t>
      </w:r>
    </w:p>
    <w:p>
      <w:pPr>
        <w:pStyle w:val="ListBullet"/>
        <w:spacing w:line="360" w:lineRule="auto" w:after="60"/>
        <w:ind w:firstLine="0"/>
      </w:pPr>
      <w:r>
        <w:rPr>
          <w:rFonts w:ascii="Times New Roman" w:hAnsi="Times New Roman"/>
          <w:sz w:val="22"/>
        </w:rPr>
        <w:t>Name the accountable business owner and the technical/model owner.</w:t>
      </w:r>
    </w:p>
    <w:p>
      <w:pPr>
        <w:pStyle w:val="ListBullet"/>
        <w:spacing w:line="360" w:lineRule="auto" w:after="60"/>
        <w:ind w:firstLine="0"/>
      </w:pPr>
      <w:r>
        <w:rPr>
          <w:rFonts w:ascii="Times New Roman" w:hAnsi="Times New Roman"/>
          <w:sz w:val="22"/>
        </w:rPr>
        <w:t>Document data sources, limitations, affected stakeholders and expected error modes.</w:t>
      </w:r>
    </w:p>
    <w:p>
      <w:pPr>
        <w:pStyle w:val="ListBullet"/>
        <w:spacing w:line="360" w:lineRule="auto" w:after="60"/>
        <w:ind w:firstLine="0"/>
      </w:pPr>
      <w:r>
        <w:rPr>
          <w:rFonts w:ascii="Times New Roman" w:hAnsi="Times New Roman"/>
          <w:sz w:val="22"/>
        </w:rPr>
        <w:t>Specify which outputs are advisory, which are automated and which require human approval.</w:t>
      </w:r>
    </w:p>
    <w:p>
      <w:pPr>
        <w:pStyle w:val="ListBullet"/>
        <w:spacing w:line="360" w:lineRule="auto" w:after="60"/>
        <w:ind w:firstLine="0"/>
      </w:pPr>
      <w:r>
        <w:rPr>
          <w:rFonts w:ascii="Times New Roman" w:hAnsi="Times New Roman"/>
          <w:sz w:val="22"/>
        </w:rPr>
        <w:t>Create an escalation and appeal route for unusual or consequential cases.</w:t>
      </w:r>
    </w:p>
    <w:p>
      <w:pPr>
        <w:pStyle w:val="ListBullet"/>
        <w:spacing w:line="360" w:lineRule="auto" w:after="60"/>
        <w:ind w:firstLine="0"/>
      </w:pPr>
      <w:r>
        <w:rPr>
          <w:rFonts w:ascii="Times New Roman" w:hAnsi="Times New Roman"/>
          <w:sz w:val="22"/>
        </w:rPr>
        <w:t>Monitor technical performance together with behavioural, fairness and trust indicators.</w:t>
      </w:r>
    </w:p>
    <w:p>
      <w:pPr>
        <w:pStyle w:val="ListBullet"/>
        <w:spacing w:line="360" w:lineRule="auto" w:after="60"/>
        <w:ind w:firstLine="0"/>
      </w:pPr>
      <w:r>
        <w:rPr>
          <w:rFonts w:ascii="Times New Roman" w:hAnsi="Times New Roman"/>
          <w:sz w:val="22"/>
        </w:rPr>
        <w:t>Review the system periodically and retire or redesign it when assumptions no longer hold.</w:t>
      </w:r>
    </w:p>
    <w:sectPr w:rsidR="00FC693F" w:rsidRPr="0006063C" w:rsidSect="00034616">
      <w:footerReference w:type="default" r:id="rId9"/>
      <w:pgSz w:w="12240" w:h="15840"/>
      <w:pgMar w:top="1224"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updateFields w:val="tru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Times New Roman" w:hAnsi="Times New Roman"/>
      <w:b/>
      <w:bCs/>
      <w:color w:val="203864"/>
      <w:sz w:val="28"/>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Times New Roman" w:hAnsi="Times New Roman"/>
      <w:b/>
      <w:bCs/>
      <w:color w:val="203864"/>
      <w:sz w:val="25"/>
      <w:szCs w:val="26"/>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ascii="Times New Roman" w:hAnsi="Times New Roman"/>
      <w:b/>
      <w:bCs/>
      <w:color w:val="20386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203864"/>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0" w:line="480" w:lineRule="auto"/>
      <w:ind w:firstLine="432"/>
    </w:pPr>
    <w:rPr>
      <w:rFonts w:ascii="Times New Roman" w:hAnsi="Times New Roman"/>
      <w:sz w:val="24"/>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9000" w:val="right" w:leader="dot"/>
      </w:tabs>
      <w:spacing w:before="0" w:after="40" w:line="240" w:lineRule="auto"/>
      <w:ind w:left="0" w:right="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Oversight in the Algorithmic Firm: Reframing Planning, Organising, Leading and Controlling</dc:title>
  <dc:subject>Business Administration Fundamentals</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