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0574D8D1" w14:textId="77777777" w:rsidR="00806669" w:rsidRPr="00806669" w:rsidRDefault="00806669" w:rsidP="00806669">
      <w:pPr>
        <w:spacing w:line="276" w:lineRule="auto"/>
        <w:rPr>
          <w:lang w:val="en-GB"/>
        </w:rPr>
      </w:pPr>
      <w:r w:rsidRPr="00806669">
        <w:rPr>
          <w:lang w:val="en-GB"/>
        </w:rPr>
        <w:lastRenderedPageBreak/>
        <w:t>Heritage management has evolved from a narrow, preservation-focused discipline into a broader field that incorporates social, cultural, and political dimensions. This transformation can be clearly understood by comparing the conventional approach with the value-led approach. While both approaches aim to protect heritage, they differ significantly in their underlying philosophies, methods, and effectiveness in contemporary contexts.</w:t>
      </w:r>
    </w:p>
    <w:p w14:paraId="6EAE74EF" w14:textId="77777777" w:rsidR="00806669" w:rsidRPr="00806669" w:rsidRDefault="00806669" w:rsidP="00806669">
      <w:pPr>
        <w:spacing w:line="276" w:lineRule="auto"/>
        <w:rPr>
          <w:lang w:val="en-GB"/>
        </w:rPr>
      </w:pPr>
      <w:r w:rsidRPr="00806669">
        <w:rPr>
          <w:lang w:val="en-GB"/>
        </w:rPr>
        <w:t>The conventional approach to heritage management is primarily concerned with the conservation of physical or tangible heritage. It is rooted in the belief that heritage has intrinsic value that must be preserved in its original form. This model is strongly influenced by Western conservation traditions and emphasizes principles such as authenticity, integrity, and minimal intervention. Professionals such as architects, archaeologists, and conservators play a central role in this approach, making decisions based on scientific knowledge and established guidelines. For example, restoration projects often aim to return a building or monument to a specific historical period, sometimes disregarding later additions or community uses.</w:t>
      </w:r>
    </w:p>
    <w:p w14:paraId="35C8D8B4" w14:textId="77777777" w:rsidR="00806669" w:rsidRPr="00806669" w:rsidRDefault="00806669" w:rsidP="00806669">
      <w:pPr>
        <w:spacing w:line="276" w:lineRule="auto"/>
        <w:rPr>
          <w:lang w:val="en-GB"/>
        </w:rPr>
      </w:pPr>
      <w:r w:rsidRPr="00806669">
        <w:rPr>
          <w:lang w:val="en-GB"/>
        </w:rPr>
        <w:t xml:space="preserve">Despite its contributions to protecting cultural assets, the conventional approach has several limitations. One major criticism is that it tends to ignore the social and cultural contexts in which heritage exists. By focusing primarily on physical structures, it overlooks the meanings, memories, and identities associated with heritage. Moreover, the decision-making process is often top-down, leaving little room for community participation. This can result in a disconnect between heritage management practices and the people who interact with heritage </w:t>
      </w:r>
      <w:proofErr w:type="gramStart"/>
      <w:r w:rsidRPr="00806669">
        <w:rPr>
          <w:lang w:val="en-GB"/>
        </w:rPr>
        <w:t>on a daily basis</w:t>
      </w:r>
      <w:proofErr w:type="gramEnd"/>
      <w:r w:rsidRPr="00806669">
        <w:rPr>
          <w:lang w:val="en-GB"/>
        </w:rPr>
        <w:t>. In some cases, it may even lead to conflicts when conservation efforts restrict access or fail to recognize local traditions.</w:t>
      </w:r>
    </w:p>
    <w:p w14:paraId="752E502C" w14:textId="77777777" w:rsidR="00806669" w:rsidRPr="00806669" w:rsidRDefault="00806669" w:rsidP="00806669">
      <w:pPr>
        <w:spacing w:line="276" w:lineRule="auto"/>
        <w:rPr>
          <w:lang w:val="en-GB"/>
        </w:rPr>
      </w:pPr>
      <w:r w:rsidRPr="00806669">
        <w:rPr>
          <w:lang w:val="en-GB"/>
        </w:rPr>
        <w:t>The value-led approach, on the other hand, offers a more inclusive and flexible framework. It is based on the idea that heritage significance is not inherent but is created through the values that individuals and communities assign to it. These values are diverse and can include cultural, social, spiritual, economic, and political aspects. The role of heritage management, therefore, is to identify and balance these values rather than simply preserving physical structures.</w:t>
      </w:r>
    </w:p>
    <w:p w14:paraId="0CC69F93" w14:textId="77777777" w:rsidR="00806669" w:rsidRPr="00806669" w:rsidRDefault="00806669" w:rsidP="00806669">
      <w:pPr>
        <w:spacing w:line="276" w:lineRule="auto"/>
        <w:rPr>
          <w:lang w:val="en-GB"/>
        </w:rPr>
      </w:pPr>
      <w:r w:rsidRPr="00806669">
        <w:rPr>
          <w:lang w:val="en-GB"/>
        </w:rPr>
        <w:t>A central feature of the value-led approach is stakeholder engagement. It emphasizes the participation of various groups, including local communities, indigenous populations, government agencies, and private stakeholders. This participatory process ensures that different perspectives are considered and that heritage management decisions are more democratic and equitable. For instance, involving local communities in heritage tourism projects can help generate economic benefits while preserving cultural identity.</w:t>
      </w:r>
    </w:p>
    <w:p w14:paraId="3AE479FC" w14:textId="77777777" w:rsidR="00806669" w:rsidRPr="00806669" w:rsidRDefault="00806669" w:rsidP="00806669">
      <w:pPr>
        <w:spacing w:line="276" w:lineRule="auto"/>
        <w:rPr>
          <w:lang w:val="en-GB"/>
        </w:rPr>
      </w:pPr>
      <w:r w:rsidRPr="00806669">
        <w:rPr>
          <w:lang w:val="en-GB"/>
        </w:rPr>
        <w:t>Another important distinction is the understanding of heritage as a dynamic and evolving concept. The conventional approach often seeks to preserve heritage in a fixed state, whereas the value-led approach recognizes that heritage can change over time. This is particularly relevant in the case of intangible cultural heritage, such as languages, rituals, and traditional knowledge, which cannot be conserved through physical preservation alone. By allowing for change and adaptation, the value-led approach ensures that heritage remains relevant in contemporary society.</w:t>
      </w:r>
    </w:p>
    <w:p w14:paraId="6A287922" w14:textId="77777777" w:rsidR="00806669" w:rsidRPr="00806669" w:rsidRDefault="00806669" w:rsidP="00806669">
      <w:pPr>
        <w:spacing w:line="276" w:lineRule="auto"/>
        <w:rPr>
          <w:lang w:val="en-GB"/>
        </w:rPr>
      </w:pPr>
      <w:r w:rsidRPr="00806669">
        <w:rPr>
          <w:lang w:val="en-GB"/>
        </w:rPr>
        <w:lastRenderedPageBreak/>
        <w:t xml:space="preserve">In terms of effectiveness, the value-led approach is generally more suitable for addressing modern challenges. Issues such as globalization, urban development, and climate change require adaptive and inclusive strategies. By incorporating multiple values and perspectives, the value-led approach promotes sustainability and resilience. However, it also presents challenges, such as managing conflicting interests and ensuring that all voices are adequately represented. Additionally, the process of stakeholder engagement can be time-consuming and </w:t>
      </w:r>
      <w:proofErr w:type="gramStart"/>
      <w:r w:rsidRPr="00806669">
        <w:rPr>
          <w:lang w:val="en-GB"/>
        </w:rPr>
        <w:t>resource-intensive</w:t>
      </w:r>
      <w:proofErr w:type="gramEnd"/>
      <w:r w:rsidRPr="00806669">
        <w:rPr>
          <w:lang w:val="en-GB"/>
        </w:rPr>
        <w:t>.</w:t>
      </w:r>
    </w:p>
    <w:p w14:paraId="2DBBFD39" w14:textId="77777777" w:rsidR="00806669" w:rsidRPr="00806669" w:rsidRDefault="00806669" w:rsidP="00806669">
      <w:pPr>
        <w:spacing w:line="276" w:lineRule="auto"/>
        <w:rPr>
          <w:lang w:val="en-GB"/>
        </w:rPr>
      </w:pPr>
      <w:r w:rsidRPr="00806669">
        <w:rPr>
          <w:lang w:val="en-GB"/>
        </w:rPr>
        <w:t>Given these considerations, many scholars advocate for an integrated approach that combines the strengths of both models. The conventional approach provides essential technical expertise for preserving the physical aspects of heritage, while the value-led approach ensures that heritage remains meaningful and socially relevant. By combining these perspectives, heritage management can achieve a balance between conservation and community engagement.</w:t>
      </w:r>
    </w:p>
    <w:p w14:paraId="1FEE2E74" w14:textId="77777777" w:rsidR="00806669" w:rsidRPr="00806669" w:rsidRDefault="00806669" w:rsidP="00806669">
      <w:pPr>
        <w:spacing w:line="276" w:lineRule="auto"/>
        <w:rPr>
          <w:lang w:val="en-GB"/>
        </w:rPr>
      </w:pPr>
      <w:r w:rsidRPr="00806669">
        <w:rPr>
          <w:lang w:val="en-GB"/>
        </w:rPr>
        <w:t>In conclusion, the shift from conventional to value-led heritage management reflects a broader recognition of the importance of human values in shaping heritage. While the conventional approach remains important for its scientific and technical contributions, the value-led approach offers a more comprehensive and adaptable framework for managing heritage in the modern world.</w:t>
      </w:r>
    </w:p>
    <w:p w14:paraId="0F78DB34" w14:textId="517F01E5" w:rsidR="00806669" w:rsidRPr="00806669" w:rsidRDefault="00806669" w:rsidP="00806669">
      <w:pPr>
        <w:spacing w:line="276" w:lineRule="auto"/>
        <w:rPr>
          <w:lang w:val="en-GB"/>
        </w:rPr>
      </w:pPr>
    </w:p>
    <w:p w14:paraId="1D161FE9" w14:textId="77777777" w:rsidR="00806669" w:rsidRDefault="00806669" w:rsidP="00806669">
      <w:pPr>
        <w:spacing w:line="276" w:lineRule="auto"/>
        <w:rPr>
          <w:b/>
          <w:bCs/>
          <w:lang w:val="en-GB"/>
        </w:rPr>
      </w:pPr>
      <w:r w:rsidRPr="00806669">
        <w:rPr>
          <w:b/>
          <w:bCs/>
          <w:lang w:val="en-GB"/>
        </w:rPr>
        <w:t xml:space="preserve">References </w:t>
      </w:r>
    </w:p>
    <w:p w14:paraId="59834EE3" w14:textId="77777777" w:rsidR="00806669" w:rsidRDefault="00806669" w:rsidP="00806669">
      <w:pPr>
        <w:spacing w:line="276" w:lineRule="auto"/>
        <w:rPr>
          <w:b/>
          <w:bCs/>
          <w:lang w:val="en-GB"/>
        </w:rPr>
      </w:pPr>
    </w:p>
    <w:p w14:paraId="44181B30" w14:textId="74D2E40A" w:rsidR="00806669" w:rsidRPr="00806669" w:rsidRDefault="00806669" w:rsidP="00806669">
      <w:pPr>
        <w:numPr>
          <w:ilvl w:val="0"/>
          <w:numId w:val="10"/>
        </w:numPr>
        <w:spacing w:line="276" w:lineRule="auto"/>
        <w:rPr>
          <w:lang w:val="en-GB"/>
        </w:rPr>
      </w:pPr>
      <w:proofErr w:type="spellStart"/>
      <w:r w:rsidRPr="00806669">
        <w:rPr>
          <w:lang w:val="en-GB"/>
        </w:rPr>
        <w:t>Jokilehto</w:t>
      </w:r>
      <w:proofErr w:type="spellEnd"/>
      <w:r w:rsidRPr="00806669">
        <w:rPr>
          <w:lang w:val="en-GB"/>
        </w:rPr>
        <w:t xml:space="preserve">, J. (1999). </w:t>
      </w:r>
      <w:r w:rsidRPr="00806669">
        <w:rPr>
          <w:i/>
          <w:iCs/>
          <w:lang w:val="en-GB"/>
        </w:rPr>
        <w:t>A History of Architectural Conservation</w:t>
      </w:r>
      <w:r w:rsidRPr="00806669">
        <w:rPr>
          <w:lang w:val="en-GB"/>
        </w:rPr>
        <w:t>. Butterworth-Heinemann.</w:t>
      </w:r>
      <w:r w:rsidRPr="00806669">
        <w:rPr>
          <w:lang w:val="en-GB"/>
        </w:rPr>
        <w:br/>
        <w:t xml:space="preserve">(Widely cited on Google Scholar) </w:t>
      </w:r>
    </w:p>
    <w:p w14:paraId="6BD7CFDC" w14:textId="77777777" w:rsidR="00806669" w:rsidRPr="00806669" w:rsidRDefault="00806669" w:rsidP="00806669">
      <w:pPr>
        <w:numPr>
          <w:ilvl w:val="0"/>
          <w:numId w:val="10"/>
        </w:numPr>
        <w:spacing w:line="276" w:lineRule="auto"/>
        <w:rPr>
          <w:lang w:val="en-GB"/>
        </w:rPr>
      </w:pPr>
      <w:r w:rsidRPr="00806669">
        <w:rPr>
          <w:lang w:val="en-GB"/>
        </w:rPr>
        <w:t xml:space="preserve">Ashworth, G. J., Graham, B., &amp; Tunbridge, J. E. (2007). </w:t>
      </w:r>
      <w:r w:rsidRPr="00806669">
        <w:rPr>
          <w:i/>
          <w:iCs/>
          <w:lang w:val="en-GB"/>
        </w:rPr>
        <w:t>Pluralising Pasts: Heritage, Identity and Place in Multicultural Societies</w:t>
      </w:r>
      <w:r w:rsidRPr="00806669">
        <w:rPr>
          <w:lang w:val="en-GB"/>
        </w:rPr>
        <w:t>. Pluto Press.</w:t>
      </w:r>
      <w:r w:rsidRPr="00806669">
        <w:rPr>
          <w:lang w:val="en-GB"/>
        </w:rPr>
        <w:br/>
        <w:t xml:space="preserve">(Google Scholar indexed) </w:t>
      </w:r>
    </w:p>
    <w:p w14:paraId="514E1971" w14:textId="77777777" w:rsidR="00806669" w:rsidRPr="00806669" w:rsidRDefault="00806669" w:rsidP="00806669">
      <w:pPr>
        <w:numPr>
          <w:ilvl w:val="0"/>
          <w:numId w:val="10"/>
        </w:numPr>
        <w:spacing w:line="276" w:lineRule="auto"/>
        <w:rPr>
          <w:lang w:val="en-GB"/>
        </w:rPr>
      </w:pPr>
      <w:r w:rsidRPr="00806669">
        <w:rPr>
          <w:lang w:val="en-GB"/>
        </w:rPr>
        <w:t>Fairclough, G. (2008).</w:t>
      </w:r>
      <w:r w:rsidRPr="00806669">
        <w:rPr>
          <w:lang w:val="en-GB"/>
        </w:rPr>
        <w:br/>
        <w:t xml:space="preserve">“New heritage, an introductory essay.” In </w:t>
      </w:r>
      <w:r w:rsidRPr="00806669">
        <w:rPr>
          <w:i/>
          <w:iCs/>
          <w:lang w:val="en-GB"/>
        </w:rPr>
        <w:t>The Heritage Reader</w:t>
      </w:r>
      <w:r w:rsidRPr="00806669">
        <w:rPr>
          <w:lang w:val="en-GB"/>
        </w:rPr>
        <w:t>. Routledge.</w:t>
      </w:r>
      <w:r w:rsidRPr="00806669">
        <w:rPr>
          <w:lang w:val="en-GB"/>
        </w:rPr>
        <w:br/>
        <w:t xml:space="preserve">DOI: https://doi.org/10.4324/9780203883440 </w:t>
      </w:r>
    </w:p>
    <w:p w14:paraId="3C32DAE5" w14:textId="77777777" w:rsidR="00806669" w:rsidRPr="00806669" w:rsidRDefault="00806669" w:rsidP="00806669">
      <w:pPr>
        <w:numPr>
          <w:ilvl w:val="0"/>
          <w:numId w:val="10"/>
        </w:numPr>
        <w:spacing w:line="276" w:lineRule="auto"/>
        <w:rPr>
          <w:lang w:val="en-GB"/>
        </w:rPr>
      </w:pPr>
      <w:proofErr w:type="spellStart"/>
      <w:r w:rsidRPr="00806669">
        <w:rPr>
          <w:lang w:val="en-GB"/>
        </w:rPr>
        <w:t>Bandarin</w:t>
      </w:r>
      <w:proofErr w:type="spellEnd"/>
      <w:r w:rsidRPr="00806669">
        <w:rPr>
          <w:lang w:val="en-GB"/>
        </w:rPr>
        <w:t xml:space="preserve">, F., &amp; van </w:t>
      </w:r>
      <w:proofErr w:type="spellStart"/>
      <w:r w:rsidRPr="00806669">
        <w:rPr>
          <w:lang w:val="en-GB"/>
        </w:rPr>
        <w:t>Oers</w:t>
      </w:r>
      <w:proofErr w:type="spellEnd"/>
      <w:r w:rsidRPr="00806669">
        <w:rPr>
          <w:lang w:val="en-GB"/>
        </w:rPr>
        <w:t xml:space="preserve">, R. (2012). </w:t>
      </w:r>
      <w:r w:rsidRPr="00806669">
        <w:rPr>
          <w:i/>
          <w:iCs/>
          <w:lang w:val="en-GB"/>
        </w:rPr>
        <w:t>The Historic Urban Landscape: Managing Heritage in an Urban Century</w:t>
      </w:r>
      <w:r w:rsidRPr="00806669">
        <w:rPr>
          <w:lang w:val="en-GB"/>
        </w:rPr>
        <w:t>. Wiley-Blackwell.</w:t>
      </w:r>
      <w:r w:rsidRPr="00806669">
        <w:rPr>
          <w:lang w:val="en-GB"/>
        </w:rPr>
        <w:br/>
        <w:t xml:space="preserve">DOI: </w:t>
      </w:r>
      <w:hyperlink r:id="rId6" w:tgtFrame="_new" w:history="1">
        <w:r w:rsidRPr="00806669">
          <w:rPr>
            <w:rStyle w:val="Hyperlink"/>
            <w:lang w:val="en-GB"/>
          </w:rPr>
          <w:t>https://doi.org/10.1002/9781119968115</w:t>
        </w:r>
      </w:hyperlink>
      <w:r w:rsidRPr="00806669">
        <w:rPr>
          <w:lang w:val="en-GB"/>
        </w:rPr>
        <w:t xml:space="preserve"> </w:t>
      </w:r>
    </w:p>
    <w:p w14:paraId="06044AAD" w14:textId="77777777" w:rsidR="00806669" w:rsidRPr="00806669" w:rsidRDefault="00806669" w:rsidP="00806669">
      <w:pPr>
        <w:numPr>
          <w:ilvl w:val="0"/>
          <w:numId w:val="10"/>
        </w:numPr>
        <w:spacing w:line="276" w:lineRule="auto"/>
        <w:rPr>
          <w:lang w:val="en-GB"/>
        </w:rPr>
      </w:pPr>
      <w:r w:rsidRPr="00806669">
        <w:rPr>
          <w:lang w:val="en-GB"/>
        </w:rPr>
        <w:t xml:space="preserve">Silverman, H., &amp; Ruggles, D. F. (2007). </w:t>
      </w:r>
      <w:r w:rsidRPr="00806669">
        <w:rPr>
          <w:i/>
          <w:iCs/>
          <w:lang w:val="en-GB"/>
        </w:rPr>
        <w:t>Cultural Heritage and Human Rights</w:t>
      </w:r>
      <w:r w:rsidRPr="00806669">
        <w:rPr>
          <w:lang w:val="en-GB"/>
        </w:rPr>
        <w:t>. Springer.</w:t>
      </w:r>
      <w:r w:rsidRPr="00806669">
        <w:rPr>
          <w:lang w:val="en-GB"/>
        </w:rPr>
        <w:br/>
        <w:t xml:space="preserve">DOI: https://doi.org/10.1007/978-0-387-71313-7 </w:t>
      </w:r>
    </w:p>
    <w:p w14:paraId="776DCC7D" w14:textId="77777777" w:rsidR="004F00A3" w:rsidRDefault="004F00A3" w:rsidP="00063ECF">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1C24462-37EF-4CDD-A77B-2C881A54EBF0}"/>
    <w:embedBold r:id="rId2" w:fontKey="{A471BB68-6B72-49A9-A8A6-C2F65F8427A8}"/>
    <w:embedItalic r:id="rId3" w:fontKey="{2EB59411-B91C-4CCC-B20E-7B4046F99C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776E391-1475-4A0E-A3BE-59AE742A70AB}"/>
  </w:font>
  <w:font w:name="Calibri Light">
    <w:panose1 w:val="020F0302020204030204"/>
    <w:charset w:val="00"/>
    <w:family w:val="swiss"/>
    <w:pitch w:val="variable"/>
    <w:sig w:usb0="E4002EFF" w:usb1="C000247B" w:usb2="00000009" w:usb3="00000000" w:csb0="000001FF" w:csb1="00000000"/>
    <w:embedRegular r:id="rId5" w:fontKey="{BE42BE26-1994-4858-A58F-6789D0EDB59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04E1"/>
    <w:multiLevelType w:val="multilevel"/>
    <w:tmpl w:val="AE84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9525B"/>
    <w:multiLevelType w:val="multilevel"/>
    <w:tmpl w:val="4E6C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6A2650"/>
    <w:multiLevelType w:val="hybridMultilevel"/>
    <w:tmpl w:val="0A9E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6309E"/>
    <w:multiLevelType w:val="multilevel"/>
    <w:tmpl w:val="AC72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6"/>
  </w:num>
  <w:num w:numId="2" w16cid:durableId="321082758">
    <w:abstractNumId w:val="4"/>
  </w:num>
  <w:num w:numId="3" w16cid:durableId="1925534475">
    <w:abstractNumId w:val="8"/>
  </w:num>
  <w:num w:numId="4" w16cid:durableId="1785995615">
    <w:abstractNumId w:val="5"/>
  </w:num>
  <w:num w:numId="5" w16cid:durableId="1645886677">
    <w:abstractNumId w:val="3"/>
  </w:num>
  <w:num w:numId="6" w16cid:durableId="2056662666">
    <w:abstractNumId w:val="1"/>
  </w:num>
  <w:num w:numId="7" w16cid:durableId="1995061050">
    <w:abstractNumId w:val="9"/>
  </w:num>
  <w:num w:numId="8" w16cid:durableId="111098574">
    <w:abstractNumId w:val="0"/>
  </w:num>
  <w:num w:numId="9" w16cid:durableId="320044634">
    <w:abstractNumId w:val="2"/>
  </w:num>
  <w:num w:numId="10" w16cid:durableId="989602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63ECF"/>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06669"/>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E7754C"/>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9781119968115"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893</Words>
  <Characters>5092</Characters>
  <Application>Microsoft Office Word</Application>
  <DocSecurity>0</DocSecurity>
  <Lines>42</Lines>
  <Paragraphs>11</Paragraphs>
  <ScaleCrop>false</ScaleCrop>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2026-04-18T12:22:00Z</dcterms:created>
  <dcterms:modified xsi:type="dcterms:W3CDTF">2026-04-18T12:22:00Z</dcterms:modified>
</cp:coreProperties>
</file>