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634A74" w:rsidRPr="00634A74">
        <w:rPr>
          <w:b/>
          <w:bCs/>
          <w:sz w:val="48"/>
          <w:szCs w:val="48"/>
        </w:rPr>
        <w:t>The Role of Contract Law in the Tourism Industry</w:t>
      </w:r>
    </w:p>
    <w:p w:rsidR="00D74867" w:rsidRDefault="00D74867" w:rsidP="00E65008">
      <w:pPr>
        <w:jc w:val="center"/>
        <w:rPr>
          <w:sz w:val="44"/>
          <w:szCs w:val="44"/>
        </w:rPr>
      </w:pPr>
      <w:r>
        <w:rPr>
          <w:b/>
          <w:sz w:val="40"/>
          <w:szCs w:val="40"/>
        </w:rPr>
        <w:br/>
      </w:r>
      <w:r>
        <w:rPr>
          <w:sz w:val="40"/>
          <w:szCs w:val="40"/>
        </w:rPr>
        <w:br/>
      </w:r>
      <w:r w:rsidR="00E65008">
        <w:rPr>
          <w:bCs/>
          <w:sz w:val="44"/>
          <w:szCs w:val="44"/>
        </w:rPr>
        <w:t>Student Name: Anurag Pahal</w:t>
      </w:r>
      <w:r w:rsidR="00E65008">
        <w:rPr>
          <w:bCs/>
          <w:sz w:val="44"/>
          <w:szCs w:val="44"/>
        </w:rPr>
        <w:br/>
        <w:t>Student ID: DE240229</w:t>
      </w:r>
    </w:p>
    <w:p w:rsidR="00D74867" w:rsidRDefault="00D74867" w:rsidP="00D74867">
      <w:pPr>
        <w:jc w:val="center"/>
        <w:rPr>
          <w:sz w:val="44"/>
          <w:szCs w:val="44"/>
        </w:rPr>
      </w:pPr>
    </w:p>
    <w:p w:rsidR="00E65008" w:rsidRDefault="00E65008"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8055420"/>
        <w:docPartObj>
          <w:docPartGallery w:val="Table of Contents"/>
          <w:docPartUnique/>
        </w:docPartObj>
      </w:sdtPr>
      <w:sdtContent>
        <w:p w:rsidR="00104B14" w:rsidRDefault="00104B14">
          <w:pPr>
            <w:pStyle w:val="TOCHeading"/>
          </w:pPr>
          <w:r>
            <w:t>Contents</w:t>
          </w:r>
        </w:p>
        <w:p w:rsidR="002D1590" w:rsidRDefault="00A31AA1">
          <w:pPr>
            <w:pStyle w:val="TOC2"/>
            <w:tabs>
              <w:tab w:val="right" w:leader="dot" w:pos="9350"/>
            </w:tabs>
            <w:rPr>
              <w:rFonts w:eastAsiaTheme="minorEastAsia"/>
              <w:noProof/>
              <w:szCs w:val="20"/>
              <w:lang w:bidi="hi-IN"/>
            </w:rPr>
          </w:pPr>
          <w:r>
            <w:fldChar w:fldCharType="begin"/>
          </w:r>
          <w:r w:rsidR="00104B14">
            <w:instrText xml:space="preserve"> TOC \o "1-3" \h \z \u </w:instrText>
          </w:r>
          <w:r>
            <w:fldChar w:fldCharType="separate"/>
          </w:r>
          <w:hyperlink w:anchor="_Toc220974338" w:history="1">
            <w:r w:rsidR="002D1590" w:rsidRPr="00574FD7">
              <w:rPr>
                <w:rStyle w:val="Hyperlink"/>
                <w:rFonts w:ascii="Times New Roman" w:eastAsia="Times New Roman" w:hAnsi="Times New Roman" w:cs="Times New Roman"/>
                <w:b/>
                <w:bCs/>
                <w:noProof/>
              </w:rPr>
              <w:t>ABSTRACT</w:t>
            </w:r>
            <w:r w:rsidR="002D1590">
              <w:rPr>
                <w:noProof/>
                <w:webHidden/>
              </w:rPr>
              <w:tab/>
            </w:r>
            <w:r>
              <w:rPr>
                <w:noProof/>
                <w:webHidden/>
              </w:rPr>
              <w:fldChar w:fldCharType="begin"/>
            </w:r>
            <w:r w:rsidR="002D1590">
              <w:rPr>
                <w:noProof/>
                <w:webHidden/>
              </w:rPr>
              <w:instrText xml:space="preserve"> PAGEREF _Toc220974338 \h </w:instrText>
            </w:r>
            <w:r>
              <w:rPr>
                <w:noProof/>
                <w:webHidden/>
              </w:rPr>
            </w:r>
            <w:r>
              <w:rPr>
                <w:noProof/>
                <w:webHidden/>
              </w:rPr>
              <w:fldChar w:fldCharType="separate"/>
            </w:r>
            <w:r w:rsidR="002D1590">
              <w:rPr>
                <w:noProof/>
                <w:webHidden/>
              </w:rPr>
              <w:t>4</w:t>
            </w:r>
            <w:r>
              <w:rPr>
                <w:noProof/>
                <w:webHidden/>
              </w:rPr>
              <w:fldChar w:fldCharType="end"/>
            </w:r>
          </w:hyperlink>
        </w:p>
        <w:p w:rsidR="002D1590" w:rsidRDefault="00A31AA1">
          <w:pPr>
            <w:pStyle w:val="TOC2"/>
            <w:tabs>
              <w:tab w:val="right" w:leader="dot" w:pos="9350"/>
            </w:tabs>
            <w:rPr>
              <w:rFonts w:eastAsiaTheme="minorEastAsia"/>
              <w:noProof/>
              <w:szCs w:val="20"/>
              <w:lang w:bidi="hi-IN"/>
            </w:rPr>
          </w:pPr>
          <w:hyperlink w:anchor="_Toc220974339" w:history="1">
            <w:r w:rsidR="002D1590" w:rsidRPr="00574FD7">
              <w:rPr>
                <w:rStyle w:val="Hyperlink"/>
                <w:rFonts w:ascii="Times New Roman" w:eastAsia="Times New Roman" w:hAnsi="Times New Roman" w:cs="Times New Roman"/>
                <w:b/>
                <w:bCs/>
                <w:noProof/>
              </w:rPr>
              <w:t>INTRODUCTION</w:t>
            </w:r>
            <w:r w:rsidR="002D1590">
              <w:rPr>
                <w:noProof/>
                <w:webHidden/>
              </w:rPr>
              <w:tab/>
            </w:r>
            <w:r>
              <w:rPr>
                <w:noProof/>
                <w:webHidden/>
              </w:rPr>
              <w:fldChar w:fldCharType="begin"/>
            </w:r>
            <w:r w:rsidR="002D1590">
              <w:rPr>
                <w:noProof/>
                <w:webHidden/>
              </w:rPr>
              <w:instrText xml:space="preserve"> PAGEREF _Toc220974339 \h </w:instrText>
            </w:r>
            <w:r>
              <w:rPr>
                <w:noProof/>
                <w:webHidden/>
              </w:rPr>
            </w:r>
            <w:r>
              <w:rPr>
                <w:noProof/>
                <w:webHidden/>
              </w:rPr>
              <w:fldChar w:fldCharType="separate"/>
            </w:r>
            <w:r w:rsidR="002D1590">
              <w:rPr>
                <w:noProof/>
                <w:webHidden/>
              </w:rPr>
              <w:t>4</w:t>
            </w:r>
            <w:r>
              <w:rPr>
                <w:noProof/>
                <w:webHidden/>
              </w:rPr>
              <w:fldChar w:fldCharType="end"/>
            </w:r>
          </w:hyperlink>
        </w:p>
        <w:p w:rsidR="002D1590" w:rsidRDefault="00A31AA1">
          <w:pPr>
            <w:pStyle w:val="TOC2"/>
            <w:tabs>
              <w:tab w:val="right" w:leader="dot" w:pos="9350"/>
            </w:tabs>
            <w:rPr>
              <w:rFonts w:eastAsiaTheme="minorEastAsia"/>
              <w:noProof/>
              <w:szCs w:val="20"/>
              <w:lang w:bidi="hi-IN"/>
            </w:rPr>
          </w:pPr>
          <w:hyperlink w:anchor="_Toc220974340" w:history="1">
            <w:r w:rsidR="002D1590" w:rsidRPr="00574FD7">
              <w:rPr>
                <w:rStyle w:val="Hyperlink"/>
                <w:rFonts w:ascii="Times New Roman" w:eastAsia="Times New Roman" w:hAnsi="Times New Roman" w:cs="Times New Roman"/>
                <w:b/>
                <w:bCs/>
                <w:noProof/>
              </w:rPr>
              <w:t>LITERATURE REVIEW</w:t>
            </w:r>
            <w:r w:rsidR="002D1590">
              <w:rPr>
                <w:noProof/>
                <w:webHidden/>
              </w:rPr>
              <w:tab/>
            </w:r>
            <w:r>
              <w:rPr>
                <w:noProof/>
                <w:webHidden/>
              </w:rPr>
              <w:fldChar w:fldCharType="begin"/>
            </w:r>
            <w:r w:rsidR="002D1590">
              <w:rPr>
                <w:noProof/>
                <w:webHidden/>
              </w:rPr>
              <w:instrText xml:space="preserve"> PAGEREF _Toc220974340 \h </w:instrText>
            </w:r>
            <w:r>
              <w:rPr>
                <w:noProof/>
                <w:webHidden/>
              </w:rPr>
            </w:r>
            <w:r>
              <w:rPr>
                <w:noProof/>
                <w:webHidden/>
              </w:rPr>
              <w:fldChar w:fldCharType="separate"/>
            </w:r>
            <w:r w:rsidR="002D1590">
              <w:rPr>
                <w:noProof/>
                <w:webHidden/>
              </w:rPr>
              <w:t>5</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41" w:history="1">
            <w:r w:rsidR="002D1590" w:rsidRPr="00574FD7">
              <w:rPr>
                <w:rStyle w:val="Hyperlink"/>
                <w:rFonts w:ascii="Times New Roman" w:eastAsia="Times New Roman" w:hAnsi="Times New Roman" w:cs="Times New Roman"/>
                <w:b/>
                <w:bCs/>
                <w:noProof/>
              </w:rPr>
              <w:t>Contract Law and Adventure Tourism</w:t>
            </w:r>
            <w:r w:rsidR="002D1590">
              <w:rPr>
                <w:noProof/>
                <w:webHidden/>
              </w:rPr>
              <w:tab/>
            </w:r>
            <w:r>
              <w:rPr>
                <w:noProof/>
                <w:webHidden/>
              </w:rPr>
              <w:fldChar w:fldCharType="begin"/>
            </w:r>
            <w:r w:rsidR="002D1590">
              <w:rPr>
                <w:noProof/>
                <w:webHidden/>
              </w:rPr>
              <w:instrText xml:space="preserve"> PAGEREF _Toc220974341 \h </w:instrText>
            </w:r>
            <w:r>
              <w:rPr>
                <w:noProof/>
                <w:webHidden/>
              </w:rPr>
            </w:r>
            <w:r>
              <w:rPr>
                <w:noProof/>
                <w:webHidden/>
              </w:rPr>
              <w:fldChar w:fldCharType="separate"/>
            </w:r>
            <w:r w:rsidR="002D1590">
              <w:rPr>
                <w:noProof/>
                <w:webHidden/>
              </w:rPr>
              <w:t>5</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42" w:history="1">
            <w:r w:rsidR="002D1590" w:rsidRPr="00574FD7">
              <w:rPr>
                <w:rStyle w:val="Hyperlink"/>
                <w:rFonts w:ascii="Times New Roman" w:eastAsia="Times New Roman" w:hAnsi="Times New Roman" w:cs="Times New Roman"/>
                <w:b/>
                <w:bCs/>
                <w:noProof/>
              </w:rPr>
              <w:t>Liability Waivers and Consumer Protection</w:t>
            </w:r>
            <w:r w:rsidR="002D1590">
              <w:rPr>
                <w:noProof/>
                <w:webHidden/>
              </w:rPr>
              <w:tab/>
            </w:r>
            <w:r>
              <w:rPr>
                <w:noProof/>
                <w:webHidden/>
              </w:rPr>
              <w:fldChar w:fldCharType="begin"/>
            </w:r>
            <w:r w:rsidR="002D1590">
              <w:rPr>
                <w:noProof/>
                <w:webHidden/>
              </w:rPr>
              <w:instrText xml:space="preserve"> PAGEREF _Toc220974342 \h </w:instrText>
            </w:r>
            <w:r>
              <w:rPr>
                <w:noProof/>
                <w:webHidden/>
              </w:rPr>
            </w:r>
            <w:r>
              <w:rPr>
                <w:noProof/>
                <w:webHidden/>
              </w:rPr>
              <w:fldChar w:fldCharType="separate"/>
            </w:r>
            <w:r w:rsidR="002D1590">
              <w:rPr>
                <w:noProof/>
                <w:webHidden/>
              </w:rPr>
              <w:t>6</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43" w:history="1">
            <w:r w:rsidR="002D1590" w:rsidRPr="00574FD7">
              <w:rPr>
                <w:rStyle w:val="Hyperlink"/>
                <w:rFonts w:ascii="Times New Roman" w:eastAsia="Times New Roman" w:hAnsi="Times New Roman" w:cs="Times New Roman"/>
                <w:b/>
                <w:bCs/>
                <w:noProof/>
              </w:rPr>
              <w:t>Essential Elements of a Valid Adventure Tourism Contract</w:t>
            </w:r>
            <w:r w:rsidR="002D1590">
              <w:rPr>
                <w:noProof/>
                <w:webHidden/>
              </w:rPr>
              <w:tab/>
            </w:r>
            <w:r>
              <w:rPr>
                <w:noProof/>
                <w:webHidden/>
              </w:rPr>
              <w:fldChar w:fldCharType="begin"/>
            </w:r>
            <w:r w:rsidR="002D1590">
              <w:rPr>
                <w:noProof/>
                <w:webHidden/>
              </w:rPr>
              <w:instrText xml:space="preserve"> PAGEREF _Toc220974343 \h </w:instrText>
            </w:r>
            <w:r>
              <w:rPr>
                <w:noProof/>
                <w:webHidden/>
              </w:rPr>
            </w:r>
            <w:r>
              <w:rPr>
                <w:noProof/>
                <w:webHidden/>
              </w:rPr>
              <w:fldChar w:fldCharType="separate"/>
            </w:r>
            <w:r w:rsidR="002D1590">
              <w:rPr>
                <w:noProof/>
                <w:webHidden/>
              </w:rPr>
              <w:t>6</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44" w:history="1">
            <w:r w:rsidR="002D1590" w:rsidRPr="00574FD7">
              <w:rPr>
                <w:rStyle w:val="Hyperlink"/>
                <w:rFonts w:ascii="Times New Roman" w:eastAsia="Times New Roman" w:hAnsi="Times New Roman" w:cs="Times New Roman"/>
                <w:b/>
                <w:bCs/>
                <w:noProof/>
              </w:rPr>
              <w:t>Intention to Create Legal Relations and Capacity</w:t>
            </w:r>
            <w:r w:rsidR="002D1590">
              <w:rPr>
                <w:noProof/>
                <w:webHidden/>
              </w:rPr>
              <w:tab/>
            </w:r>
            <w:r>
              <w:rPr>
                <w:noProof/>
                <w:webHidden/>
              </w:rPr>
              <w:fldChar w:fldCharType="begin"/>
            </w:r>
            <w:r w:rsidR="002D1590">
              <w:rPr>
                <w:noProof/>
                <w:webHidden/>
              </w:rPr>
              <w:instrText xml:space="preserve"> PAGEREF _Toc220974344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45" w:history="1">
            <w:r w:rsidR="002D1590" w:rsidRPr="00574FD7">
              <w:rPr>
                <w:rStyle w:val="Hyperlink"/>
                <w:rFonts w:ascii="Times New Roman" w:eastAsia="Times New Roman" w:hAnsi="Times New Roman" w:cs="Times New Roman"/>
                <w:b/>
                <w:bCs/>
                <w:noProof/>
              </w:rPr>
              <w:t>Types of Adventure Tourism Contracts</w:t>
            </w:r>
            <w:r w:rsidR="002D1590">
              <w:rPr>
                <w:noProof/>
                <w:webHidden/>
              </w:rPr>
              <w:tab/>
            </w:r>
            <w:r>
              <w:rPr>
                <w:noProof/>
                <w:webHidden/>
              </w:rPr>
              <w:fldChar w:fldCharType="begin"/>
            </w:r>
            <w:r w:rsidR="002D1590">
              <w:rPr>
                <w:noProof/>
                <w:webHidden/>
              </w:rPr>
              <w:instrText xml:space="preserve"> PAGEREF _Toc220974345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46" w:history="1">
            <w:r w:rsidR="002D1590" w:rsidRPr="00574FD7">
              <w:rPr>
                <w:rStyle w:val="Hyperlink"/>
                <w:rFonts w:ascii="Times New Roman" w:eastAsia="Times New Roman" w:hAnsi="Times New Roman" w:cs="Times New Roman"/>
                <w:b/>
                <w:bCs/>
                <w:noProof/>
              </w:rPr>
              <w:t>Standard Form Contracts and Unequal Bargaining Power</w:t>
            </w:r>
            <w:r w:rsidR="002D1590">
              <w:rPr>
                <w:noProof/>
                <w:webHidden/>
              </w:rPr>
              <w:tab/>
            </w:r>
            <w:r>
              <w:rPr>
                <w:noProof/>
                <w:webHidden/>
              </w:rPr>
              <w:fldChar w:fldCharType="begin"/>
            </w:r>
            <w:r w:rsidR="002D1590">
              <w:rPr>
                <w:noProof/>
                <w:webHidden/>
              </w:rPr>
              <w:instrText xml:space="preserve"> PAGEREF _Toc220974346 \h </w:instrText>
            </w:r>
            <w:r>
              <w:rPr>
                <w:noProof/>
                <w:webHidden/>
              </w:rPr>
            </w:r>
            <w:r>
              <w:rPr>
                <w:noProof/>
                <w:webHidden/>
              </w:rPr>
              <w:fldChar w:fldCharType="separate"/>
            </w:r>
            <w:r w:rsidR="002D1590">
              <w:rPr>
                <w:noProof/>
                <w:webHidden/>
              </w:rPr>
              <w:t>7</w:t>
            </w:r>
            <w:r>
              <w:rPr>
                <w:noProof/>
                <w:webHidden/>
              </w:rPr>
              <w:fldChar w:fldCharType="end"/>
            </w:r>
          </w:hyperlink>
        </w:p>
        <w:p w:rsidR="002D1590" w:rsidRDefault="00A31AA1">
          <w:pPr>
            <w:pStyle w:val="TOC2"/>
            <w:tabs>
              <w:tab w:val="right" w:leader="dot" w:pos="9350"/>
            </w:tabs>
            <w:rPr>
              <w:rFonts w:eastAsiaTheme="minorEastAsia"/>
              <w:noProof/>
              <w:szCs w:val="20"/>
              <w:lang w:bidi="hi-IN"/>
            </w:rPr>
          </w:pPr>
          <w:hyperlink w:anchor="_Toc220974347" w:history="1">
            <w:r w:rsidR="002D1590" w:rsidRPr="00574FD7">
              <w:rPr>
                <w:rStyle w:val="Hyperlink"/>
                <w:rFonts w:ascii="Times New Roman" w:eastAsia="Times New Roman" w:hAnsi="Times New Roman" w:cs="Times New Roman"/>
                <w:b/>
                <w:bCs/>
                <w:noProof/>
              </w:rPr>
              <w:t>METHODOLOGY</w:t>
            </w:r>
            <w:r w:rsidR="002D1590">
              <w:rPr>
                <w:noProof/>
                <w:webHidden/>
              </w:rPr>
              <w:tab/>
            </w:r>
            <w:r>
              <w:rPr>
                <w:noProof/>
                <w:webHidden/>
              </w:rPr>
              <w:fldChar w:fldCharType="begin"/>
            </w:r>
            <w:r w:rsidR="002D1590">
              <w:rPr>
                <w:noProof/>
                <w:webHidden/>
              </w:rPr>
              <w:instrText xml:space="preserve"> PAGEREF _Toc220974347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48" w:history="1">
            <w:r w:rsidR="002D1590" w:rsidRPr="00574FD7">
              <w:rPr>
                <w:rStyle w:val="Hyperlink"/>
                <w:rFonts w:ascii="Times New Roman" w:eastAsia="Times New Roman" w:hAnsi="Times New Roman" w:cs="Times New Roman"/>
                <w:b/>
                <w:bCs/>
                <w:noProof/>
              </w:rPr>
              <w:t>Research Approach</w:t>
            </w:r>
            <w:r w:rsidR="002D1590">
              <w:rPr>
                <w:noProof/>
                <w:webHidden/>
              </w:rPr>
              <w:tab/>
            </w:r>
            <w:r>
              <w:rPr>
                <w:noProof/>
                <w:webHidden/>
              </w:rPr>
              <w:fldChar w:fldCharType="begin"/>
            </w:r>
            <w:r w:rsidR="002D1590">
              <w:rPr>
                <w:noProof/>
                <w:webHidden/>
              </w:rPr>
              <w:instrText xml:space="preserve"> PAGEREF _Toc220974348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49" w:history="1">
            <w:r w:rsidR="002D1590" w:rsidRPr="00574FD7">
              <w:rPr>
                <w:rStyle w:val="Hyperlink"/>
                <w:rFonts w:ascii="Times New Roman" w:eastAsia="Times New Roman" w:hAnsi="Times New Roman" w:cs="Times New Roman"/>
                <w:b/>
                <w:bCs/>
                <w:noProof/>
              </w:rPr>
              <w:t>Sources of Data</w:t>
            </w:r>
            <w:r w:rsidR="002D1590">
              <w:rPr>
                <w:noProof/>
                <w:webHidden/>
              </w:rPr>
              <w:tab/>
            </w:r>
            <w:r>
              <w:rPr>
                <w:noProof/>
                <w:webHidden/>
              </w:rPr>
              <w:fldChar w:fldCharType="begin"/>
            </w:r>
            <w:r w:rsidR="002D1590">
              <w:rPr>
                <w:noProof/>
                <w:webHidden/>
              </w:rPr>
              <w:instrText xml:space="preserve"> PAGEREF _Toc220974349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50" w:history="1">
            <w:r w:rsidR="002D1590" w:rsidRPr="00574FD7">
              <w:rPr>
                <w:rStyle w:val="Hyperlink"/>
                <w:rFonts w:ascii="Times New Roman" w:eastAsia="Times New Roman" w:hAnsi="Times New Roman" w:cs="Times New Roman"/>
                <w:b/>
                <w:bCs/>
                <w:noProof/>
              </w:rPr>
              <w:t>Analytical Framework</w:t>
            </w:r>
            <w:r w:rsidR="002D1590">
              <w:rPr>
                <w:noProof/>
                <w:webHidden/>
              </w:rPr>
              <w:tab/>
            </w:r>
            <w:r>
              <w:rPr>
                <w:noProof/>
                <w:webHidden/>
              </w:rPr>
              <w:fldChar w:fldCharType="begin"/>
            </w:r>
            <w:r w:rsidR="002D1590">
              <w:rPr>
                <w:noProof/>
                <w:webHidden/>
              </w:rPr>
              <w:instrText xml:space="preserve"> PAGEREF _Toc220974350 \h </w:instrText>
            </w:r>
            <w:r>
              <w:rPr>
                <w:noProof/>
                <w:webHidden/>
              </w:rPr>
            </w:r>
            <w:r>
              <w:rPr>
                <w:noProof/>
                <w:webHidden/>
              </w:rPr>
              <w:fldChar w:fldCharType="separate"/>
            </w:r>
            <w:r w:rsidR="002D1590">
              <w:rPr>
                <w:noProof/>
                <w:webHidden/>
              </w:rPr>
              <w:t>8</w:t>
            </w:r>
            <w:r>
              <w:rPr>
                <w:noProof/>
                <w:webHidden/>
              </w:rPr>
              <w:fldChar w:fldCharType="end"/>
            </w:r>
          </w:hyperlink>
        </w:p>
        <w:p w:rsidR="002D1590" w:rsidRDefault="00A31AA1">
          <w:pPr>
            <w:pStyle w:val="TOC2"/>
            <w:tabs>
              <w:tab w:val="right" w:leader="dot" w:pos="9350"/>
            </w:tabs>
            <w:rPr>
              <w:rFonts w:eastAsiaTheme="minorEastAsia"/>
              <w:noProof/>
              <w:szCs w:val="20"/>
              <w:lang w:bidi="hi-IN"/>
            </w:rPr>
          </w:pPr>
          <w:hyperlink w:anchor="_Toc220974351" w:history="1">
            <w:r w:rsidR="002D1590" w:rsidRPr="00574FD7">
              <w:rPr>
                <w:rStyle w:val="Hyperlink"/>
                <w:rFonts w:ascii="Times New Roman" w:eastAsia="Times New Roman" w:hAnsi="Times New Roman" w:cs="Times New Roman"/>
                <w:b/>
                <w:bCs/>
                <w:noProof/>
              </w:rPr>
              <w:t>FINDINGS</w:t>
            </w:r>
            <w:r w:rsidR="002D1590">
              <w:rPr>
                <w:noProof/>
                <w:webHidden/>
              </w:rPr>
              <w:tab/>
            </w:r>
            <w:r>
              <w:rPr>
                <w:noProof/>
                <w:webHidden/>
              </w:rPr>
              <w:fldChar w:fldCharType="begin"/>
            </w:r>
            <w:r w:rsidR="002D1590">
              <w:rPr>
                <w:noProof/>
                <w:webHidden/>
              </w:rPr>
              <w:instrText xml:space="preserve"> PAGEREF _Toc220974351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52" w:history="1">
            <w:r w:rsidR="002D1590" w:rsidRPr="00574FD7">
              <w:rPr>
                <w:rStyle w:val="Hyperlink"/>
                <w:rFonts w:ascii="Times New Roman" w:eastAsia="Times New Roman" w:hAnsi="Times New Roman" w:cs="Times New Roman"/>
                <w:b/>
                <w:bCs/>
                <w:noProof/>
              </w:rPr>
              <w:t>Participant Awareness and Informed Consent</w:t>
            </w:r>
            <w:r w:rsidR="002D1590">
              <w:rPr>
                <w:noProof/>
                <w:webHidden/>
              </w:rPr>
              <w:tab/>
            </w:r>
            <w:r>
              <w:rPr>
                <w:noProof/>
                <w:webHidden/>
              </w:rPr>
              <w:fldChar w:fldCharType="begin"/>
            </w:r>
            <w:r w:rsidR="002D1590">
              <w:rPr>
                <w:noProof/>
                <w:webHidden/>
              </w:rPr>
              <w:instrText xml:space="preserve"> PAGEREF _Toc220974352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53" w:history="1">
            <w:r w:rsidR="002D1590" w:rsidRPr="00574FD7">
              <w:rPr>
                <w:rStyle w:val="Hyperlink"/>
                <w:rFonts w:ascii="Times New Roman" w:eastAsia="Times New Roman" w:hAnsi="Times New Roman" w:cs="Times New Roman"/>
                <w:b/>
                <w:bCs/>
                <w:noProof/>
              </w:rPr>
              <w:t>Operator Compliance with Safety Obligations</w:t>
            </w:r>
            <w:r w:rsidR="002D1590">
              <w:rPr>
                <w:noProof/>
                <w:webHidden/>
              </w:rPr>
              <w:tab/>
            </w:r>
            <w:r>
              <w:rPr>
                <w:noProof/>
                <w:webHidden/>
              </w:rPr>
              <w:fldChar w:fldCharType="begin"/>
            </w:r>
            <w:r w:rsidR="002D1590">
              <w:rPr>
                <w:noProof/>
                <w:webHidden/>
              </w:rPr>
              <w:instrText xml:space="preserve"> PAGEREF _Toc220974353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54" w:history="1">
            <w:r w:rsidR="002D1590" w:rsidRPr="00574FD7">
              <w:rPr>
                <w:rStyle w:val="Hyperlink"/>
                <w:rFonts w:ascii="Times New Roman" w:eastAsia="Times New Roman" w:hAnsi="Times New Roman" w:cs="Times New Roman"/>
                <w:b/>
                <w:bCs/>
                <w:noProof/>
              </w:rPr>
              <w:t>Unequal Bargaining Power and Contractual Fairness</w:t>
            </w:r>
            <w:r w:rsidR="002D1590">
              <w:rPr>
                <w:noProof/>
                <w:webHidden/>
              </w:rPr>
              <w:tab/>
            </w:r>
            <w:r>
              <w:rPr>
                <w:noProof/>
                <w:webHidden/>
              </w:rPr>
              <w:fldChar w:fldCharType="begin"/>
            </w:r>
            <w:r w:rsidR="002D1590">
              <w:rPr>
                <w:noProof/>
                <w:webHidden/>
              </w:rPr>
              <w:instrText xml:space="preserve"> PAGEREF _Toc220974354 \h </w:instrText>
            </w:r>
            <w:r>
              <w:rPr>
                <w:noProof/>
                <w:webHidden/>
              </w:rPr>
            </w:r>
            <w:r>
              <w:rPr>
                <w:noProof/>
                <w:webHidden/>
              </w:rPr>
              <w:fldChar w:fldCharType="separate"/>
            </w:r>
            <w:r w:rsidR="002D1590">
              <w:rPr>
                <w:noProof/>
                <w:webHidden/>
              </w:rPr>
              <w:t>9</w:t>
            </w:r>
            <w:r>
              <w:rPr>
                <w:noProof/>
                <w:webHidden/>
              </w:rPr>
              <w:fldChar w:fldCharType="end"/>
            </w:r>
          </w:hyperlink>
        </w:p>
        <w:p w:rsidR="002D1590" w:rsidRDefault="00A31AA1">
          <w:pPr>
            <w:pStyle w:val="TOC2"/>
            <w:tabs>
              <w:tab w:val="right" w:leader="dot" w:pos="9350"/>
            </w:tabs>
            <w:rPr>
              <w:rFonts w:eastAsiaTheme="minorEastAsia"/>
              <w:noProof/>
              <w:szCs w:val="20"/>
              <w:lang w:bidi="hi-IN"/>
            </w:rPr>
          </w:pPr>
          <w:hyperlink w:anchor="_Toc220974355" w:history="1">
            <w:r w:rsidR="002D1590" w:rsidRPr="00574FD7">
              <w:rPr>
                <w:rStyle w:val="Hyperlink"/>
                <w:rFonts w:ascii="Times New Roman" w:eastAsia="Times New Roman" w:hAnsi="Times New Roman" w:cs="Times New Roman"/>
                <w:b/>
                <w:bCs/>
                <w:noProof/>
              </w:rPr>
              <w:t>REAL-WORLD CONTRACT DISPUTES IN ADVENTURE TOURISM</w:t>
            </w:r>
            <w:r w:rsidR="002D1590">
              <w:rPr>
                <w:noProof/>
                <w:webHidden/>
              </w:rPr>
              <w:tab/>
            </w:r>
            <w:r>
              <w:rPr>
                <w:noProof/>
                <w:webHidden/>
              </w:rPr>
              <w:fldChar w:fldCharType="begin"/>
            </w:r>
            <w:r w:rsidR="002D1590">
              <w:rPr>
                <w:noProof/>
                <w:webHidden/>
              </w:rPr>
              <w:instrText xml:space="preserve"> PAGEREF _Toc220974355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56" w:history="1">
            <w:r w:rsidR="002D1590" w:rsidRPr="00574FD7">
              <w:rPr>
                <w:rStyle w:val="Hyperlink"/>
                <w:rFonts w:ascii="Times New Roman" w:eastAsia="Times New Roman" w:hAnsi="Times New Roman" w:cs="Times New Roman"/>
                <w:b/>
                <w:bCs/>
                <w:noProof/>
              </w:rPr>
              <w:t>Case Study 1: Injury Claims and Liability Waivers</w:t>
            </w:r>
            <w:r w:rsidR="002D1590">
              <w:rPr>
                <w:noProof/>
                <w:webHidden/>
              </w:rPr>
              <w:tab/>
            </w:r>
            <w:r>
              <w:rPr>
                <w:noProof/>
                <w:webHidden/>
              </w:rPr>
              <w:fldChar w:fldCharType="begin"/>
            </w:r>
            <w:r w:rsidR="002D1590">
              <w:rPr>
                <w:noProof/>
                <w:webHidden/>
              </w:rPr>
              <w:instrText xml:space="preserve"> PAGEREF _Toc220974356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57" w:history="1">
            <w:r w:rsidR="002D1590" w:rsidRPr="00574FD7">
              <w:rPr>
                <w:rStyle w:val="Hyperlink"/>
                <w:rFonts w:ascii="Times New Roman" w:eastAsia="Times New Roman" w:hAnsi="Times New Roman" w:cs="Times New Roman"/>
                <w:b/>
                <w:bCs/>
                <w:noProof/>
              </w:rPr>
              <w:t>Case Study 2: Misrepresentation of Risk</w:t>
            </w:r>
            <w:r w:rsidR="002D1590">
              <w:rPr>
                <w:noProof/>
                <w:webHidden/>
              </w:rPr>
              <w:tab/>
            </w:r>
            <w:r>
              <w:rPr>
                <w:noProof/>
                <w:webHidden/>
              </w:rPr>
              <w:fldChar w:fldCharType="begin"/>
            </w:r>
            <w:r w:rsidR="002D1590">
              <w:rPr>
                <w:noProof/>
                <w:webHidden/>
              </w:rPr>
              <w:instrText xml:space="preserve"> PAGEREF _Toc220974357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58" w:history="1">
            <w:r w:rsidR="002D1590" w:rsidRPr="00574FD7">
              <w:rPr>
                <w:rStyle w:val="Hyperlink"/>
                <w:rFonts w:ascii="Times New Roman" w:eastAsia="Times New Roman" w:hAnsi="Times New Roman" w:cs="Times New Roman"/>
                <w:b/>
                <w:bCs/>
                <w:noProof/>
              </w:rPr>
              <w:t>Case Study 3: Equipment Failure and Operator Responsibility</w:t>
            </w:r>
            <w:r w:rsidR="002D1590">
              <w:rPr>
                <w:noProof/>
                <w:webHidden/>
              </w:rPr>
              <w:tab/>
            </w:r>
            <w:r>
              <w:rPr>
                <w:noProof/>
                <w:webHidden/>
              </w:rPr>
              <w:fldChar w:fldCharType="begin"/>
            </w:r>
            <w:r w:rsidR="002D1590">
              <w:rPr>
                <w:noProof/>
                <w:webHidden/>
              </w:rPr>
              <w:instrText xml:space="preserve"> PAGEREF _Toc220974358 \h </w:instrText>
            </w:r>
            <w:r>
              <w:rPr>
                <w:noProof/>
                <w:webHidden/>
              </w:rPr>
            </w:r>
            <w:r>
              <w:rPr>
                <w:noProof/>
                <w:webHidden/>
              </w:rPr>
              <w:fldChar w:fldCharType="separate"/>
            </w:r>
            <w:r w:rsidR="002D1590">
              <w:rPr>
                <w:noProof/>
                <w:webHidden/>
              </w:rPr>
              <w:t>10</w:t>
            </w:r>
            <w:r>
              <w:rPr>
                <w:noProof/>
                <w:webHidden/>
              </w:rPr>
              <w:fldChar w:fldCharType="end"/>
            </w:r>
          </w:hyperlink>
        </w:p>
        <w:p w:rsidR="002D1590" w:rsidRDefault="00A31AA1">
          <w:pPr>
            <w:pStyle w:val="TOC2"/>
            <w:tabs>
              <w:tab w:val="right" w:leader="dot" w:pos="9350"/>
            </w:tabs>
            <w:rPr>
              <w:rFonts w:eastAsiaTheme="minorEastAsia"/>
              <w:noProof/>
              <w:szCs w:val="20"/>
              <w:lang w:bidi="hi-IN"/>
            </w:rPr>
          </w:pPr>
          <w:hyperlink w:anchor="_Toc220974359" w:history="1">
            <w:r w:rsidR="002D1590" w:rsidRPr="00574FD7">
              <w:rPr>
                <w:rStyle w:val="Hyperlink"/>
                <w:rFonts w:ascii="Times New Roman" w:eastAsia="Times New Roman" w:hAnsi="Times New Roman" w:cs="Times New Roman"/>
                <w:b/>
                <w:bCs/>
                <w:noProof/>
              </w:rPr>
              <w:t>REMEDIES AVAILABLE UNDER CONTRACT LAW</w:t>
            </w:r>
            <w:r w:rsidR="002D1590">
              <w:rPr>
                <w:noProof/>
                <w:webHidden/>
              </w:rPr>
              <w:tab/>
            </w:r>
            <w:r>
              <w:rPr>
                <w:noProof/>
                <w:webHidden/>
              </w:rPr>
              <w:fldChar w:fldCharType="begin"/>
            </w:r>
            <w:r w:rsidR="002D1590">
              <w:rPr>
                <w:noProof/>
                <w:webHidden/>
              </w:rPr>
              <w:instrText xml:space="preserve"> PAGEREF _Toc220974359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A31AA1">
          <w:pPr>
            <w:pStyle w:val="TOC2"/>
            <w:tabs>
              <w:tab w:val="right" w:leader="dot" w:pos="9350"/>
            </w:tabs>
            <w:rPr>
              <w:rFonts w:eastAsiaTheme="minorEastAsia"/>
              <w:noProof/>
              <w:szCs w:val="20"/>
              <w:lang w:bidi="hi-IN"/>
            </w:rPr>
          </w:pPr>
          <w:hyperlink w:anchor="_Toc220974362" w:history="1">
            <w:r w:rsidR="002D1590" w:rsidRPr="00574FD7">
              <w:rPr>
                <w:rStyle w:val="Hyperlink"/>
                <w:rFonts w:ascii="Times New Roman" w:eastAsia="Times New Roman" w:hAnsi="Times New Roman" w:cs="Times New Roman"/>
                <w:b/>
                <w:bCs/>
                <w:noProof/>
              </w:rPr>
              <w:t>DISCUSSION</w:t>
            </w:r>
            <w:r w:rsidR="002D1590">
              <w:rPr>
                <w:noProof/>
                <w:webHidden/>
              </w:rPr>
              <w:tab/>
            </w:r>
            <w:r>
              <w:rPr>
                <w:noProof/>
                <w:webHidden/>
              </w:rPr>
              <w:fldChar w:fldCharType="begin"/>
            </w:r>
            <w:r w:rsidR="002D1590">
              <w:rPr>
                <w:noProof/>
                <w:webHidden/>
              </w:rPr>
              <w:instrText xml:space="preserve"> PAGEREF _Toc220974362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63" w:history="1">
            <w:r w:rsidR="002D1590" w:rsidRPr="00574FD7">
              <w:rPr>
                <w:rStyle w:val="Hyperlink"/>
                <w:rFonts w:ascii="Times New Roman" w:eastAsia="Times New Roman" w:hAnsi="Times New Roman" w:cs="Times New Roman"/>
                <w:b/>
                <w:bCs/>
                <w:noProof/>
              </w:rPr>
              <w:t>Effectiveness of Contract Law in Adventure Tourism</w:t>
            </w:r>
            <w:r w:rsidR="002D1590">
              <w:rPr>
                <w:noProof/>
                <w:webHidden/>
              </w:rPr>
              <w:tab/>
            </w:r>
            <w:r>
              <w:rPr>
                <w:noProof/>
                <w:webHidden/>
              </w:rPr>
              <w:fldChar w:fldCharType="begin"/>
            </w:r>
            <w:r w:rsidR="002D1590">
              <w:rPr>
                <w:noProof/>
                <w:webHidden/>
              </w:rPr>
              <w:instrText xml:space="preserve"> PAGEREF _Toc220974363 \h </w:instrText>
            </w:r>
            <w:r>
              <w:rPr>
                <w:noProof/>
                <w:webHidden/>
              </w:rPr>
            </w:r>
            <w:r>
              <w:rPr>
                <w:noProof/>
                <w:webHidden/>
              </w:rPr>
              <w:fldChar w:fldCharType="separate"/>
            </w:r>
            <w:r w:rsidR="002D1590">
              <w:rPr>
                <w:noProof/>
                <w:webHidden/>
              </w:rPr>
              <w:t>11</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64" w:history="1">
            <w:r w:rsidR="002D1590" w:rsidRPr="00574FD7">
              <w:rPr>
                <w:rStyle w:val="Hyperlink"/>
                <w:rFonts w:ascii="Times New Roman" w:eastAsia="Times New Roman" w:hAnsi="Times New Roman" w:cs="Times New Roman"/>
                <w:b/>
                <w:bCs/>
                <w:noProof/>
              </w:rPr>
              <w:t>Judicial Scrutiny of Liability Waivers</w:t>
            </w:r>
            <w:r w:rsidR="002D1590">
              <w:rPr>
                <w:noProof/>
                <w:webHidden/>
              </w:rPr>
              <w:tab/>
            </w:r>
            <w:r>
              <w:rPr>
                <w:noProof/>
                <w:webHidden/>
              </w:rPr>
              <w:fldChar w:fldCharType="begin"/>
            </w:r>
            <w:r w:rsidR="002D1590">
              <w:rPr>
                <w:noProof/>
                <w:webHidden/>
              </w:rPr>
              <w:instrText xml:space="preserve"> PAGEREF _Toc220974364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65" w:history="1">
            <w:r w:rsidR="002D1590" w:rsidRPr="00574FD7">
              <w:rPr>
                <w:rStyle w:val="Hyperlink"/>
                <w:rFonts w:ascii="Times New Roman" w:eastAsia="Times New Roman" w:hAnsi="Times New Roman" w:cs="Times New Roman"/>
                <w:b/>
                <w:bCs/>
                <w:noProof/>
              </w:rPr>
              <w:t>Implications for Adventure Tourism Operators</w:t>
            </w:r>
            <w:r w:rsidR="002D1590">
              <w:rPr>
                <w:noProof/>
                <w:webHidden/>
              </w:rPr>
              <w:tab/>
            </w:r>
            <w:r>
              <w:rPr>
                <w:noProof/>
                <w:webHidden/>
              </w:rPr>
              <w:fldChar w:fldCharType="begin"/>
            </w:r>
            <w:r w:rsidR="002D1590">
              <w:rPr>
                <w:noProof/>
                <w:webHidden/>
              </w:rPr>
              <w:instrText xml:space="preserve"> PAGEREF _Toc220974365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A31AA1">
          <w:pPr>
            <w:pStyle w:val="TOC3"/>
            <w:tabs>
              <w:tab w:val="right" w:leader="dot" w:pos="9350"/>
            </w:tabs>
            <w:rPr>
              <w:rFonts w:eastAsiaTheme="minorEastAsia"/>
              <w:noProof/>
              <w:szCs w:val="20"/>
              <w:lang w:bidi="hi-IN"/>
            </w:rPr>
          </w:pPr>
          <w:hyperlink w:anchor="_Toc220974366" w:history="1">
            <w:r w:rsidR="002D1590" w:rsidRPr="00574FD7">
              <w:rPr>
                <w:rStyle w:val="Hyperlink"/>
                <w:rFonts w:ascii="Times New Roman" w:eastAsia="Times New Roman" w:hAnsi="Times New Roman" w:cs="Times New Roman"/>
                <w:b/>
                <w:bCs/>
                <w:noProof/>
              </w:rPr>
              <w:t>Broader Implications for Tourism Law</w:t>
            </w:r>
            <w:r w:rsidR="002D1590">
              <w:rPr>
                <w:noProof/>
                <w:webHidden/>
              </w:rPr>
              <w:tab/>
            </w:r>
            <w:r>
              <w:rPr>
                <w:noProof/>
                <w:webHidden/>
              </w:rPr>
              <w:fldChar w:fldCharType="begin"/>
            </w:r>
            <w:r w:rsidR="002D1590">
              <w:rPr>
                <w:noProof/>
                <w:webHidden/>
              </w:rPr>
              <w:instrText xml:space="preserve"> PAGEREF _Toc220974366 \h </w:instrText>
            </w:r>
            <w:r>
              <w:rPr>
                <w:noProof/>
                <w:webHidden/>
              </w:rPr>
            </w:r>
            <w:r>
              <w:rPr>
                <w:noProof/>
                <w:webHidden/>
              </w:rPr>
              <w:fldChar w:fldCharType="separate"/>
            </w:r>
            <w:r w:rsidR="002D1590">
              <w:rPr>
                <w:noProof/>
                <w:webHidden/>
              </w:rPr>
              <w:t>12</w:t>
            </w:r>
            <w:r>
              <w:rPr>
                <w:noProof/>
                <w:webHidden/>
              </w:rPr>
              <w:fldChar w:fldCharType="end"/>
            </w:r>
          </w:hyperlink>
        </w:p>
        <w:p w:rsidR="002D1590" w:rsidRDefault="00A31AA1">
          <w:pPr>
            <w:pStyle w:val="TOC2"/>
            <w:tabs>
              <w:tab w:val="right" w:leader="dot" w:pos="9350"/>
            </w:tabs>
            <w:rPr>
              <w:rFonts w:eastAsiaTheme="minorEastAsia"/>
              <w:noProof/>
              <w:szCs w:val="20"/>
              <w:lang w:bidi="hi-IN"/>
            </w:rPr>
          </w:pPr>
          <w:hyperlink w:anchor="_Toc220974367" w:history="1">
            <w:r w:rsidR="002D1590" w:rsidRPr="00574FD7">
              <w:rPr>
                <w:rStyle w:val="Hyperlink"/>
                <w:rFonts w:ascii="Times New Roman" w:eastAsia="Times New Roman" w:hAnsi="Times New Roman" w:cs="Times New Roman"/>
                <w:b/>
                <w:bCs/>
                <w:noProof/>
              </w:rPr>
              <w:t>CONCLUSION</w:t>
            </w:r>
            <w:r w:rsidR="002D1590">
              <w:rPr>
                <w:noProof/>
                <w:webHidden/>
              </w:rPr>
              <w:tab/>
            </w:r>
            <w:r>
              <w:rPr>
                <w:noProof/>
                <w:webHidden/>
              </w:rPr>
              <w:fldChar w:fldCharType="begin"/>
            </w:r>
            <w:r w:rsidR="002D1590">
              <w:rPr>
                <w:noProof/>
                <w:webHidden/>
              </w:rPr>
              <w:instrText xml:space="preserve"> PAGEREF _Toc220974367 \h </w:instrText>
            </w:r>
            <w:r>
              <w:rPr>
                <w:noProof/>
                <w:webHidden/>
              </w:rPr>
            </w:r>
            <w:r>
              <w:rPr>
                <w:noProof/>
                <w:webHidden/>
              </w:rPr>
              <w:fldChar w:fldCharType="separate"/>
            </w:r>
            <w:r w:rsidR="002D1590">
              <w:rPr>
                <w:noProof/>
                <w:webHidden/>
              </w:rPr>
              <w:t>13</w:t>
            </w:r>
            <w:r>
              <w:rPr>
                <w:noProof/>
                <w:webHidden/>
              </w:rPr>
              <w:fldChar w:fldCharType="end"/>
            </w:r>
          </w:hyperlink>
        </w:p>
        <w:p w:rsidR="002D1590" w:rsidRDefault="00A31AA1">
          <w:pPr>
            <w:pStyle w:val="TOC2"/>
            <w:tabs>
              <w:tab w:val="right" w:leader="dot" w:pos="9350"/>
            </w:tabs>
            <w:rPr>
              <w:rFonts w:eastAsiaTheme="minorEastAsia"/>
              <w:noProof/>
              <w:szCs w:val="20"/>
              <w:lang w:bidi="hi-IN"/>
            </w:rPr>
          </w:pPr>
          <w:hyperlink w:anchor="_Toc220974368" w:history="1">
            <w:r w:rsidR="002D1590" w:rsidRPr="00574FD7">
              <w:rPr>
                <w:rStyle w:val="Hyperlink"/>
                <w:rFonts w:ascii="Times New Roman" w:eastAsia="Times New Roman" w:hAnsi="Times New Roman" w:cs="Times New Roman"/>
                <w:b/>
                <w:bCs/>
                <w:noProof/>
              </w:rPr>
              <w:t>REFERENCES</w:t>
            </w:r>
            <w:r w:rsidR="002D1590">
              <w:rPr>
                <w:noProof/>
                <w:webHidden/>
              </w:rPr>
              <w:tab/>
            </w:r>
            <w:r>
              <w:rPr>
                <w:noProof/>
                <w:webHidden/>
              </w:rPr>
              <w:fldChar w:fldCharType="begin"/>
            </w:r>
            <w:r w:rsidR="002D1590">
              <w:rPr>
                <w:noProof/>
                <w:webHidden/>
              </w:rPr>
              <w:instrText xml:space="preserve"> PAGEREF _Toc220974368 \h </w:instrText>
            </w:r>
            <w:r>
              <w:rPr>
                <w:noProof/>
                <w:webHidden/>
              </w:rPr>
            </w:r>
            <w:r>
              <w:rPr>
                <w:noProof/>
                <w:webHidden/>
              </w:rPr>
              <w:fldChar w:fldCharType="separate"/>
            </w:r>
            <w:r w:rsidR="002D1590">
              <w:rPr>
                <w:noProof/>
                <w:webHidden/>
              </w:rPr>
              <w:t>14</w:t>
            </w:r>
            <w:r>
              <w:rPr>
                <w:noProof/>
                <w:webHidden/>
              </w:rPr>
              <w:fldChar w:fldCharType="end"/>
            </w:r>
          </w:hyperlink>
        </w:p>
        <w:p w:rsidR="00104B14" w:rsidRDefault="00A31AA1">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4338"/>
      <w:r w:rsidRPr="00634A74">
        <w:rPr>
          <w:rFonts w:ascii="Times New Roman" w:eastAsia="Times New Roman" w:hAnsi="Times New Roman" w:cs="Times New Roman"/>
          <w:b/>
          <w:bCs/>
          <w:sz w:val="36"/>
          <w:szCs w:val="36"/>
          <w:lang w:bidi="hi-IN"/>
        </w:rPr>
        <w:lastRenderedPageBreak/>
        <w:t>ABSTRACT</w:t>
      </w:r>
      <w:bookmarkEnd w:id="0"/>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Adventure tourism has emerged as a rapidly expanding segment of the global tourism industry, offering a wide range of high-risk recreational activities such as trekking, scuba diving, rafting, skydiving, and mountaineering. The inherent physical risks associated with these activities create complex legal relationships between adventure tourism operators and participants. As a result, contractual arrangements in this sector are heavily influenced by liability waivers and exclusion clauses that seek to allocate risk and limit the legal responsibility of service providers.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This assignment examines the role of contract law in regulating adventure tourism, with a specific focus on contracts formed between adventure tour operators and participants. It analyses the essential elements of a valid contract, including offer, acceptance, consideration, and intention to create legal relations, in the context of high-risk tourism activities. Particular attention is given to the structure and content of liability waivers and their function as risk management tools within adventure tourism contracts.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The study further critically evaluates key contractual issues such as assumption of risk, negligence, misrepresentation, and unequal bargaining power. It explores how these factors affect the enforceability of liability waivers and the extent to which participants can be deemed to have given informed consent. Through a doctrinal research methodology supported by legal literature and relevant case law, the assignment assesses how courts interpret and apply contractual principles in disputes arising from adventure tourism activities.</w:t>
      </w:r>
    </w:p>
    <w:p w:rsidR="002D1590" w:rsidRPr="002D1590" w:rsidRDefault="002D1590" w:rsidP="002D1590">
      <w:pPr>
        <w:spacing w:before="100" w:beforeAutospacing="1" w:after="100" w:afterAutospacing="1" w:line="240" w:lineRule="auto"/>
        <w:rPr>
          <w:rFonts w:ascii="Times New Roman" w:eastAsia="Times New Roman" w:hAnsi="Times New Roman" w:cs="Times New Roman"/>
          <w:sz w:val="24"/>
          <w:szCs w:val="24"/>
          <w:lang w:bidi="hi-IN"/>
        </w:rPr>
      </w:pPr>
      <w:r w:rsidRPr="002D1590">
        <w:rPr>
          <w:rFonts w:ascii="Times New Roman" w:eastAsia="Times New Roman" w:hAnsi="Times New Roman" w:cs="Times New Roman"/>
          <w:sz w:val="24"/>
          <w:szCs w:val="24"/>
          <w:lang w:bidi="hi-IN"/>
        </w:rPr>
        <w:t>The findings suggest that while contract law permits a degree of risk allocation through liability waivers, judicial intervention is common where contractual terms are unclear, unfair, or contrary to public policy. Courts frequently restrict the enforcement of exclusion clauses that attempt to absolve operators from negligence or inadequate safety standards. The study concludes that transparent contractual practices, clear risk disclosure, and informed participant consent are essential for ensuring fairness, accountability, and legal certainty in adventure tourism contracts.</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4339"/>
      <w:r w:rsidRPr="00634A74">
        <w:rPr>
          <w:rFonts w:ascii="Times New Roman" w:eastAsia="Times New Roman" w:hAnsi="Times New Roman" w:cs="Times New Roman"/>
          <w:b/>
          <w:bCs/>
          <w:sz w:val="36"/>
          <w:szCs w:val="36"/>
          <w:lang w:bidi="hi-IN"/>
        </w:rPr>
        <w:t>INTRODUCTION</w:t>
      </w:r>
      <w:bookmarkEnd w:id="1"/>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Adventure tourism has become one of the most dynamic and profitable segments of the tourism industry, attracting travelers seeking unique, challenging, and high-adrenaline experiences. Activities such as bungee jumping, scuba diving, white-water rafting, zip-lining, and mountain trekking are now widely marketed as recreational tourism products (Sharpley, 2018). Due to the physical risks associated with these activities, adventure tourism relies heavily on contractual agreements to allocate responsibility and manage legal liability. Contract law therefore plays a central role in regulating relationships between adventure tour operators and participants.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Unlike conventional tourism services, adventure tourism involves an elevated risk of injury or loss. As a result, tour operators frequently require participants to sign liability waivers and assumption-of-risk agreements as a condition of participation (Dickerson, 2019). These contracts </w:t>
      </w:r>
      <w:r w:rsidRPr="00634A74">
        <w:rPr>
          <w:rFonts w:ascii="Times New Roman" w:eastAsia="Times New Roman" w:hAnsi="Times New Roman" w:cs="Times New Roman"/>
          <w:sz w:val="24"/>
          <w:szCs w:val="24"/>
          <w:lang w:bidi="hi-IN"/>
        </w:rPr>
        <w:lastRenderedPageBreak/>
        <w:t>seek to limit or exclude the operator’s liability in the event of accidents or injuries. However, the enforceability of such waivers depends on fundamental principles of contract law, including consent, fairness, and public policy considerations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increasing commercialization of adventure tourism has raised important legal and ethical questions regarding consumer protection. Tourists often participate in adventure activities without fully understanding the legal consequences of signing liability waivers or the extent of risks involved (Mason &amp; Bohdanowicz, 2020). Courts are therefore frequently called upon to determine whether such contracts are valid, enforceable, and consistent with principles of fairness and reasonable care.</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This assignment examines the role of contract law in the tourism industry by focusing on adventure tourism contracts and liability waivers. The objectives of the study are threefold. First, it analyzes the essential elements required to form a valid adventure tourism contract. Second, it examines the legal status and enforceability of liability waivers used by adventure tour operators. Third, it evaluates how contract law addresses disputes arising from injury, negligence, and misrepresentation in adventure tourism. Through this analysis, the assignment highlights the importance of contract law in balancing risk allocation with consumer protection in high-risk tourism activities.</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4340"/>
      <w:r w:rsidRPr="00634A74">
        <w:rPr>
          <w:rFonts w:ascii="Times New Roman" w:eastAsia="Times New Roman" w:hAnsi="Times New Roman" w:cs="Times New Roman"/>
          <w:b/>
          <w:bCs/>
          <w:sz w:val="36"/>
          <w:szCs w:val="36"/>
          <w:lang w:bidi="hi-IN"/>
        </w:rPr>
        <w:t>LITERATURE REVIEW</w:t>
      </w:r>
      <w:bookmarkEnd w:id="2"/>
      <w:r w:rsidRPr="00634A74">
        <w:rPr>
          <w:rFonts w:ascii="Times New Roman" w:eastAsia="Times New Roman" w:hAnsi="Times New Roman" w:cs="Times New Roman"/>
          <w:b/>
          <w:bCs/>
          <w:sz w:val="36"/>
          <w:szCs w:val="36"/>
          <w:lang w:bidi="hi-IN"/>
        </w:rPr>
        <w:t xml:space="preserve"> </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4341"/>
      <w:r w:rsidRPr="00634A74">
        <w:rPr>
          <w:rFonts w:ascii="Times New Roman" w:eastAsia="Times New Roman" w:hAnsi="Times New Roman" w:cs="Times New Roman"/>
          <w:b/>
          <w:bCs/>
          <w:sz w:val="27"/>
          <w:szCs w:val="27"/>
          <w:lang w:bidi="hi-IN"/>
        </w:rPr>
        <w:t>Contract Law and Adventure Tourism</w:t>
      </w:r>
      <w:bookmarkEnd w:id="3"/>
    </w:p>
    <w:p w:rsidR="002D1590" w:rsidRDefault="002D1590" w:rsidP="002D1590">
      <w:pPr>
        <w:pStyle w:val="NormalWeb"/>
      </w:pPr>
      <w:r>
        <w:t>Academic literature consistently identifies adventure tourism as a legally complex sector due to the inherent risks associated with high-intensity recreational activities. Unlike conventional tourism services, adventure tourism frequently exposes participants to physical danger, creating heightened legal responsibilities for service providers. As a result, contractual arrangements in this sector are subject to closer legal scrutiny, particularly when they involve liability waivers and exclusion clauses intended to limit the responsibility of operators.</w:t>
      </w:r>
    </w:p>
    <w:p w:rsidR="002D1590" w:rsidRDefault="002D1590" w:rsidP="002D1590">
      <w:pPr>
        <w:pStyle w:val="NormalWeb"/>
      </w:pPr>
      <w:r>
        <w:t>Dickerson (2019) highlights that adventure tourism contracts differ significantly from traditional tourism agreements because they often require participants to explicitly acknowledge and accept the risks involved in the activity. These acknowledgements raise important legal questions regarding the validity of consent, especially when participants may not fully understand the nature or extent of the risks they are accepting. Contract law therefore plays a critical role in determining whether such acknowledgements represent informed and voluntary consent or constitute an unfair attempt to exclude liability.</w:t>
      </w:r>
    </w:p>
    <w:p w:rsidR="002D1590" w:rsidRDefault="002D1590" w:rsidP="002D1590">
      <w:pPr>
        <w:pStyle w:val="NormalWeb"/>
      </w:pPr>
      <w:r>
        <w:t xml:space="preserve">Sharpley (2018) further argues that adventure tourism contracts test the boundaries of contractual freedom, particularly in situations where consumers have limited bargaining power and little opportunity to negotiate contractual terms. Many adventure tourism agreements are presented as standard form contracts containing complex legal language, which can undermine transparency </w:t>
      </w:r>
      <w:r>
        <w:lastRenderedPageBreak/>
        <w:t>and informed decision-making. This imbalance challenges the assumption that all parties enter into contracts on equal footing.</w:t>
      </w:r>
    </w:p>
    <w:p w:rsidR="002D1590" w:rsidRDefault="002D1590" w:rsidP="002D1590">
      <w:pPr>
        <w:pStyle w:val="NormalWeb"/>
      </w:pPr>
      <w:r>
        <w:t>Judicial responses to these issues have increasingly reflected a protective approach towards consumers. Courts have recognised that while risk-taking is an inherent and accepted element of adventure tourism, operators cannot rely on contractual exclusions to avoid liability for negligence or failure to maintain adequate safety standards (Poole, 2020). This judicial stance reinforces the principle that contractual freedom must be balanced with public policy considerations, ensuring that participant safety and fairness remain central to adventure tourism contracts.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4342"/>
      <w:r w:rsidRPr="00634A74">
        <w:rPr>
          <w:rFonts w:ascii="Times New Roman" w:eastAsia="Times New Roman" w:hAnsi="Times New Roman" w:cs="Times New Roman"/>
          <w:b/>
          <w:bCs/>
          <w:sz w:val="27"/>
          <w:szCs w:val="27"/>
          <w:lang w:bidi="hi-IN"/>
        </w:rPr>
        <w:t>Liability Waivers and Consumer Protection</w:t>
      </w:r>
      <w:bookmarkEnd w:id="4"/>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Liability waivers are among the most controversial contractual tools used in adventure tourism. Mason and Bohdanowicz (2020) note that waivers are typically presented as standard form contracts, leaving participants little choice but to accept the terms if they wish to participate. From a contractual perspective, the enforceability of such waivers depends on factors such as clarity, voluntariness, and compliance with public policy.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Grant and Mason (2018) emphasize that courts often scrutinize adventure tourism waivers more strictly than other commercial contracts. Where waivers are ambiguous, misleading, or fail to adequately disclose risks, courts may refuse to enforce them. This judicial approach reflects a broader effort to balance contractual autonomy with consumer safety in the tourism industry (McKendrick, 2021).</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4343"/>
      <w:r w:rsidRPr="00634A74">
        <w:rPr>
          <w:rFonts w:ascii="Times New Roman" w:eastAsia="Times New Roman" w:hAnsi="Times New Roman" w:cs="Times New Roman"/>
          <w:b/>
          <w:bCs/>
          <w:sz w:val="27"/>
          <w:szCs w:val="27"/>
          <w:lang w:bidi="hi-IN"/>
        </w:rPr>
        <w:t>Essential Elements of a Valid Adventure Tourism Contract</w:t>
      </w:r>
      <w:bookmarkEnd w:id="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formation of a valid adventure tourism contract requires the presence of the essential elements of contract law, namely offer, acceptance, consideration, intention to create legal relations, and legal capacity (McKendrick, 2021). In adventure tourism, these elements are typically embedded within booking confirmations, participation agreements, and liability waiver forms signed prior to engaging in activities. Although these contracts are often presented informally, they are legally binding and enforceable if the necessary elements are satisfied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w:t>
      </w:r>
      <w:r w:rsidRPr="00634A74">
        <w:rPr>
          <w:rFonts w:ascii="Times New Roman" w:eastAsia="Times New Roman" w:hAnsi="Times New Roman" w:cs="Times New Roman"/>
          <w:b/>
          <w:bCs/>
          <w:sz w:val="24"/>
          <w:szCs w:val="24"/>
          <w:lang w:bidi="hi-IN"/>
        </w:rPr>
        <w:t>offer</w:t>
      </w:r>
      <w:r w:rsidRPr="00634A74">
        <w:rPr>
          <w:rFonts w:ascii="Times New Roman" w:eastAsia="Times New Roman" w:hAnsi="Times New Roman" w:cs="Times New Roman"/>
          <w:sz w:val="24"/>
          <w:szCs w:val="24"/>
          <w:lang w:bidi="hi-IN"/>
        </w:rPr>
        <w:t xml:space="preserve"> in adventure tourism contracts is usually made when tour operators advertise specific activities, detailing the nature of the experience, duration, price, and participation requirements. These advertisements may initially constitute invitations to treat; however, a formal offer arises once the operator confirms a participant’s booking and issues contractual documentation (Dickerson, 2019). This distinction becomes significant in disputes where operators attempt to deny responsibility by arguing that no binding offer existed.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Acceptance</w:t>
      </w:r>
      <w:r w:rsidRPr="00634A74">
        <w:rPr>
          <w:rFonts w:ascii="Times New Roman" w:eastAsia="Times New Roman" w:hAnsi="Times New Roman" w:cs="Times New Roman"/>
          <w:sz w:val="24"/>
          <w:szCs w:val="24"/>
          <w:lang w:bidi="hi-IN"/>
        </w:rPr>
        <w:t xml:space="preserve"> occurs when the participant agrees to the terms of the adventure tourism contract, often by signing a liability waiver or completing an online consent form. Acceptance must be voluntary and informed to be legally valid (Poole, 2020). Courts have emphasized that acceptance obtained through pressure, lack of explanation, or misleading representations may </w:t>
      </w:r>
      <w:r w:rsidRPr="00634A74">
        <w:rPr>
          <w:rFonts w:ascii="Times New Roman" w:eastAsia="Times New Roman" w:hAnsi="Times New Roman" w:cs="Times New Roman"/>
          <w:sz w:val="24"/>
          <w:szCs w:val="24"/>
          <w:lang w:bidi="hi-IN"/>
        </w:rPr>
        <w:lastRenderedPageBreak/>
        <w:t>undermine the validity of the contract, particularly in high-risk tourism activities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Consideration</w:t>
      </w:r>
      <w:r w:rsidRPr="00634A74">
        <w:rPr>
          <w:rFonts w:ascii="Times New Roman" w:eastAsia="Times New Roman" w:hAnsi="Times New Roman" w:cs="Times New Roman"/>
          <w:sz w:val="24"/>
          <w:szCs w:val="24"/>
          <w:lang w:bidi="hi-IN"/>
        </w:rPr>
        <w:t xml:space="preserve"> in adventure tourism contracts typically involves payment for participation in the activity. In some cases, consideration may also include the provision of equipment, training, or supervision by the tour operator (McKendrick, 2021). The presence of consideration ensures that adventure tourism agreements are enforceable, even where participation involves inherent risks.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4344"/>
      <w:r w:rsidRPr="00634A74">
        <w:rPr>
          <w:rFonts w:ascii="Times New Roman" w:eastAsia="Times New Roman" w:hAnsi="Times New Roman" w:cs="Times New Roman"/>
          <w:b/>
          <w:bCs/>
          <w:sz w:val="27"/>
          <w:szCs w:val="27"/>
          <w:lang w:bidi="hi-IN"/>
        </w:rPr>
        <w:t>Intention to Create Legal Relations and Capacity</w:t>
      </w:r>
      <w:bookmarkEnd w:id="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 adventure tourism, the intention to create legal relations is generally presumed due to the commercial nature of the transaction. Tour operators provide services in exchange for payment, making these agreements legally binding rather than recreational or social arrangements (Sharpley, 2018). This presumption is particularly strong where participants are required to sign formal contractual documents prior to engaging in activities.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Capacity is an important consideration in adventure tourism contracts, especially given the participation of minors or individuals with limited legal capacity. Many adventure tourism operators impose age restrictions or require parental consent to address capacity-related issues (Dickerson, 2019). Courts closely examine whether consent was validly obtained and whether participants fully understood the contractual implications of participation (Poole, 2020). Failure to ensure capacity may render contracts voidable and expose operators to legal liability.</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4345"/>
      <w:r w:rsidRPr="00634A74">
        <w:rPr>
          <w:rFonts w:ascii="Times New Roman" w:eastAsia="Times New Roman" w:hAnsi="Times New Roman" w:cs="Times New Roman"/>
          <w:b/>
          <w:bCs/>
          <w:sz w:val="27"/>
          <w:szCs w:val="27"/>
          <w:lang w:bidi="hi-IN"/>
        </w:rPr>
        <w:t>Types of Adventure Tourism Contracts</w:t>
      </w:r>
      <w:bookmarkEnd w:id="7"/>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Adventure tourism relies on various contractual forms to regulate participation and manage risk. The most common is the </w:t>
      </w:r>
      <w:r w:rsidRPr="00634A74">
        <w:rPr>
          <w:rFonts w:ascii="Times New Roman" w:eastAsia="Times New Roman" w:hAnsi="Times New Roman" w:cs="Times New Roman"/>
          <w:b/>
          <w:bCs/>
          <w:sz w:val="24"/>
          <w:szCs w:val="24"/>
          <w:lang w:bidi="hi-IN"/>
        </w:rPr>
        <w:t>participation agreement</w:t>
      </w:r>
      <w:r w:rsidRPr="00634A74">
        <w:rPr>
          <w:rFonts w:ascii="Times New Roman" w:eastAsia="Times New Roman" w:hAnsi="Times New Roman" w:cs="Times New Roman"/>
          <w:sz w:val="24"/>
          <w:szCs w:val="24"/>
          <w:lang w:bidi="hi-IN"/>
        </w:rPr>
        <w:t>, which outlines the nature of the activity, safety instructions, and participant responsibilities. These agreements often include express acknowledgments of risk, emphasizing the inherent dangers associated with adventure activities (Mason &amp; Bohdanowicz,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Another widely used contractual form is the </w:t>
      </w:r>
      <w:r w:rsidRPr="00634A74">
        <w:rPr>
          <w:rFonts w:ascii="Times New Roman" w:eastAsia="Times New Roman" w:hAnsi="Times New Roman" w:cs="Times New Roman"/>
          <w:b/>
          <w:bCs/>
          <w:sz w:val="24"/>
          <w:szCs w:val="24"/>
          <w:lang w:bidi="hi-IN"/>
        </w:rPr>
        <w:t>liability waiver</w:t>
      </w:r>
      <w:r w:rsidRPr="00634A74">
        <w:rPr>
          <w:rFonts w:ascii="Times New Roman" w:eastAsia="Times New Roman" w:hAnsi="Times New Roman" w:cs="Times New Roman"/>
          <w:sz w:val="24"/>
          <w:szCs w:val="24"/>
          <w:lang w:bidi="hi-IN"/>
        </w:rPr>
        <w:t>, which seeks to exclude or limit the operator’s liability for injury or loss. While such waivers are legally permissible in principle, their enforceability depends on compliance with contractual and public policy requirements (McKendrick, 2021). Courts frequently scrutinize waiver language to ensure that it is clear, unambiguous, and reasonably brought to the participant’s attention.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b/>
          <w:bCs/>
          <w:sz w:val="24"/>
          <w:szCs w:val="24"/>
          <w:lang w:bidi="hi-IN"/>
        </w:rPr>
        <w:t>Assumption-of-risk clauses</w:t>
      </w:r>
      <w:r w:rsidRPr="00634A74">
        <w:rPr>
          <w:rFonts w:ascii="Times New Roman" w:eastAsia="Times New Roman" w:hAnsi="Times New Roman" w:cs="Times New Roman"/>
          <w:sz w:val="24"/>
          <w:szCs w:val="24"/>
          <w:lang w:bidi="hi-IN"/>
        </w:rPr>
        <w:t xml:space="preserve"> are also common in adventure tourism contracts. These clauses require participants to acknowledge that they voluntarily accept the risks associated with the activity. From a contractual perspective, assumption-of-risk clauses may reduce liability where risks are inherent and unavoidable, but they do not generally protect operators from liability arising from negligence or inadequate safety measures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4346"/>
      <w:r w:rsidRPr="00634A74">
        <w:rPr>
          <w:rFonts w:ascii="Times New Roman" w:eastAsia="Times New Roman" w:hAnsi="Times New Roman" w:cs="Times New Roman"/>
          <w:b/>
          <w:bCs/>
          <w:sz w:val="27"/>
          <w:szCs w:val="27"/>
          <w:lang w:bidi="hi-IN"/>
        </w:rPr>
        <w:t>Standard Form Contracts and Unequal Bargaining Power</w:t>
      </w:r>
      <w:bookmarkEnd w:id="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Standard form contracts dominate adventure tourism agreements due to operational efficiency and risk management considerations. However, scholars argue that such contracts exacerbate unequal bargaining power between operators and participants (Grant &amp; Mason, 2018). Participants are typically presented with contracts on a “take-it-or-leave-it” basis, leaving little opportunity for negotiation or clarification.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Contract law addresses this imbalance through doctrines relating to consent, notice, and reasonableness. Courts have increasingly emphasized that participants must be given sufficient time and information to understand contractual terms, particularly liability waivers (McKendrick, 2021). Where waivers are presented hastily or without explanation, courts may refuse to enforce them, prioritizing consumer protection over contractual autonomy (Sharpley, 2018).</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4347"/>
      <w:r w:rsidRPr="00634A74">
        <w:rPr>
          <w:rFonts w:ascii="Times New Roman" w:eastAsia="Times New Roman" w:hAnsi="Times New Roman" w:cs="Times New Roman"/>
          <w:b/>
          <w:bCs/>
          <w:sz w:val="36"/>
          <w:szCs w:val="36"/>
          <w:lang w:bidi="hi-IN"/>
        </w:rPr>
        <w:t>METHODOLOGY</w:t>
      </w:r>
      <w:bookmarkEnd w:id="9"/>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974348"/>
      <w:r w:rsidRPr="00634A74">
        <w:rPr>
          <w:rFonts w:ascii="Times New Roman" w:eastAsia="Times New Roman" w:hAnsi="Times New Roman" w:cs="Times New Roman"/>
          <w:b/>
          <w:bCs/>
          <w:sz w:val="27"/>
          <w:szCs w:val="27"/>
          <w:lang w:bidi="hi-IN"/>
        </w:rPr>
        <w:t>Research Approach</w:t>
      </w:r>
      <w:bookmarkEnd w:id="1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This assignment adopts a </w:t>
      </w:r>
      <w:r w:rsidRPr="00634A74">
        <w:rPr>
          <w:rFonts w:ascii="Times New Roman" w:eastAsia="Times New Roman" w:hAnsi="Times New Roman" w:cs="Times New Roman"/>
          <w:b/>
          <w:bCs/>
          <w:sz w:val="24"/>
          <w:szCs w:val="24"/>
          <w:lang w:bidi="hi-IN"/>
        </w:rPr>
        <w:t>doctrinal legal research approach</w:t>
      </w:r>
      <w:r w:rsidRPr="00634A74">
        <w:rPr>
          <w:rFonts w:ascii="Times New Roman" w:eastAsia="Times New Roman" w:hAnsi="Times New Roman" w:cs="Times New Roman"/>
          <w:sz w:val="24"/>
          <w:szCs w:val="24"/>
          <w:lang w:bidi="hi-IN"/>
        </w:rPr>
        <w:t xml:space="preserve"> to examine the role of contract law in regulating adventure tourism agreements. Doctrinal research focuses on the analysis of legal principles, statutes, and judicial decisions, making it particularly suitable for evaluating the enforceability of liability waivers and risk allocation mechanisms (McKendrick, 2021).</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relies on qualitative analysis of secondary sources, including academic textbooks, peer-reviewed journal articles, and legal commentaries. These sources provide theoretical and practical insights into the interaction between contract law and high-risk tourism activities (Dickerson, 2019).</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4349"/>
      <w:r w:rsidRPr="00634A74">
        <w:rPr>
          <w:rFonts w:ascii="Times New Roman" w:eastAsia="Times New Roman" w:hAnsi="Times New Roman" w:cs="Times New Roman"/>
          <w:b/>
          <w:bCs/>
          <w:sz w:val="27"/>
          <w:szCs w:val="27"/>
          <w:lang w:bidi="hi-IN"/>
        </w:rPr>
        <w:t>Sources of Data</w:t>
      </w:r>
      <w:bookmarkEnd w:id="11"/>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Primary sources include reported judicial decisions involving adventure tourism disputes, particularly cases relating to personal injury, negligence, and the enforceability of liability waivers. These cases illustrate how courts apply contract law principles in real-world adventure tourism contexts (Poole, 2020).</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Secondary sources such as tourism law texts and industry publications are used to contextualize legal principles within broader tourism practices. These materials help bridge the gap between legal theory and operational realities faced by adventure tourism operators (Mason &amp; Bohdanowicz,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4350"/>
      <w:r w:rsidRPr="00634A74">
        <w:rPr>
          <w:rFonts w:ascii="Times New Roman" w:eastAsia="Times New Roman" w:hAnsi="Times New Roman" w:cs="Times New Roman"/>
          <w:b/>
          <w:bCs/>
          <w:sz w:val="27"/>
          <w:szCs w:val="27"/>
          <w:lang w:bidi="hi-IN"/>
        </w:rPr>
        <w:t>Analytical Framework</w:t>
      </w:r>
      <w:bookmarkEnd w:id="12"/>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analysis is structured around key contractual concepts, including contract formation, assumption of risk, breach, and remedies. Each concept is examined within the context of </w:t>
      </w:r>
      <w:r w:rsidRPr="00634A74">
        <w:rPr>
          <w:rFonts w:ascii="Times New Roman" w:eastAsia="Times New Roman" w:hAnsi="Times New Roman" w:cs="Times New Roman"/>
          <w:sz w:val="24"/>
          <w:szCs w:val="24"/>
          <w:lang w:bidi="hi-IN"/>
        </w:rPr>
        <w:lastRenderedPageBreak/>
        <w:t>adventure tourism to assess the effectiveness of contract law in balancing risk allocation with consumer protection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By integrating doctrinal analysis with practical examples, the study aims to provide a comprehensive evaluation of how contract law functions within adventure tourism. This methodological approach ensures that conclusions are grounded in established legal principles while remaining relevant to contemporary tourism practices (Sharpley, 2018).</w:t>
      </w:r>
    </w:p>
    <w:p w:rsidR="00634A74" w:rsidRDefault="00634A74" w:rsidP="00634A74">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4351"/>
      <w:r w:rsidRPr="00634A74">
        <w:rPr>
          <w:rFonts w:ascii="Times New Roman" w:eastAsia="Times New Roman" w:hAnsi="Times New Roman" w:cs="Times New Roman"/>
          <w:b/>
          <w:bCs/>
          <w:sz w:val="36"/>
          <w:szCs w:val="36"/>
          <w:lang w:bidi="hi-IN"/>
        </w:rPr>
        <w:t>FINDINGS</w:t>
      </w:r>
      <w:bookmarkEnd w:id="13"/>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4352"/>
      <w:r w:rsidRPr="00634A74">
        <w:rPr>
          <w:rFonts w:ascii="Times New Roman" w:eastAsia="Times New Roman" w:hAnsi="Times New Roman" w:cs="Times New Roman"/>
          <w:b/>
          <w:bCs/>
          <w:sz w:val="27"/>
          <w:szCs w:val="27"/>
          <w:lang w:bidi="hi-IN"/>
        </w:rPr>
        <w:t>Participant Awareness and Informed Consent</w:t>
      </w:r>
      <w:bookmarkEnd w:id="14"/>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One of the central findings of this study is that participants in adventure tourism activities often lack full awareness of the legal implications of the contracts they sign. Although liability waivers and participation agreements are presented as prerequisites for engaging in adventure activities, many participants sign these documents without carefully reading or understanding their contents (Sharpley, 2018). This lack of informed consent raises concerns regarding the validity and fairness of adventure tourism contracts under contract law.</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Research suggests that participants tend to focus on the excitement and novelty of the activity rather than the legal consequences of accepting contractual terms (Mason &amp; Bohdanowicz, 2020). As a result, disputes frequently arise when participants suffer injuries and discover that liability waivers limit or exclude their ability to seek compensation. Courts have increasingly examined whether participants were given sufficient opportunity to understand contractual terms, particularly where activities involve significant risk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4353"/>
      <w:r w:rsidRPr="00634A74">
        <w:rPr>
          <w:rFonts w:ascii="Times New Roman" w:eastAsia="Times New Roman" w:hAnsi="Times New Roman" w:cs="Times New Roman"/>
          <w:b/>
          <w:bCs/>
          <w:sz w:val="27"/>
          <w:szCs w:val="27"/>
          <w:lang w:bidi="hi-IN"/>
        </w:rPr>
        <w:t>Operator Compliance with Safety Obligations</w:t>
      </w:r>
      <w:bookmarkEnd w:id="1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Another key finding relates to the performance of contractual obligations by adventure tourism operators. While liability waivers may limit certain claims, they do not absolve operators of their duty to exercise reasonable care in providing safe equipment, qualified supervision, and adequate training (Dickerson, 2019). Failure to meet these standards may constitute a breach of contract or negligence, regardless of the existence of a waiver.</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finds that courts often distinguish between inherent risks, which participants may assume, and risks arising from operator negligence. Where injuries result from poor maintenance, inadequate instruction, or failure to follow safety protocols, courts are more likely to hold operators liable (McKendrick, 2021). This distinction reinforces the principle that contractual risk allocation must not undermine basic safety obligations in adventure tourism (Grant &amp; Mason, 2018).</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4354"/>
      <w:r w:rsidRPr="00634A74">
        <w:rPr>
          <w:rFonts w:ascii="Times New Roman" w:eastAsia="Times New Roman" w:hAnsi="Times New Roman" w:cs="Times New Roman"/>
          <w:b/>
          <w:bCs/>
          <w:sz w:val="27"/>
          <w:szCs w:val="27"/>
          <w:lang w:bidi="hi-IN"/>
        </w:rPr>
        <w:t>Unequal Bargaining Power and Contractual Fairness</w:t>
      </w:r>
      <w:bookmarkEnd w:id="1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The findings also highlight the issue of unequal bargaining power in adventure tourism contracts. Participants typically have no opportunity to negotiate waiver terms and must accept standard form contracts to participate (Sharpley, 2018). This imbalance raises questions about the voluntariness of consent and the fairness of liability exclusions.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Courts have increasingly recognized that unequal bargaining power may undermine the enforceability of liability waivers, particularly where contracts are presented on a take-it-or-leave-it basis (Poole, 2020). The findings suggest that contract law plays an important role in addressing this imbalance by scrutinizing waiver clauses and prioritizing consumer protection where necessary (McKendrick, 2021).</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4355"/>
      <w:r w:rsidRPr="00634A74">
        <w:rPr>
          <w:rFonts w:ascii="Times New Roman" w:eastAsia="Times New Roman" w:hAnsi="Times New Roman" w:cs="Times New Roman"/>
          <w:b/>
          <w:bCs/>
          <w:sz w:val="36"/>
          <w:szCs w:val="36"/>
          <w:lang w:bidi="hi-IN"/>
        </w:rPr>
        <w:t>REAL-WORLD CONTRACT DISPUTES IN ADVENTURE TOURISM</w:t>
      </w:r>
      <w:bookmarkEnd w:id="17"/>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974356"/>
      <w:r w:rsidRPr="00634A74">
        <w:rPr>
          <w:rFonts w:ascii="Times New Roman" w:eastAsia="Times New Roman" w:hAnsi="Times New Roman" w:cs="Times New Roman"/>
          <w:b/>
          <w:bCs/>
          <w:sz w:val="27"/>
          <w:szCs w:val="27"/>
          <w:lang w:bidi="hi-IN"/>
        </w:rPr>
        <w:t>Case Study 1: Injury Claims and Liability Waivers</w:t>
      </w:r>
      <w:bookmarkEnd w:id="1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Injury-related disputes are among the most common legal issues in adventure tourism. In cases where participants suffer physical harm during activities such as rafting, climbing, or diving, operators often rely on liability waivers to defend against claims (Dickerson, 2019). Courts typically assess whether the waiver was clearly drafted, properly disclosed, and voluntarily accepted.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Judicial decisions indicate that waivers may be enforceable where risks are inherent and adequately explained. However, courts have consistently refused to enforce waivers that attempt to exclude liability for negligence or unsafe practices (McKendrick, 2021). This approach reflects a commitment to ensuring that adventure tourism operators cannot contract out of fundamental duties of care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4357"/>
      <w:r w:rsidRPr="00634A74">
        <w:rPr>
          <w:rFonts w:ascii="Times New Roman" w:eastAsia="Times New Roman" w:hAnsi="Times New Roman" w:cs="Times New Roman"/>
          <w:b/>
          <w:bCs/>
          <w:sz w:val="27"/>
          <w:szCs w:val="27"/>
          <w:lang w:bidi="hi-IN"/>
        </w:rPr>
        <w:t>Case Study 2: Misrepresentation of Risk</w:t>
      </w:r>
      <w:bookmarkEnd w:id="19"/>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Misrepresentation disputes arise when operators fail to accurately disclose the level of risk associated with adventure activities. Courts have held that misleading representations regarding safety standards, difficulty levels, or required experience may invalidate liability waivers (Grant &amp; Mason, 2018). Participants who rely on such representations may be entitled to remedies under contract law.</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findings indicate that accurate risk disclosure is essential for the enforceability of adventure tourism contracts. Where operators exaggerate safety or downplay risks, courts may find that consent was not genuinely informed, undermining the contractual agreement (Sharpley, 2018).</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4358"/>
      <w:r w:rsidRPr="00634A74">
        <w:rPr>
          <w:rFonts w:ascii="Times New Roman" w:eastAsia="Times New Roman" w:hAnsi="Times New Roman" w:cs="Times New Roman"/>
          <w:b/>
          <w:bCs/>
          <w:sz w:val="27"/>
          <w:szCs w:val="27"/>
          <w:lang w:bidi="hi-IN"/>
        </w:rPr>
        <w:t>Case Study 3: Equipment Failure and Operator Responsibility</w:t>
      </w:r>
      <w:bookmarkEnd w:id="2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lastRenderedPageBreak/>
        <w:t>Equipment failure represents another significant source of contractual disputes in adventure tourism. Participants may suffer injury due to defective or poorly maintained equipment provided by operators. Courts have generally held that liability waivers do not protect operators from claims arising from equipment failure attributable to negligence (Dickerson, 2019).</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study finds that courts emphasize the operator’s responsibility to ensure equipment safety as part of their contractual obligations. Failure to do so may constitute both a breach of contract and negligence, entitling participants to compensation despite the presence of a waiver (Poole, 2020).</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74359"/>
      <w:r w:rsidRPr="00634A74">
        <w:rPr>
          <w:rFonts w:ascii="Times New Roman" w:eastAsia="Times New Roman" w:hAnsi="Times New Roman" w:cs="Times New Roman"/>
          <w:b/>
          <w:bCs/>
          <w:sz w:val="36"/>
          <w:szCs w:val="36"/>
          <w:lang w:bidi="hi-IN"/>
        </w:rPr>
        <w:t>REMEDIES AVAILABLE UNDER CONTRACT LAW</w:t>
      </w:r>
      <w:bookmarkEnd w:id="21"/>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974360"/>
      <w:r w:rsidRPr="00634A74">
        <w:rPr>
          <w:rFonts w:ascii="Times New Roman" w:eastAsia="Times New Roman" w:hAnsi="Times New Roman" w:cs="Times New Roman"/>
          <w:b/>
          <w:bCs/>
          <w:sz w:val="27"/>
          <w:szCs w:val="27"/>
          <w:lang w:bidi="hi-IN"/>
        </w:rPr>
        <w:t>Damages and Compensation</w:t>
      </w:r>
      <w:bookmarkEnd w:id="22"/>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Damages are the primary remedy available to participants who suffer injury or loss due to breach of contract or negligence in adventure tourism. Courts aim to compensate participants for medical expenses, loss of earnings, and other foreseeable losses resulting from contractual breaches (McKendrick, 2021).</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In some cases, damages may also reflect non-financial losses such as pain, suffering, or loss of enjoyment, particularly where the purpose of the contract was recreational (Sharpley, 2018). However, courts carefully assess such claims to ensure proportionality and fairness, balancing participant protection with operator interests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4361"/>
      <w:r w:rsidRPr="00634A74">
        <w:rPr>
          <w:rFonts w:ascii="Times New Roman" w:eastAsia="Times New Roman" w:hAnsi="Times New Roman" w:cs="Times New Roman"/>
          <w:b/>
          <w:bCs/>
          <w:sz w:val="27"/>
          <w:szCs w:val="27"/>
          <w:lang w:bidi="hi-IN"/>
        </w:rPr>
        <w:t>Contract Termination and Refunds</w:t>
      </w:r>
      <w:bookmarkEnd w:id="23"/>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Termination of contract may be available where operators fail to meet fundamental contractual obligations, such as providing qualified supervision or safe equipment. In such cases, participants may be entitled to refunds or additional compensation (Grant &amp; Mason, 2018).</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findings suggest that refund disputes are particularly common where activities are canceled due to safety concerns or operator negligence. Courts increasingly emphasize transparency and fairness when resolving such disputes, reinforcing the role of contract law in protecting adventure tourism participants (McKendrick, 2021).</w:t>
      </w:r>
    </w:p>
    <w:p w:rsidR="00634A74" w:rsidRPr="00634A74" w:rsidRDefault="00634A74" w:rsidP="00634A74">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974362"/>
      <w:r w:rsidRPr="00634A74">
        <w:rPr>
          <w:rFonts w:ascii="Times New Roman" w:eastAsia="Times New Roman" w:hAnsi="Times New Roman" w:cs="Times New Roman"/>
          <w:b/>
          <w:bCs/>
          <w:sz w:val="36"/>
          <w:szCs w:val="36"/>
          <w:lang w:bidi="hi-IN"/>
        </w:rPr>
        <w:t>DISCUSSION</w:t>
      </w:r>
      <w:bookmarkEnd w:id="24"/>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974363"/>
      <w:r w:rsidRPr="00634A74">
        <w:rPr>
          <w:rFonts w:ascii="Times New Roman" w:eastAsia="Times New Roman" w:hAnsi="Times New Roman" w:cs="Times New Roman"/>
          <w:b/>
          <w:bCs/>
          <w:sz w:val="27"/>
          <w:szCs w:val="27"/>
          <w:lang w:bidi="hi-IN"/>
        </w:rPr>
        <w:t>Effectiveness of Contract Law in Adventure Tourism</w:t>
      </w:r>
      <w:bookmarkEnd w:id="25"/>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analysis in this assignment demonstrates that contract law plays a crucial role in regulating adventure tourism activities by defining the rights, responsibilities, and risk allocation between tour operators and participants. Given the inherently hazardous nature of adventure tourism, </w:t>
      </w:r>
      <w:r w:rsidRPr="00634A74">
        <w:rPr>
          <w:rFonts w:ascii="Times New Roman" w:eastAsia="Times New Roman" w:hAnsi="Times New Roman" w:cs="Times New Roman"/>
          <w:sz w:val="24"/>
          <w:szCs w:val="24"/>
          <w:lang w:bidi="hi-IN"/>
        </w:rPr>
        <w:lastRenderedPageBreak/>
        <w:t>contracts serve as a primary legal mechanism for managing expectations and liabilities (Dickerson, 2019). Liability waivers and assumption-of-risk clauses allow operators to manage commercial risk while enabling participants to engage in activities with an understanding of potential dangers.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However, the discussion highlights that the effectiveness of contract law in adventure tourism is constrained by the widespread use of standard form contracts. Participants often have limited bargaining power and minimal opportunity to negotiate terms, which raises concerns regarding voluntariness and informed consent (Sharpley, 2018). While contract law supports freedom of contract, courts have increasingly emphasized fairness and transparency to prevent unjust outcomes, particularly where consumer safety is involved (Poole, 2020).</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4364"/>
      <w:r w:rsidRPr="00634A74">
        <w:rPr>
          <w:rFonts w:ascii="Times New Roman" w:eastAsia="Times New Roman" w:hAnsi="Times New Roman" w:cs="Times New Roman"/>
          <w:b/>
          <w:bCs/>
          <w:sz w:val="27"/>
          <w:szCs w:val="27"/>
          <w:lang w:bidi="hi-IN"/>
        </w:rPr>
        <w:t>Judicial Scrutiny of Liability Waivers</w:t>
      </w:r>
      <w:bookmarkEnd w:id="26"/>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Courts play a pivotal role in shaping the legal boundaries of adventure tourism contracts. Judicial decisions demonstrate a consistent reluctance to enforce liability waivers that seek to exclude responsibility for negligence or failure to meet safety standards (McKendrick, 2021). This approach reflects the principle that contractual freedom must be balanced against public policy considerations, particularly where personal injury is concerned.</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discussion indicates that courts assess waiver enforceability by examining clarity of language, adequacy of disclosure, and the circumstances under which consent was obtained. Waivers that are ambiguous, misleading, or presented under time pressure are less likely to be upheld (Grant &amp; Mason, 2018). This judicial oversight reinforces consumer protection while allowing reasonable risk allocation in adventure tourism contracts.</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4365"/>
      <w:r w:rsidRPr="00634A74">
        <w:rPr>
          <w:rFonts w:ascii="Times New Roman" w:eastAsia="Times New Roman" w:hAnsi="Times New Roman" w:cs="Times New Roman"/>
          <w:b/>
          <w:bCs/>
          <w:sz w:val="27"/>
          <w:szCs w:val="27"/>
          <w:lang w:bidi="hi-IN"/>
        </w:rPr>
        <w:t>Implications for Adventure Tourism Operators</w:t>
      </w:r>
      <w:bookmarkEnd w:id="27"/>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For adventure tourism operators, the findings underscore the importance of clear contractual drafting and effective risk communication. Operators must ensure that liability waivers are written in plain language and that participants are given sufficient opportunity to understand the risks involved (Mason &amp; Bohdanowicz, 2020). Transparent contractual practices not only reduce legal disputes but also enhance consumer trust and industry credibility.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Operators should also recognize that liability waivers do not provide absolute protection. Courts consistently hold operators accountable for maintaining safety standards, properly training staff, and providing reliable equipment (Dickerson, 2019). Compliance with these obligations is essential for minimizing legal exposure and ensuring sustainable business practices within the adventure tourism sector.</w:t>
      </w:r>
    </w:p>
    <w:p w:rsidR="00634A74" w:rsidRPr="00634A74" w:rsidRDefault="00634A74" w:rsidP="00634A7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4366"/>
      <w:r w:rsidRPr="00634A74">
        <w:rPr>
          <w:rFonts w:ascii="Times New Roman" w:eastAsia="Times New Roman" w:hAnsi="Times New Roman" w:cs="Times New Roman"/>
          <w:b/>
          <w:bCs/>
          <w:sz w:val="27"/>
          <w:szCs w:val="27"/>
          <w:lang w:bidi="hi-IN"/>
        </w:rPr>
        <w:t>Broader Implications for Tourism Law</w:t>
      </w:r>
      <w:bookmarkEnd w:id="28"/>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The role of contract law in adventure tourism has broader implications for tourism law as a whole. As experiential and risk-based tourism continues to grow, legal frameworks must adapt to address emerging challenges related to safety, consumer rights, and liability (Sharpley, 2018). </w:t>
      </w:r>
      <w:r w:rsidRPr="00634A74">
        <w:rPr>
          <w:rFonts w:ascii="Times New Roman" w:eastAsia="Times New Roman" w:hAnsi="Times New Roman" w:cs="Times New Roman"/>
          <w:sz w:val="24"/>
          <w:szCs w:val="24"/>
          <w:lang w:bidi="hi-IN"/>
        </w:rPr>
        <w:lastRenderedPageBreak/>
        <w:t>Contract law provides a flexible yet robust mechanism for addressing these challenges, provided it is applied with an emphasis on fairness and transparency.</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The discussion suggests that greater alignment between contract law principles and regulatory standards could further enhance consumer protection in adventure tourism. Clear guidelines on waiver enforceability and risk disclosure would benefit both operators and participants by reducing uncertainty and litigation (Poole, 2020).</w:t>
      </w:r>
    </w:p>
    <w:p w:rsidR="00634A74" w:rsidRPr="00634A74" w:rsidRDefault="00634A74" w:rsidP="00634A74">
      <w:pPr>
        <w:spacing w:after="0" w:line="240" w:lineRule="auto"/>
        <w:rPr>
          <w:rFonts w:ascii="Times New Roman" w:eastAsia="Times New Roman" w:hAnsi="Times New Roman" w:cs="Times New Roman"/>
          <w:sz w:val="24"/>
          <w:szCs w:val="24"/>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974367"/>
      <w:r w:rsidRPr="00634A74">
        <w:rPr>
          <w:rFonts w:ascii="Times New Roman" w:eastAsia="Times New Roman" w:hAnsi="Times New Roman" w:cs="Times New Roman"/>
          <w:b/>
          <w:bCs/>
          <w:sz w:val="36"/>
          <w:szCs w:val="36"/>
          <w:lang w:bidi="hi-IN"/>
        </w:rPr>
        <w:t>CONCLUSION</w:t>
      </w:r>
      <w:bookmarkEnd w:id="29"/>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This assignment has examined the role of contract law in the tourism industry through a detailed analysis of adventure tourism contracts and the use of liability waivers. The study demonstrates that contract law is fundamental in regulating high-risk tourism activities by providing a legal framework within which adventure tourism operators and participants can define their respective rights and responsibilities. In an environment characterised by physical risk and uncertainty, enforceable contracts play a crucial role in managing expectations and allocating legal responsibility.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A key focus of the analysis has been the importance of the essential elements of a valid contract, including offer, acceptance, consideration, and intention to create legal relations. These elements ensure that adventure tourism agreements are legally binding and enforceable. Clear contract formation is particularly important in adventure tourism, as participants must understand the nature of the activity and the associated risks before entering into a contractual relationship. Properly structured contracts therefore support legal certainty and reduce the likelihood of disputes.</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The study further highlights the role of liability waivers as a common risk management tool within the adventure tourism sector. Liability waivers are designed to limit the legal exposure of operators by requiring participants to acknowledge and accept certain risks. However, the analysis shows that the enforceability of such waivers is not absolute and is constrained by legal principles relating to fairness, informed consent, and public policy considerations.</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Judicial oversight plays a critical role in determining the validity and scope of liability waivers in adventure tourism. Courts have consistently emphasised that operators cannot rely on contractual exclusions to escape liability for negligence, unsafe practices, or failure to meet reasonable standards of care. This judicial approach ensures that contractual freedom is balanced with consumer protection and reinforces the responsibility of operators to prioritise participant safety.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t>The findings also underscore the importance of transparency and effective communication in adventure tourism contracts. Participants must be provided with clear, accessible, and accurate information regarding the risks involved and the legal implications of liability waivers. Informed consent is a central requirement for contractual fairness, and its absence can render waivers unenforceable, thereby exposing operators to legal liability.</w:t>
      </w:r>
    </w:p>
    <w:p w:rsidR="00104B14" w:rsidRPr="00104B14" w:rsidRDefault="00104B14" w:rsidP="00104B14">
      <w:pPr>
        <w:spacing w:before="100" w:beforeAutospacing="1" w:after="100" w:afterAutospacing="1" w:line="240" w:lineRule="auto"/>
        <w:rPr>
          <w:rFonts w:ascii="Times New Roman" w:eastAsia="Times New Roman" w:hAnsi="Times New Roman" w:cs="Times New Roman"/>
          <w:sz w:val="24"/>
          <w:szCs w:val="24"/>
          <w:lang w:bidi="hi-IN"/>
        </w:rPr>
      </w:pPr>
      <w:r w:rsidRPr="00104B14">
        <w:rPr>
          <w:rFonts w:ascii="Times New Roman" w:eastAsia="Times New Roman" w:hAnsi="Times New Roman" w:cs="Times New Roman"/>
          <w:sz w:val="24"/>
          <w:szCs w:val="24"/>
          <w:lang w:bidi="hi-IN"/>
        </w:rPr>
        <w:lastRenderedPageBreak/>
        <w:t xml:space="preserve">In </w:t>
      </w:r>
      <w:r>
        <w:rPr>
          <w:rFonts w:ascii="Times New Roman" w:eastAsia="Times New Roman" w:hAnsi="Times New Roman" w:cs="Times New Roman"/>
          <w:sz w:val="24"/>
          <w:szCs w:val="24"/>
          <w:lang w:bidi="hi-IN"/>
        </w:rPr>
        <w:t>end</w:t>
      </w:r>
      <w:r w:rsidRPr="00104B14">
        <w:rPr>
          <w:rFonts w:ascii="Times New Roman" w:eastAsia="Times New Roman" w:hAnsi="Times New Roman" w:cs="Times New Roman"/>
          <w:sz w:val="24"/>
          <w:szCs w:val="24"/>
          <w:lang w:bidi="hi-IN"/>
        </w:rPr>
        <w:t>, contract law remains an essential regulatory mechanism in adventure tourism by balancing commercial interests with safety and fairness. Its effectiveness depends on transparent contractual practices, genuine informed consent, and continued judicial willingness to scrutinise exclusion clauses. Strengthening these elements will contribute to a more equitable, responsible, and sustainable adventure tourism sector that protects participants while supporting the legitimate interests of tourism operators.</w:t>
      </w:r>
    </w:p>
    <w:p w:rsidR="00104B14" w:rsidRDefault="00104B1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634A74" w:rsidRPr="00634A74" w:rsidRDefault="00634A74" w:rsidP="00634A7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4368"/>
      <w:r w:rsidRPr="00634A74">
        <w:rPr>
          <w:rFonts w:ascii="Times New Roman" w:eastAsia="Times New Roman" w:hAnsi="Times New Roman" w:cs="Times New Roman"/>
          <w:b/>
          <w:bCs/>
          <w:sz w:val="36"/>
          <w:szCs w:val="36"/>
          <w:lang w:bidi="hi-IN"/>
        </w:rPr>
        <w:t>REFERENCES</w:t>
      </w:r>
      <w:bookmarkEnd w:id="30"/>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Dickerson, T. A. (2019). </w:t>
      </w:r>
      <w:r w:rsidRPr="00634A74">
        <w:rPr>
          <w:rFonts w:ascii="Times New Roman" w:eastAsia="Times New Roman" w:hAnsi="Times New Roman" w:cs="Times New Roman"/>
          <w:i/>
          <w:iCs/>
          <w:sz w:val="24"/>
          <w:szCs w:val="24"/>
          <w:lang w:bidi="hi-IN"/>
        </w:rPr>
        <w:t>Travel law</w:t>
      </w:r>
      <w:r w:rsidRPr="00634A74">
        <w:rPr>
          <w:rFonts w:ascii="Times New Roman" w:eastAsia="Times New Roman" w:hAnsi="Times New Roman" w:cs="Times New Roman"/>
          <w:sz w:val="24"/>
          <w:szCs w:val="24"/>
          <w:lang w:bidi="hi-IN"/>
        </w:rPr>
        <w:t xml:space="preserve"> (5th ed.). Law Journal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Grant, D., &amp; Mason, P. (2018). </w:t>
      </w:r>
      <w:r w:rsidRPr="00634A74">
        <w:rPr>
          <w:rFonts w:ascii="Times New Roman" w:eastAsia="Times New Roman" w:hAnsi="Times New Roman" w:cs="Times New Roman"/>
          <w:i/>
          <w:iCs/>
          <w:sz w:val="24"/>
          <w:szCs w:val="24"/>
          <w:lang w:bidi="hi-IN"/>
        </w:rPr>
        <w:t>Holiday law: The legal implications of travel and tourism</w:t>
      </w:r>
      <w:r w:rsidRPr="00634A74">
        <w:rPr>
          <w:rFonts w:ascii="Times New Roman" w:eastAsia="Times New Roman" w:hAnsi="Times New Roman" w:cs="Times New Roman"/>
          <w:sz w:val="24"/>
          <w:szCs w:val="24"/>
          <w:lang w:bidi="hi-IN"/>
        </w:rPr>
        <w:t>. Routledge.</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Mason, P., &amp; Bohdanowicz, P. (2020). </w:t>
      </w:r>
      <w:r w:rsidRPr="00634A74">
        <w:rPr>
          <w:rFonts w:ascii="Times New Roman" w:eastAsia="Times New Roman" w:hAnsi="Times New Roman" w:cs="Times New Roman"/>
          <w:i/>
          <w:iCs/>
          <w:sz w:val="24"/>
          <w:szCs w:val="24"/>
          <w:lang w:bidi="hi-IN"/>
        </w:rPr>
        <w:t>Tourism impacts, planning and management</w:t>
      </w:r>
      <w:r w:rsidRPr="00634A74">
        <w:rPr>
          <w:rFonts w:ascii="Times New Roman" w:eastAsia="Times New Roman" w:hAnsi="Times New Roman" w:cs="Times New Roman"/>
          <w:sz w:val="24"/>
          <w:szCs w:val="24"/>
          <w:lang w:bidi="hi-IN"/>
        </w:rPr>
        <w:t>. Butterworth-Heinemann.</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McKendrick, E. (2021). </w:t>
      </w:r>
      <w:r w:rsidRPr="00634A74">
        <w:rPr>
          <w:rFonts w:ascii="Times New Roman" w:eastAsia="Times New Roman" w:hAnsi="Times New Roman" w:cs="Times New Roman"/>
          <w:i/>
          <w:iCs/>
          <w:sz w:val="24"/>
          <w:szCs w:val="24"/>
          <w:lang w:bidi="hi-IN"/>
        </w:rPr>
        <w:t>Contract law: Text, cases, and materials</w:t>
      </w:r>
      <w:r w:rsidRPr="00634A74">
        <w:rPr>
          <w:rFonts w:ascii="Times New Roman" w:eastAsia="Times New Roman" w:hAnsi="Times New Roman" w:cs="Times New Roman"/>
          <w:sz w:val="24"/>
          <w:szCs w:val="24"/>
          <w:lang w:bidi="hi-IN"/>
        </w:rPr>
        <w:t xml:space="preserve"> (8th ed.). Oxford University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Poole, J. (2020). </w:t>
      </w:r>
      <w:r w:rsidRPr="00634A74">
        <w:rPr>
          <w:rFonts w:ascii="Times New Roman" w:eastAsia="Times New Roman" w:hAnsi="Times New Roman" w:cs="Times New Roman"/>
          <w:i/>
          <w:iCs/>
          <w:sz w:val="24"/>
          <w:szCs w:val="24"/>
          <w:lang w:bidi="hi-IN"/>
        </w:rPr>
        <w:t>Textbook on contract law</w:t>
      </w:r>
      <w:r w:rsidRPr="00634A74">
        <w:rPr>
          <w:rFonts w:ascii="Times New Roman" w:eastAsia="Times New Roman" w:hAnsi="Times New Roman" w:cs="Times New Roman"/>
          <w:sz w:val="24"/>
          <w:szCs w:val="24"/>
          <w:lang w:bidi="hi-IN"/>
        </w:rPr>
        <w:t xml:space="preserve"> (15th ed.). Oxford University Press.</w:t>
      </w:r>
    </w:p>
    <w:p w:rsidR="00634A74" w:rsidRPr="00634A74" w:rsidRDefault="00634A74" w:rsidP="00634A74">
      <w:pPr>
        <w:spacing w:before="100" w:beforeAutospacing="1" w:after="100" w:afterAutospacing="1" w:line="240" w:lineRule="auto"/>
        <w:rPr>
          <w:rFonts w:ascii="Times New Roman" w:eastAsia="Times New Roman" w:hAnsi="Times New Roman" w:cs="Times New Roman"/>
          <w:sz w:val="24"/>
          <w:szCs w:val="24"/>
          <w:lang w:bidi="hi-IN"/>
        </w:rPr>
      </w:pPr>
      <w:r w:rsidRPr="00634A74">
        <w:rPr>
          <w:rFonts w:ascii="Times New Roman" w:eastAsia="Times New Roman" w:hAnsi="Times New Roman" w:cs="Times New Roman"/>
          <w:sz w:val="24"/>
          <w:szCs w:val="24"/>
          <w:lang w:bidi="hi-IN"/>
        </w:rPr>
        <w:t xml:space="preserve">Sharpley, R. (2018). </w:t>
      </w:r>
      <w:r w:rsidRPr="00634A74">
        <w:rPr>
          <w:rFonts w:ascii="Times New Roman" w:eastAsia="Times New Roman" w:hAnsi="Times New Roman" w:cs="Times New Roman"/>
          <w:i/>
          <w:iCs/>
          <w:sz w:val="24"/>
          <w:szCs w:val="24"/>
          <w:lang w:bidi="hi-IN"/>
        </w:rPr>
        <w:t>Tourism, tourists and society</w:t>
      </w:r>
      <w:r w:rsidRPr="00634A74">
        <w:rPr>
          <w:rFonts w:ascii="Times New Roman" w:eastAsia="Times New Roman" w:hAnsi="Times New Roman" w:cs="Times New Roman"/>
          <w:sz w:val="24"/>
          <w:szCs w:val="24"/>
          <w:lang w:bidi="hi-IN"/>
        </w:rPr>
        <w:t xml:space="preserve"> (5th ed.). Routledge.</w:t>
      </w:r>
    </w:p>
    <w:p w:rsidR="0073559F" w:rsidRPr="0073559F" w:rsidRDefault="0073559F" w:rsidP="00634A74">
      <w:pPr>
        <w:spacing w:after="0"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5791" w:rsidRDefault="00115791" w:rsidP="00AA6995">
      <w:pPr>
        <w:spacing w:after="0" w:line="240" w:lineRule="auto"/>
      </w:pPr>
      <w:r>
        <w:separator/>
      </w:r>
    </w:p>
  </w:endnote>
  <w:endnote w:type="continuationSeparator" w:id="1">
    <w:p w:rsidR="00115791" w:rsidRDefault="0011579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5791" w:rsidRDefault="00115791" w:rsidP="00AA6995">
      <w:pPr>
        <w:spacing w:after="0" w:line="240" w:lineRule="auto"/>
      </w:pPr>
      <w:r>
        <w:separator/>
      </w:r>
    </w:p>
  </w:footnote>
  <w:footnote w:type="continuationSeparator" w:id="1">
    <w:p w:rsidR="00115791" w:rsidRDefault="0011579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0356B5"/>
    <w:multiLevelType w:val="multilevel"/>
    <w:tmpl w:val="3EA8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BC1500"/>
    <w:multiLevelType w:val="multilevel"/>
    <w:tmpl w:val="CB06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7E2074"/>
    <w:multiLevelType w:val="multilevel"/>
    <w:tmpl w:val="7A6C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D5511E"/>
    <w:multiLevelType w:val="multilevel"/>
    <w:tmpl w:val="8A067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A4C3F7F"/>
    <w:multiLevelType w:val="multilevel"/>
    <w:tmpl w:val="7838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4D65C9"/>
    <w:multiLevelType w:val="multilevel"/>
    <w:tmpl w:val="2528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4DE30AE"/>
    <w:multiLevelType w:val="multilevel"/>
    <w:tmpl w:val="9DF8C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2"/>
  </w:num>
  <w:num w:numId="3">
    <w:abstractNumId w:val="12"/>
  </w:num>
  <w:num w:numId="4">
    <w:abstractNumId w:val="23"/>
  </w:num>
  <w:num w:numId="5">
    <w:abstractNumId w:val="30"/>
  </w:num>
  <w:num w:numId="6">
    <w:abstractNumId w:val="8"/>
  </w:num>
  <w:num w:numId="7">
    <w:abstractNumId w:val="21"/>
  </w:num>
  <w:num w:numId="8">
    <w:abstractNumId w:val="2"/>
  </w:num>
  <w:num w:numId="9">
    <w:abstractNumId w:val="24"/>
  </w:num>
  <w:num w:numId="10">
    <w:abstractNumId w:val="25"/>
  </w:num>
  <w:num w:numId="11">
    <w:abstractNumId w:val="11"/>
  </w:num>
  <w:num w:numId="12">
    <w:abstractNumId w:val="29"/>
  </w:num>
  <w:num w:numId="13">
    <w:abstractNumId w:val="16"/>
  </w:num>
  <w:num w:numId="14">
    <w:abstractNumId w:val="13"/>
  </w:num>
  <w:num w:numId="15">
    <w:abstractNumId w:val="7"/>
  </w:num>
  <w:num w:numId="16">
    <w:abstractNumId w:val="15"/>
  </w:num>
  <w:num w:numId="17">
    <w:abstractNumId w:val="1"/>
  </w:num>
  <w:num w:numId="18">
    <w:abstractNumId w:val="14"/>
  </w:num>
  <w:num w:numId="19">
    <w:abstractNumId w:val="19"/>
  </w:num>
  <w:num w:numId="20">
    <w:abstractNumId w:val="18"/>
  </w:num>
  <w:num w:numId="21">
    <w:abstractNumId w:val="4"/>
  </w:num>
  <w:num w:numId="22">
    <w:abstractNumId w:val="0"/>
  </w:num>
  <w:num w:numId="23">
    <w:abstractNumId w:val="5"/>
  </w:num>
  <w:num w:numId="24">
    <w:abstractNumId w:val="17"/>
  </w:num>
  <w:num w:numId="25">
    <w:abstractNumId w:val="9"/>
  </w:num>
  <w:num w:numId="26">
    <w:abstractNumId w:val="6"/>
  </w:num>
  <w:num w:numId="27">
    <w:abstractNumId w:val="26"/>
  </w:num>
  <w:num w:numId="28">
    <w:abstractNumId w:val="27"/>
  </w:num>
  <w:num w:numId="29">
    <w:abstractNumId w:val="31"/>
  </w:num>
  <w:num w:numId="30">
    <w:abstractNumId w:val="28"/>
  </w:num>
  <w:num w:numId="31">
    <w:abstractNumId w:val="10"/>
  </w:num>
  <w:num w:numId="32">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20"/>
  <w:characterSpacingControl w:val="doNotCompress"/>
  <w:footnotePr>
    <w:footnote w:id="0"/>
    <w:footnote w:id="1"/>
  </w:footnotePr>
  <w:endnotePr>
    <w:endnote w:id="0"/>
    <w:endnote w:id="1"/>
  </w:endnotePr>
  <w:compat/>
  <w:rsids>
    <w:rsidRoot w:val="00F53663"/>
    <w:rsid w:val="000538A5"/>
    <w:rsid w:val="00076552"/>
    <w:rsid w:val="00104B14"/>
    <w:rsid w:val="00115791"/>
    <w:rsid w:val="001B5192"/>
    <w:rsid w:val="001E523B"/>
    <w:rsid w:val="001F217A"/>
    <w:rsid w:val="001F5E0B"/>
    <w:rsid w:val="00245AE3"/>
    <w:rsid w:val="002B6A05"/>
    <w:rsid w:val="002D1590"/>
    <w:rsid w:val="002E4629"/>
    <w:rsid w:val="00300ADF"/>
    <w:rsid w:val="00393359"/>
    <w:rsid w:val="00397AD5"/>
    <w:rsid w:val="00403100"/>
    <w:rsid w:val="00452C4D"/>
    <w:rsid w:val="004F6515"/>
    <w:rsid w:val="00547B24"/>
    <w:rsid w:val="00577D04"/>
    <w:rsid w:val="00581003"/>
    <w:rsid w:val="005B6A20"/>
    <w:rsid w:val="005C26B9"/>
    <w:rsid w:val="00634A74"/>
    <w:rsid w:val="00681AD1"/>
    <w:rsid w:val="00692C07"/>
    <w:rsid w:val="006B49E5"/>
    <w:rsid w:val="006D2A54"/>
    <w:rsid w:val="006E3B97"/>
    <w:rsid w:val="00703FBE"/>
    <w:rsid w:val="0071766B"/>
    <w:rsid w:val="0073559F"/>
    <w:rsid w:val="00757005"/>
    <w:rsid w:val="00761860"/>
    <w:rsid w:val="00861B9A"/>
    <w:rsid w:val="008A0876"/>
    <w:rsid w:val="00991E71"/>
    <w:rsid w:val="009D12C1"/>
    <w:rsid w:val="00A20A6F"/>
    <w:rsid w:val="00A31AA1"/>
    <w:rsid w:val="00A4503E"/>
    <w:rsid w:val="00A56AD8"/>
    <w:rsid w:val="00AA6995"/>
    <w:rsid w:val="00AF2EBA"/>
    <w:rsid w:val="00AF37D0"/>
    <w:rsid w:val="00B132B9"/>
    <w:rsid w:val="00B40157"/>
    <w:rsid w:val="00B70C77"/>
    <w:rsid w:val="00BB41F6"/>
    <w:rsid w:val="00C13AA5"/>
    <w:rsid w:val="00C52EFA"/>
    <w:rsid w:val="00CC7B52"/>
    <w:rsid w:val="00D23B0E"/>
    <w:rsid w:val="00D35EF5"/>
    <w:rsid w:val="00D5063F"/>
    <w:rsid w:val="00D52DAC"/>
    <w:rsid w:val="00D74867"/>
    <w:rsid w:val="00DE60D9"/>
    <w:rsid w:val="00E36E15"/>
    <w:rsid w:val="00E65008"/>
    <w:rsid w:val="00E82AC2"/>
    <w:rsid w:val="00E93EDC"/>
    <w:rsid w:val="00EA23C3"/>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9399951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56947922">
      <w:bodyDiv w:val="1"/>
      <w:marLeft w:val="0"/>
      <w:marRight w:val="0"/>
      <w:marTop w:val="0"/>
      <w:marBottom w:val="0"/>
      <w:divBdr>
        <w:top w:val="none" w:sz="0" w:space="0" w:color="auto"/>
        <w:left w:val="none" w:sz="0" w:space="0" w:color="auto"/>
        <w:bottom w:val="none" w:sz="0" w:space="0" w:color="auto"/>
        <w:right w:val="none" w:sz="0" w:space="0" w:color="auto"/>
      </w:divBdr>
    </w:div>
    <w:div w:id="635836590">
      <w:bodyDiv w:val="1"/>
      <w:marLeft w:val="0"/>
      <w:marRight w:val="0"/>
      <w:marTop w:val="0"/>
      <w:marBottom w:val="0"/>
      <w:divBdr>
        <w:top w:val="none" w:sz="0" w:space="0" w:color="auto"/>
        <w:left w:val="none" w:sz="0" w:space="0" w:color="auto"/>
        <w:bottom w:val="none" w:sz="0" w:space="0" w:color="auto"/>
        <w:right w:val="none" w:sz="0" w:space="0" w:color="auto"/>
      </w:divBdr>
    </w:div>
    <w:div w:id="1100879264">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2909398">
      <w:bodyDiv w:val="1"/>
      <w:marLeft w:val="0"/>
      <w:marRight w:val="0"/>
      <w:marTop w:val="0"/>
      <w:marBottom w:val="0"/>
      <w:divBdr>
        <w:top w:val="none" w:sz="0" w:space="0" w:color="auto"/>
        <w:left w:val="none" w:sz="0" w:space="0" w:color="auto"/>
        <w:bottom w:val="none" w:sz="0" w:space="0" w:color="auto"/>
        <w:right w:val="none" w:sz="0" w:space="0" w:color="auto"/>
      </w:divBdr>
    </w:div>
    <w:div w:id="163009064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154233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79676964">
      <w:bodyDiv w:val="1"/>
      <w:marLeft w:val="0"/>
      <w:marRight w:val="0"/>
      <w:marTop w:val="0"/>
      <w:marBottom w:val="0"/>
      <w:divBdr>
        <w:top w:val="none" w:sz="0" w:space="0" w:color="auto"/>
        <w:left w:val="none" w:sz="0" w:space="0" w:color="auto"/>
        <w:bottom w:val="none" w:sz="0" w:space="0" w:color="auto"/>
        <w:right w:val="none" w:sz="0" w:space="0" w:color="auto"/>
      </w:divBdr>
    </w:div>
    <w:div w:id="211284708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1A291-10A8-4411-8D4C-2A7F01144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13</Pages>
  <Words>4810</Words>
  <Characters>27419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23</cp:revision>
  <dcterms:created xsi:type="dcterms:W3CDTF">2025-11-18T15:41:00Z</dcterms:created>
  <dcterms:modified xsi:type="dcterms:W3CDTF">2026-02-03T11:52:00Z</dcterms:modified>
</cp:coreProperties>
</file>