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ADVERTISING AND PUBLIC RELATIONS</w:t>
      </w:r>
    </w:p>
    <w:p>
      <w:pPr>
        <w:jc w:val="center"/>
      </w:pPr>
      <w:r>
        <w:rPr>
          <w:b/>
          <w:sz w:val="40"/>
        </w:rPr>
        <w:t>From Reach to Advocacy: A Digital PR, Influencer and UGC Playbook for Tourism Australia</w:t>
      </w:r>
    </w:p>
    <w:p>
      <w:pPr>
        <w:jc w:val="center"/>
      </w:pPr>
      <w:r>
        <w:rPr>
          <w:b/>
        </w:rPr>
        <w:br/>
        <w:t>Applied Campaign Strategy Report</w:t>
        <w:br/>
      </w:r>
      <w:r>
        <w:t>Option 3 - Digital PR, Influencer Strategies, and Storytelling in Travel</w:t>
        <w:br/>
        <w:br/>
        <w:t>Student Copy 5</w:t>
        <w:br/>
        <w:br/>
      </w:r>
      <w:r>
        <w:t>Prepared for academic assessment</w:t>
        <w:br/>
        <w:t>September 2026</w:t>
      </w:r>
    </w:p>
    <w:p>
      <w:r>
        <w:br w:type="page"/>
      </w:r>
    </w:p>
    <w:p>
      <w:pPr>
        <w:pStyle w:val="Heading1"/>
        <w:keepNext/>
      </w:pPr>
      <w:r>
        <w:t>Table of Contents</w:t>
      </w:r>
    </w:p>
    <w:p>
      <w:pPr/>
      <w:r>
        <w:t>Executive Summary</w:t>
      </w:r>
    </w:p>
    <w:p>
      <w:pPr/>
      <w:r>
        <w:t>1. Introduction and Strategic Context</w:t>
      </w:r>
    </w:p>
    <w:p>
      <w:pPr/>
      <w:r>
        <w:t>2. Target Audience and Brand Positioning Analysis</w:t>
      </w:r>
    </w:p>
    <w:p>
      <w:pPr/>
      <w:r>
        <w:t>3. Communication Strategy and Messaging Framework</w:t>
      </w:r>
    </w:p>
    <w:p>
      <w:pPr/>
      <w:r>
        <w:t>4. Integrated Media Plan and Campaign Execution</w:t>
      </w:r>
    </w:p>
    <w:p>
      <w:pPr/>
      <w:r>
        <w:t>5. Crisis Communication and Public Relations Strategy</w:t>
      </w:r>
    </w:p>
    <w:p>
      <w:pPr/>
      <w:r>
        <w:t>6. Budgeting and Measurable KPIs</w:t>
      </w:r>
    </w:p>
    <w:p>
      <w:pPr/>
      <w:r>
        <w:t>7. Evaluation, Governance and Optimisation</w:t>
      </w:r>
    </w:p>
    <w:p>
      <w:pPr/>
      <w:r>
        <w:t>8. Conclusion and Recommendations</w:t>
      </w:r>
    </w:p>
    <w:p>
      <w:r>
        <w:t>References</w:t>
      </w:r>
    </w:p>
    <w:p>
      <w:r>
        <w:t>Appendices</w:t>
      </w:r>
    </w:p>
    <w:p>
      <w:r>
        <w:br w:type="page"/>
      </w:r>
    </w:p>
    <w:p>
      <w:pPr>
        <w:pStyle w:val="Heading1"/>
        <w:keepNext/>
      </w:pPr>
      <w:r>
        <w:t>Executive Summary</w:t>
      </w:r>
    </w:p>
    <w:p>
      <w:r>
        <w:t>This applied campaign strategy report develops a 12-month advertising and public relations program for Tourism Australia. The central strategic problem is not simply how to generate more visibility, but how to convert visibility into a differentiated, credible and measurable brand relationship. The report therefore links audience selection, positioning, message design, channel orchestration, public relations, crisis readiness, budget control and performance measurement. The proposed positioning presents Australia as a destination best discovered through credible people, surprising local stories and participatory experiences rather than iconic imagery alone. This direction responds to the wider shift from one-way promotion toward experience-led and trust-based communication, where audiences evaluate destinations and service brands through official messages, peer content, media coverage and digital interactions (Ong et al., 2024; Pourazad et al., 2025).</w:t>
      </w:r>
    </w:p>
    <w:p>
      <w:r>
        <w:t>The recommended creative platform is "See Australia Through Someone's Story.". It is designed to function as a unifying promise rather than a short-lived advertising slogan. Paid media creates controlled reach, owned channels provide depth and conversion pathways, earned media adds independent validation, and shared media supplies social proof. The plan prioritises digitally active travellers aged 18-39 in India, the United Kingdom, the United States and selected Asian markets who use social media for inspiration and trip planning. It uses a funnel in which broad inspiration is followed by evidence, itinerary or service detail, retargeting and a clear action. Public relations is integrated from the beginning because reputation is shaped by what stakeholders say and experience, not only by what the organisation purchases in media (John &amp; Supramaniam, 2026; Cachulo Pereira &amp; Mendes Bacalhau, 2026).</w:t>
      </w:r>
    </w:p>
    <w:p>
      <w:r>
        <w:t>A phased execution model is proposed: foundation and testing in months 1-3, scale and partnership amplification in months 4-6, experience and advocacy activation in months 7-9, and conversion plus learning in months 10-12. Measurement combines brand lift, qualified reach, engagement quality, earned-media sentiment, referral traffic, conversion, cost efficiency and outcome proxies. The campaign budget is AUD 6.40 million, allocated across paid media, content, creators/partners, PR, research, monitoring and contingency. The report concludes that disciplined integration is more valuable than channel volume: each channel should perform a defined role in one coherent customer journey (Rasool &amp; Zeidan, 2026; Tourism Australia, 2026).</w:t>
      </w:r>
    </w:p>
    <w:p>
      <w:pPr>
        <w:pStyle w:val="Heading1"/>
        <w:keepNext/>
      </w:pPr>
      <w:r>
        <w:t>1. Introduction and Strategic Context</w:t>
      </w:r>
    </w:p>
    <w:p>
      <w:r>
        <w:t>Advertising and public relations in tourism and hospitality operate in an unusually complex decision environment. Consumers purchase an experience that is partly intangible, often geographically distant, and evaluated after a substantial commitment of money and time. Brand meaning therefore depends on accumulated signals: visual identity, reviews, editorial coverage, employee behaviour, influencer narratives, search results and the consistency between promotional promise and delivered experience. For Tourism Australia, integrated communication must reduce uncertainty while creating emotional distinctiveness. Destination-brand research similarly emphasises that place brands are co-produced by institutions, residents, visitors and media rather than owned by a single marketer (Ong et al., 2024; Pourazad et al., 2025).</w:t>
      </w:r>
    </w:p>
    <w:p>
      <w:r>
        <w:t>The strategic context for Australia also requires balance between demand generation and brand stewardship. A campaign that maximises impressions but intensifies crowding, produces a credibility gap, or attracts poorly matched visitors can destroy long-term value. Conversely, communication that is so cautious that it lacks memorability cannot compete in global travel markets. The appropriate objective is therefore selective demand: attracting audiences whose motivations fit the proposition and whose behaviour supports commercial and reputational goals. This logic is consistent with contemporary work on smart tourism, digital influence and reputation, all of which stress the importance of data, relevance and stakeholder interaction (John &amp; Supramaniam, 2026; Rasool &amp; Zeidan, 2026).</w:t>
      </w:r>
    </w:p>
    <w:p>
      <w:r>
        <w:t>This report applies the assignment brief through a practical planning sequence. First, it identifies priority segments and defines the desired position. Second, it translates the position into a message architecture that can be adapted without losing strategic consistency. Third, it specifies an integrated media and execution calendar. Fourth, it develops a crisis and PR protocol to protect trust when events threaten the brand promise. Fifth, it allocates budget and establishes KPIs that connect communication activity to behavioural and reputational outcomes. The resulting plan is deliberately actionable: every recommendation is tied to an audience, channel role, timing logic and measurement method (Tourism Australia, 2026; Sun et al., 2026).</w:t>
      </w:r>
    </w:p>
    <w:p>
      <w:pPr>
        <w:pStyle w:val="Heading2"/>
        <w:keepNext/>
      </w:pPr>
      <w:r>
        <w:t>1.1 Case Study Benchmarking and Strategic Lessons</w:t>
      </w:r>
    </w:p>
    <w:p>
      <w:r>
        <w:t>Benchmarking is useful only when the underlying strategic mechanism is identified. For Australia, the relevant comparison set is UnDiscover Australia, Come and Say G'day, Tourism Australia's UGC program and contemporary short-form-video creator campaigns. The transferable lesson is not to imitate slogans or visual styles, but to examine how successful campaigns create memory structures, repeat recognisable associations and connect communications with distribution or experience. Strong destination and service brands make a limited promise repeatedly, while weaker campaigns often accumulate disconnected tactical ideas. The proposed strategy therefore treats consistency as a performance asset. Creative novelty is encouraged within a stable positioning system, so audiences can recognise the brand even when the storyteller, platform or season changes (Ong et al., 2024; Pourazad et al., 2025).</w:t>
      </w:r>
    </w:p>
    <w:p>
      <w:r>
        <w:t>A second lesson is that earned attention is usually produced by an idea with cultural or practical relevance, not by a press release announcing that a campaign exists. Tourism Australia should therefore design moments that journalists, creators and partners can interpret independently: new itineraries, community access, operational reforms, cultural collaborations, useful data or public commitments. This broadens the source of credibility and allows advertising to amplify a story that already has substance. The campaign should track whether third parties repeat the intended message in their own language; simple mention volume is insufficient if coverage focuses on a different or negative frame (John &amp; Supramaniam, 2026; Cachulo Pereira &amp; Mendes Bacalhau, 2026).</w:t>
      </w:r>
    </w:p>
    <w:p>
      <w:r>
        <w:t>Benchmarking also exposes failure modes. Campaigns can generate awareness while weakening trust when claims exceed evidence, when cultural representation is superficial, when creators are poorly matched to the audience, or when operational delivery contradicts the promise. The management implication is to build a pre-launch challenge process in which marketing, operations, legal, customer experience and relevant external stakeholders review high-risk claims and activations. This is not a creativity veto; it is a way to ensure that a memorable promise can survive public scrutiny. The more visible the campaign becomes, the more important this credibility test becomes (Rasool &amp; Zeidan, 2026; Tourism Australia, 2026).</w:t>
      </w:r>
    </w:p>
    <w:p>
      <w:r>
        <w:t>Finally, the best-practice standard should be judged across the full customer journey. An inspiring film that directs audiences to a generic homepage leaves value unrealised. A creator partnership without disclosure or measurable referral logic can create reach without accountability. An excellent crisis statement without operational remedy cannot rebuild trust. For that reason, each benchmark is translated into a design rule for the proposed plan: one positioning, sequenced channel roles, evidence-backed storytelling, measurable partner activity, clear response governance and a learning loop that connects campaign data to future decisions. Integration is therefore assessed by behavioural continuity rather than by the number of channels used (Sun et al., 2026; Hua, 2024).</w:t>
      </w:r>
    </w:p>
    <w:p>
      <w:pPr>
        <w:pStyle w:val="Heading1"/>
        <w:keepNext/>
      </w:pPr>
      <w:r>
        <w:t>2. Target Audience and Brand Positioning Analysis</w:t>
      </w:r>
    </w:p>
    <w:p>
      <w:r>
        <w:t>The primary audience is digitally active travellers aged 18-39 in India, the United Kingdom, the United States and selected Asian markets who use social media for inspiration and trip planning. This segment is preferable to a purely demographic mass market because its motivations can be linked directly to the proposed brand promise. A needs-based persona would seek inspiration first, reassurance second and practical planning information third. Its barriers include perceived cost, travel effort, uncertainty about authenticity, and fear that the promoted experience may be over-commercialised. Communication should therefore stage information: emotional imagery earns attention; proof points and peer voices build confidence; itinerary, service or booking content reduces friction. This sequencing reflects the principle that persuasive travel communication develops through both affective and cognitive processing (Pourazad et al., 2025; Cachulo Pereira &amp; Mendes Bacalhau, 2026).</w:t>
      </w:r>
    </w:p>
    <w:p>
      <w:r>
        <w:t>Three working personas guide execution. The first, the "Curious Explorer", values distinctive landscapes, food, culture and stories and is willing to trade convenience for a memorable experience. The second, the "Conscious Premium Traveller", expects quality but also wants evidence that tourism benefits communities and reduces avoidable harm. The third, the "Social Planner", uses short-form video, creator recommendations and peer posts to construct a shortlist before validating choices through search and official sources. These personas should not become stereotypes; they are operational hypotheses to be tested through campaign data and qualitative feedback (John &amp; Supramaniam, 2026; Rasool &amp; Zeidan, 2026).</w:t>
      </w:r>
    </w:p>
    <w:p>
      <w:r>
        <w:t>The recommended position is a destination best discovered through credible people, surprising local stories and participatory experiences rather than iconic imagery alone. Positioning must be evaluated against three tests: relevance to the chosen audience, distinctiveness from competitors, and credibility in the real experience. Comparative review of UnDiscover Australia, Come and Say G'day, Tourism Australia's UGC program and contemporary short-form-video creator campaigns shows that enduring campaigns use a limited number of recognisable associations and repeat them over time. The risk is overclaiming. When promotional language creates an absolute promise that stakeholders can readily contradict, the brand becomes a target for reputational critique. Accordingly, evidence and specificity should replace vague superlatives wherever possible (Ong et al., 2024; Tourism Australia, 2026).</w:t>
      </w:r>
    </w:p>
    <w:p>
      <w:r>
        <w:t>Perceptually, the campaign should move the brand away from a generic axis of "beautiful versus exciting" and toward a richer combination of depth, trust and participation. The intended association is not merely that the destination or service is attractive, but that it rewards considered engagement. This creates room for shoulder-season travel, regional dispersion, longer stays, community-based experiences and richer editorial storytelling. Segment performance should be monitored separately because a message that raises awareness in one market may not increase qualified consideration in another. Brand lift studies should therefore report results by market, persona, platform and exposure frequency (Sun et al., 2026; Hua, 2024).</w:t>
      </w:r>
    </w:p>
    <w:p>
      <w:r>
        <w:t>A portfolio approach should mix macro creators for fame, mid-tier specialists for category authority, micro creators for community credibility and UGC for social proof. Selection should weight audience fit, content quality, brand safety and conversion behaviour more heavily than follower count. This recommendation is consistent with research emphasising the interaction of credibility, stakeholder interpretation and channel context (John &amp; Supramaniam, 2026; Tourism Australia, 2026).</w:t>
      </w:r>
    </w:p>
    <w:p>
      <w:pPr>
        <w:pStyle w:val="Heading1"/>
        <w:keepNext/>
      </w:pPr>
      <w:r>
        <w:t>3. Communication Strategy and Messaging Framework</w:t>
      </w:r>
    </w:p>
    <w:p>
      <w:r>
        <w:t>The campaign platform, "See Australia Through Someone's Story.", should operate through a three-tier message architecture. Tier one is the emotional promise: a concise reason to care. Tier two is evidence: people, places, service improvements, cultural practices or operational facts that make the promise believable. Tier three is action: a specific next step such as explore, save, plan, enquire or book. This architecture prevents creative fragmentation because every execution can vary in format while still performing one of three strategic functions. Consistency across touchpoints is especially important in tourism where consumers may encounter dozens of messages over an extended planning cycle (Ong et al., 2024; John &amp; Supramaniam, 2026).</w:t>
      </w:r>
    </w:p>
    <w:p>
      <w:r>
        <w:t>Storytelling should be built around human stakes rather than an inventory of attractions or corporate claims. A strong story has a recognisable protagonist, a tension or question, a moment of discovery, and an outcome that demonstrates the brand idea. For Australia, storytellers can include residents, frontline employees, guides, creators, returning visitors, local businesses or experts depending on the topic. Their role is to supply texture and credibility. Scripts should preserve individual voice while meeting disclosure, safety, cultural and brand standards. This balances authenticity with governance and reduces the risk that polished content is perceived as manufactured (Cachulo Pereira &amp; Mendes Bacalhau, 2026; Rasool &amp; Zeidan, 2026).</w:t>
      </w:r>
    </w:p>
    <w:p>
      <w:r>
        <w:t>Message adaptation across channels should follow the principle of strategic consistency rather than visual duplication. A 30-second video may dramatise emotion, a six-second format may isolate one memory cue, an article may provide context, social posts may invite participation, and search copy may answer a high-intent question. The same concept can therefore appear differently without becoming inconsistent. Media relations materials should contain verifiable evidence, quotable spokespeople and independent relevance so that earned coverage is not treated as free advertising. The campaign needs news value as well as brand value (Tourism Australia, 2026; Sun et al., 2026).</w:t>
      </w:r>
    </w:p>
    <w:p>
      <w:r>
        <w:t>A pre-launch message test should compare at least three executions on comprehension, emotional response, credibility, distinctiveness and intended action. Testing should also identify unintended readings and cultural sensitivities. The highest-liked advertisement is not automatically the strongest strategic asset; content should be selected for its ability to express the position and move the priority audience. Once live, social listening and qualitative comment coding should be used to detect whether audiences repeat the intended associations in their own language. When they do, the campaign is beginning to create shared brand meaning rather than simply rented attention (Pourazad et al., 2025; Hua, 2024).</w:t>
      </w:r>
    </w:p>
    <w:p>
      <w:r>
        <w:t>Tourism Australia already uses tagged community content. The proposed playbook formalises this into a flywheel: prompt participation, curate strong stories, secure permissions, amplify selected posts, reward contributors with visibility, and use recurring themes to make audience participation part of brand memory. This recommendation is consistent with research emphasising the interaction of credibility, stakeholder interpretation and channel context (Cachulo Pereira &amp; Mendes Bacalhau, 2026; Sun et al., 2026).</w:t>
      </w:r>
    </w:p>
    <w:p>
      <w:pPr>
        <w:pStyle w:val="Heading1"/>
        <w:keepNext/>
      </w:pPr>
      <w:r>
        <w:t>4. Integrated Media Plan and Campaign Execution</w:t>
      </w:r>
    </w:p>
    <w:p>
      <w:r>
        <w:t>The media plan uses a paid-owned-earned-shared model. Paid video and social media generate efficient reach among priority segments; paid search captures active planning demand; selective out-of-home or print placements create fame in high-value contexts; owned web and CRM content convert interest into deeper planning; earned media supplies third-party legitimacy; and shared/creator content contributes peer endorsement. The goal is not equal investment in every channel. Each medium is chosen for a distinct job and judged using metrics appropriate to that job rather than a single vanity metric (John &amp; Supramaniam, 2026; Tourism Australia, 2026).</w:t>
      </w:r>
    </w:p>
    <w:p>
      <w:r>
        <w:t>Months 1-3 are the foundation stage. The team should complete baseline brand research, build a modular content library, establish tracking conventions, test landing pages, brief PR spokespeople and recruit partners. A controlled pilot across two priority markets should compare creative variants and audience definitions. Months 4-6 are the scale stage, using the best-performing combinations while launching editorial stories and partnerships. Months 7-9 focus on participation and advocacy through creator trips, community stories, live or interactive formats and UGC prompts. Months 10-12 shift weight toward conversion, retargeting, loyalty/advocacy and campaign learning (Rasool &amp; Zeidan, 2026; Sun et al., 2026).</w:t>
      </w:r>
    </w:p>
    <w:p>
      <w:r>
        <w:t>Channel integration is achieved through sequencing. For example, a prospect might first see a high-reach film, later encounter a creator's experience, search for a specific question, read an owned guide and finally receive a retargeted planning message. Frequency caps and exclusion rules should prevent overexposure. Creative should be refreshed before fatigue appears, but core brand codes should remain stable. Landing pages must correspond exactly to the promise in the referring advertisement; otherwise the campaign wastes paid attention and undermines trust. Media and content teams should therefore optimise against the same customer journey rather than separate departmental dashboards (Ong et al., 2024; Hua, 2024).</w:t>
      </w:r>
    </w:p>
    <w:p>
      <w:r>
        <w:t>Partnerships can extend reach and improve conversion efficiency when roles are explicit. Airlines, hotels, attractions, regional organisations, booking platforms, trade partners and cultural institutions can contribute inventory, data, distribution or storytelling. Co-funded activity should still preserve a clear hierarchy in which the destination or corporate brand remains intelligible. Every partner should receive a campaign toolkit specifying visual rules, approved claims, accessibility requirements, disclosure obligations, measurement tags and escalation contacts. This turns integration from an aspiration into an operational system (Pourazad et al., 2025; Cachulo Pereira &amp; Mendes Bacalhau, 2026).</w:t>
      </w:r>
    </w:p>
    <w:p>
      <w:pPr>
        <w:pStyle w:val="Heading2"/>
        <w:keepNext/>
      </w:pPr>
      <w:r>
        <w:t>12-Month Campaign Phasing</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Period</w:t>
            </w:r>
          </w:p>
        </w:tc>
        <w:tc>
          <w:tcPr>
            <w:tcW w:type="dxa" w:w="2412"/>
            <w:shd w:fill="D9E2F3"/>
          </w:tcPr>
          <w:p>
            <w:r>
              <w:t>Strategic focus</w:t>
            </w:r>
          </w:p>
        </w:tc>
        <w:tc>
          <w:tcPr>
            <w:tcW w:type="dxa" w:w="2412"/>
            <w:shd w:fill="D9E2F3"/>
          </w:tcPr>
          <w:p>
            <w:r>
              <w:t>Key activity</w:t>
            </w:r>
          </w:p>
        </w:tc>
        <w:tc>
          <w:tcPr>
            <w:tcW w:type="dxa" w:w="2412"/>
            <w:shd w:fill="D9E2F3"/>
          </w:tcPr>
          <w:p>
            <w:r>
              <w:t>Decision gate</w:t>
            </w:r>
          </w:p>
        </w:tc>
      </w:tr>
      <w:tr>
        <w:tc>
          <w:tcPr>
            <w:tcW w:type="dxa" w:w="2412"/>
            <w:vAlign w:val="center"/>
          </w:tcPr>
          <w:p>
            <w:r>
              <w:t>Months 1-3</w:t>
            </w:r>
          </w:p>
        </w:tc>
        <w:tc>
          <w:tcPr>
            <w:tcW w:type="dxa" w:w="2412"/>
            <w:vAlign w:val="center"/>
          </w:tcPr>
          <w:p>
            <w:r>
              <w:t>Foundation &amp; test</w:t>
            </w:r>
          </w:p>
        </w:tc>
        <w:tc>
          <w:tcPr>
            <w:tcW w:type="dxa" w:w="2412"/>
            <w:vAlign w:val="center"/>
          </w:tcPr>
          <w:p>
            <w:r>
              <w:t>Research, content build, tracking, pilot media, spokesperson preparation</w:t>
            </w:r>
          </w:p>
        </w:tc>
        <w:tc>
          <w:tcPr>
            <w:tcW w:type="dxa" w:w="2412"/>
            <w:vAlign w:val="center"/>
          </w:tcPr>
          <w:p>
            <w:r>
              <w:t>Scale only messages/audiences meeting quality thresholds</w:t>
            </w:r>
          </w:p>
        </w:tc>
      </w:tr>
      <w:tr>
        <w:tc>
          <w:tcPr>
            <w:tcW w:type="dxa" w:w="2412"/>
            <w:vAlign w:val="center"/>
          </w:tcPr>
          <w:p>
            <w:r>
              <w:t>Months 4-6</w:t>
            </w:r>
          </w:p>
        </w:tc>
        <w:tc>
          <w:tcPr>
            <w:tcW w:type="dxa" w:w="2412"/>
            <w:vAlign w:val="center"/>
          </w:tcPr>
          <w:p>
            <w:r>
              <w:t>Scale &amp; earn</w:t>
            </w:r>
          </w:p>
        </w:tc>
        <w:tc>
          <w:tcPr>
            <w:tcW w:type="dxa" w:w="2412"/>
            <w:vAlign w:val="center"/>
          </w:tcPr>
          <w:p>
            <w:r>
              <w:t>Increase paid reach, partnerships, PR stories and high-performing creative</w:t>
            </w:r>
          </w:p>
        </w:tc>
        <w:tc>
          <w:tcPr>
            <w:tcW w:type="dxa" w:w="2412"/>
            <w:vAlign w:val="center"/>
          </w:tcPr>
          <w:p>
            <w:r>
              <w:t>Reallocate spend by qualified response and brand lift</w:t>
            </w:r>
          </w:p>
        </w:tc>
      </w:tr>
      <w:tr>
        <w:tc>
          <w:tcPr>
            <w:tcW w:type="dxa" w:w="2412"/>
            <w:vAlign w:val="center"/>
          </w:tcPr>
          <w:p>
            <w:r>
              <w:t>Months 7-9</w:t>
            </w:r>
          </w:p>
        </w:tc>
        <w:tc>
          <w:tcPr>
            <w:tcW w:type="dxa" w:w="2412"/>
            <w:vAlign w:val="center"/>
          </w:tcPr>
          <w:p>
            <w:r>
              <w:t>Participate &amp; advocate</w:t>
            </w:r>
          </w:p>
        </w:tc>
        <w:tc>
          <w:tcPr>
            <w:tcW w:type="dxa" w:w="2412"/>
            <w:vAlign w:val="center"/>
          </w:tcPr>
          <w:p>
            <w:r>
              <w:t>Creator/partner activations, UGC, community or employee storytelling</w:t>
            </w:r>
          </w:p>
        </w:tc>
        <w:tc>
          <w:tcPr>
            <w:tcW w:type="dxa" w:w="2412"/>
            <w:vAlign w:val="center"/>
          </w:tcPr>
          <w:p>
            <w:r>
              <w:t>Check sentiment, saturation and conversion quality</w:t>
            </w:r>
          </w:p>
        </w:tc>
      </w:tr>
      <w:tr>
        <w:tc>
          <w:tcPr>
            <w:tcW w:type="dxa" w:w="2412"/>
            <w:vAlign w:val="center"/>
          </w:tcPr>
          <w:p>
            <w:r>
              <w:t>Months 10-12</w:t>
            </w:r>
          </w:p>
        </w:tc>
        <w:tc>
          <w:tcPr>
            <w:tcW w:type="dxa" w:w="2412"/>
            <w:vAlign w:val="center"/>
          </w:tcPr>
          <w:p>
            <w:r>
              <w:t>Convert &amp; learn</w:t>
            </w:r>
          </w:p>
        </w:tc>
        <w:tc>
          <w:tcPr>
            <w:tcW w:type="dxa" w:w="2412"/>
            <w:vAlign w:val="center"/>
          </w:tcPr>
          <w:p>
            <w:r>
              <w:t>Retargeting, CRM, seasonal offers, advocacy and evaluation</w:t>
            </w:r>
          </w:p>
        </w:tc>
        <w:tc>
          <w:tcPr>
            <w:tcW w:type="dxa" w:w="2412"/>
            <w:vAlign w:val="center"/>
          </w:tcPr>
          <w:p>
            <w:r>
              <w:t>Document learning and build next-year plan</w:t>
            </w:r>
          </w:p>
        </w:tc>
      </w:tr>
    </w:tbl>
    <w:p>
      <w:pPr>
        <w:pStyle w:val="Heading1"/>
        <w:keepNext/>
      </w:pPr>
      <w:r>
        <w:t>5. Crisis Communication and Public Relations Strategy</w:t>
      </w:r>
    </w:p>
    <w:p>
      <w:r>
        <w:t>Crisis communication is treated as part of the campaign architecture rather than a separate emergency document. The first principle is speed without speculation. Within the first hour of a material incident, the organisation should acknowledge awareness, state what is known, explain immediate protective action and give a time for the next update. If facts are incomplete, uncertainty should be named directly. Silence creates an information vacuum, but premature certainty creates a credibility problem. A pre-approved holding statement library, 24-hour escalation tree and cross-functional decision group are therefore essential (Ong et al., 2024; Pourazad et al., 2025).</w:t>
      </w:r>
    </w:p>
    <w:p>
      <w:r>
        <w:t>The response strategy should reflect perceived responsibility. Where stakeholders see the organisation as a victim of an external event, instructing and adjusting information may be sufficient. Where operational or management failure contributed, stakeholders expect stronger accommodation: apology where warranted, compensation or remedy, and visible corrective action. The practical lesson is that organisations cannot assign their own crisis category unilaterally; public attribution matters. Social listening, customer-service data and media questions should therefore be used to assess how responsibility is actually being interpreted (Cachulo Pereira &amp; Mendes Bacalhau, 2026; Rasool &amp; Zeidan, 2026).</w:t>
      </w:r>
    </w:p>
    <w:p>
      <w:r>
        <w:t>A five-step PR sequence is recommended: verify, protect, acknowledge, act and evidence. 'Verify' creates a shared fact base; 'protect' prioritises affected people; 'acknowledge' communicates empathy and responsibility appropriate to the facts; 'act' describes concrete measures; and 'evidence' reports progress until normal confidence is restored. Spokesperson selection should follow expertise: safety or technical incidents require operational authority, customer-harm incidents require senior accountability, and community issues may need credible local voices. One spokesperson cannot credibly answer every type of crisis (Tourism Australia, 2026; Sun et al., 2026).</w:t>
      </w:r>
    </w:p>
    <w:p>
      <w:r>
        <w:t>Post-crisis recovery must continue after media attention falls. The organisation should publish what changed, track commitments and demonstrate whether promised reforms were implemented. Campaign advertising should be paused or modified when celebratory creative clashes with active harm. Restart criteria should be based on operational stability, stakeholder needs and sentiment rather than a fixed number of days. A post-incident review should capture timeline, decision quality, message effectiveness, misinformation patterns and process failures so that the next response begins from institutional learning rather than memory (John &amp; Supramaniam, 2026; Hua, 2024).</w:t>
      </w:r>
    </w:p>
    <w:p>
      <w:r>
        <w:t>Paid partnerships should use conspicuous sponsorship disclosure and preserve the creator’s recognisable voice. Over-scripted content can reduce perceived authenticity; under-governed content can create factual, cultural or safety risks. The solution is clear non-negotiables around claims and conduct combined with creative freedom in storytelling. This recommendation is consistent with research emphasising the interaction of credibility, stakeholder interpretation and channel context (Rasool &amp; Zeidan, 2026; Hua, 2024).</w:t>
      </w:r>
    </w:p>
    <w:p>
      <w:pPr>
        <w:pStyle w:val="Heading1"/>
        <w:keepNext/>
      </w:pPr>
      <w:r>
        <w:t>6. Budgeting and Measurable KPIs</w:t>
      </w:r>
    </w:p>
    <w:p>
      <w:r>
        <w:t>The proposed annual budget is AUD 6.40 million. A practical allocation is 38% paid media, 18% content production, 12% creator or strategic partnerships, 10% public relations and media relations, 8% research and brand measurement, 7% technology/social listening/analytics and 7% contingency. The allocation is intentionally flexible. Up to 15% of paid media should be held back at launch so investment can move toward markets, formats and audiences that demonstrate qualified response rather than simply cheap impressions. Budget governance should distinguish committed production costs from optimisable working media (Rasool &amp; Zeidan, 2026; Sun et al., 2026).</w:t>
      </w:r>
    </w:p>
    <w:p>
      <w:r>
        <w:t>KPIs should form a hierarchy. At the top are outcome indicators such as qualified consideration, booking or enquiry contribution, brand trust, destination/service preference and incremental revenue proxies. Mid-funnel indicators include engaged video completion, saves, itinerary views, return visits, newsletter sign-ups and branded search growth. Channel indicators include reach, frequency, viewable impressions, cost per completed view, click-through rate and cost per qualified visit. Earned media should be assessed through message inclusion, prominence, sentiment and referral behaviour, not only advertising-value equivalency (Ong et al., 2024; John &amp; Supramaniam, 2026).</w:t>
      </w:r>
    </w:p>
    <w:p>
      <w:r>
        <w:t>Measurement requires a baseline and a counterfactual wherever feasible. Brand-lift studies can compare exposed and unexposed audiences; geo or market tests can compare different media weights; tagged links and server-side analytics can connect partner traffic to downstream actions; and incrementality tests can estimate whether retargeting is creating behaviour or merely claiming credit for behaviour that would have occurred anyway. Reporting should separate leading indicators from lagging outcomes so teams do not abandon long-term brand building simply because conversion data arrives faster (Pourazad et al., 2025; Hua, 2024).</w:t>
      </w:r>
    </w:p>
    <w:p>
      <w:r>
        <w:t>A monthly dashboard should show target, actual, variance, interpretation and action. Red flags include high reach with low recall, strong engagement with weak site depth, favourable sentiment with low conversion, or conversion concentrated among existing customers rather than new prospects. Each red flag needs an agreed diagnostic response. For example, low recall after high reach suggests weak creative distinctiveness; high click volume but rapid exit suggests promise-to-page mismatch; strong awareness but low intent may indicate price, access or credibility barriers. Measurement is useful only when tied to decisions (Cachulo Pereira &amp; Mendes Bacalhau, 2026; Tourism Australia, 2026).</w:t>
      </w:r>
    </w:p>
    <w:p>
      <w:pPr>
        <w:pStyle w:val="Heading2"/>
        <w:keepNext/>
      </w:pPr>
      <w:r>
        <w:t>Illustrative Budget Allocation</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Workstream</w:t>
            </w:r>
          </w:p>
        </w:tc>
        <w:tc>
          <w:tcPr>
            <w:tcW w:type="dxa" w:w="3216"/>
            <w:shd w:fill="D9E2F3"/>
          </w:tcPr>
          <w:p>
            <w:r>
              <w:t>Share</w:t>
            </w:r>
          </w:p>
        </w:tc>
        <w:tc>
          <w:tcPr>
            <w:tcW w:type="dxa" w:w="3216"/>
            <w:shd w:fill="D9E2F3"/>
          </w:tcPr>
          <w:p>
            <w:r>
              <w:t>Management principle</w:t>
            </w:r>
          </w:p>
        </w:tc>
      </w:tr>
      <w:tr>
        <w:tc>
          <w:tcPr>
            <w:tcW w:type="dxa" w:w="3216"/>
          </w:tcPr>
          <w:p>
            <w:r>
              <w:t>Paid media</w:t>
            </w:r>
          </w:p>
        </w:tc>
        <w:tc>
          <w:tcPr>
            <w:tcW w:type="dxa" w:w="3216"/>
          </w:tcPr>
          <w:p>
            <w:r>
              <w:t>38%</w:t>
            </w:r>
          </w:p>
        </w:tc>
        <w:tc>
          <w:tcPr>
            <w:tcW w:type="dxa" w:w="3216"/>
          </w:tcPr>
          <w:p>
            <w:r>
              <w:t>Optimise by incremental qualified response</w:t>
            </w:r>
          </w:p>
        </w:tc>
      </w:tr>
      <w:tr>
        <w:tc>
          <w:tcPr>
            <w:tcW w:type="dxa" w:w="3216"/>
          </w:tcPr>
          <w:p>
            <w:r>
              <w:t>Content production</w:t>
            </w:r>
          </w:p>
        </w:tc>
        <w:tc>
          <w:tcPr>
            <w:tcW w:type="dxa" w:w="3216"/>
          </w:tcPr>
          <w:p>
            <w:r>
              <w:t>18%</w:t>
            </w:r>
          </w:p>
        </w:tc>
        <w:tc>
          <w:tcPr>
            <w:tcW w:type="dxa" w:w="3216"/>
          </w:tcPr>
          <w:p>
            <w:r>
              <w:t>Modular assets for cross-channel reuse</w:t>
            </w:r>
          </w:p>
        </w:tc>
      </w:tr>
      <w:tr>
        <w:tc>
          <w:tcPr>
            <w:tcW w:type="dxa" w:w="3216"/>
          </w:tcPr>
          <w:p>
            <w:r>
              <w:t>Creators / partnerships</w:t>
            </w:r>
          </w:p>
        </w:tc>
        <w:tc>
          <w:tcPr>
            <w:tcW w:type="dxa" w:w="3216"/>
          </w:tcPr>
          <w:p>
            <w:r>
              <w:t>12%</w:t>
            </w:r>
          </w:p>
        </w:tc>
        <w:tc>
          <w:tcPr>
            <w:tcW w:type="dxa" w:w="3216"/>
          </w:tcPr>
          <w:p>
            <w:r>
              <w:t>Audience fit, governance and measurable deliverables</w:t>
            </w:r>
          </w:p>
        </w:tc>
      </w:tr>
      <w:tr>
        <w:tc>
          <w:tcPr>
            <w:tcW w:type="dxa" w:w="3216"/>
          </w:tcPr>
          <w:p>
            <w:r>
              <w:t>PR / media relations</w:t>
            </w:r>
          </w:p>
        </w:tc>
        <w:tc>
          <w:tcPr>
            <w:tcW w:type="dxa" w:w="3216"/>
          </w:tcPr>
          <w:p>
            <w:r>
              <w:t>10%</w:t>
            </w:r>
          </w:p>
        </w:tc>
        <w:tc>
          <w:tcPr>
            <w:tcW w:type="dxa" w:w="3216"/>
          </w:tcPr>
          <w:p>
            <w:r>
              <w:t>Earned relevance and stakeholder communication</w:t>
            </w:r>
          </w:p>
        </w:tc>
      </w:tr>
      <w:tr>
        <w:tc>
          <w:tcPr>
            <w:tcW w:type="dxa" w:w="3216"/>
          </w:tcPr>
          <w:p>
            <w:r>
              <w:t>Research / brand measurement</w:t>
            </w:r>
          </w:p>
        </w:tc>
        <w:tc>
          <w:tcPr>
            <w:tcW w:type="dxa" w:w="3216"/>
          </w:tcPr>
          <w:p>
            <w:r>
              <w:t>8%</w:t>
            </w:r>
          </w:p>
        </w:tc>
        <w:tc>
          <w:tcPr>
            <w:tcW w:type="dxa" w:w="3216"/>
          </w:tcPr>
          <w:p>
            <w:r>
              <w:t>Baseline, lift and qualitative learning</w:t>
            </w:r>
          </w:p>
        </w:tc>
      </w:tr>
      <w:tr>
        <w:tc>
          <w:tcPr>
            <w:tcW w:type="dxa" w:w="3216"/>
          </w:tcPr>
          <w:p>
            <w:r>
              <w:t>Analytics / social listening</w:t>
            </w:r>
          </w:p>
        </w:tc>
        <w:tc>
          <w:tcPr>
            <w:tcW w:type="dxa" w:w="3216"/>
          </w:tcPr>
          <w:p>
            <w:r>
              <w:t>7%</w:t>
            </w:r>
          </w:p>
        </w:tc>
        <w:tc>
          <w:tcPr>
            <w:tcW w:type="dxa" w:w="3216"/>
          </w:tcPr>
          <w:p>
            <w:r>
              <w:t>Real-time optimisation and risk detection</w:t>
            </w:r>
          </w:p>
        </w:tc>
      </w:tr>
      <w:tr>
        <w:tc>
          <w:tcPr>
            <w:tcW w:type="dxa" w:w="3216"/>
          </w:tcPr>
          <w:p>
            <w:r>
              <w:t>Contingency</w:t>
            </w:r>
          </w:p>
        </w:tc>
        <w:tc>
          <w:tcPr>
            <w:tcW w:type="dxa" w:w="3216"/>
          </w:tcPr>
          <w:p>
            <w:r>
              <w:t>7%</w:t>
            </w:r>
          </w:p>
        </w:tc>
        <w:tc>
          <w:tcPr>
            <w:tcW w:type="dxa" w:w="3216"/>
          </w:tcPr>
          <w:p>
            <w:r>
              <w:t>Crisis, opportunity and market volatility reserve</w:t>
            </w:r>
          </w:p>
        </w:tc>
      </w:tr>
    </w:tbl>
    <w:p>
      <w:r>
        <w:t>Total planned envelope: AUD 6.40 million. Figures are proposed planning assumptions and should be validated against procurement quotes, market media costs and organisational finance rules.</w:t>
      </w:r>
    </w:p>
    <w:p>
      <w:pPr>
        <w:pStyle w:val="Heading2"/>
        <w:keepNext/>
      </w:pPr>
      <w:r>
        <w:t>KPI Scorecard</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Objective</w:t>
            </w:r>
          </w:p>
        </w:tc>
        <w:tc>
          <w:tcPr>
            <w:tcW w:type="dxa" w:w="2412"/>
            <w:shd w:fill="D9E2F3"/>
          </w:tcPr>
          <w:p>
            <w:r>
              <w:t>Primary KPI</w:t>
            </w:r>
          </w:p>
        </w:tc>
        <w:tc>
          <w:tcPr>
            <w:tcW w:type="dxa" w:w="2412"/>
            <w:shd w:fill="D9E2F3"/>
          </w:tcPr>
          <w:p>
            <w:r>
              <w:t>Supporting KPI</w:t>
            </w:r>
          </w:p>
        </w:tc>
        <w:tc>
          <w:tcPr>
            <w:tcW w:type="dxa" w:w="2412"/>
            <w:shd w:fill="D9E2F3"/>
          </w:tcPr>
          <w:p>
            <w:r>
              <w:t>Review cadence</w:t>
            </w:r>
          </w:p>
        </w:tc>
      </w:tr>
      <w:tr>
        <w:tc>
          <w:tcPr>
            <w:tcW w:type="dxa" w:w="2412"/>
          </w:tcPr>
          <w:p>
            <w:r>
              <w:t>Build salience</w:t>
            </w:r>
          </w:p>
        </w:tc>
        <w:tc>
          <w:tcPr>
            <w:tcW w:type="dxa" w:w="2412"/>
          </w:tcPr>
          <w:p>
            <w:r>
              <w:t>Aided/unaided awareness</w:t>
            </w:r>
          </w:p>
        </w:tc>
        <w:tc>
          <w:tcPr>
            <w:tcW w:type="dxa" w:w="2412"/>
          </w:tcPr>
          <w:p>
            <w:r>
              <w:t>Qualified reach, frequency, video completion</w:t>
            </w:r>
          </w:p>
        </w:tc>
        <w:tc>
          <w:tcPr>
            <w:tcW w:type="dxa" w:w="2412"/>
          </w:tcPr>
          <w:p>
            <w:r>
              <w:t>Quarterly brand lift</w:t>
            </w:r>
          </w:p>
        </w:tc>
      </w:tr>
      <w:tr>
        <w:tc>
          <w:tcPr>
            <w:tcW w:type="dxa" w:w="2412"/>
          </w:tcPr>
          <w:p>
            <w:r>
              <w:t>Strengthen preference</w:t>
            </w:r>
          </w:p>
        </w:tc>
        <w:tc>
          <w:tcPr>
            <w:tcW w:type="dxa" w:w="2412"/>
          </w:tcPr>
          <w:p>
            <w:r>
              <w:t>Consideration / trust</w:t>
            </w:r>
          </w:p>
        </w:tc>
        <w:tc>
          <w:tcPr>
            <w:tcW w:type="dxa" w:w="2412"/>
          </w:tcPr>
          <w:p>
            <w:r>
              <w:t>Message association, sentiment, saves</w:t>
            </w:r>
          </w:p>
        </w:tc>
        <w:tc>
          <w:tcPr>
            <w:tcW w:type="dxa" w:w="2412"/>
          </w:tcPr>
          <w:p>
            <w:r>
              <w:t>Monthly + quarterly</w:t>
            </w:r>
          </w:p>
        </w:tc>
      </w:tr>
      <w:tr>
        <w:tc>
          <w:tcPr>
            <w:tcW w:type="dxa" w:w="2412"/>
          </w:tcPr>
          <w:p>
            <w:r>
              <w:t>Drive action</w:t>
            </w:r>
          </w:p>
        </w:tc>
        <w:tc>
          <w:tcPr>
            <w:tcW w:type="dxa" w:w="2412"/>
          </w:tcPr>
          <w:p>
            <w:r>
              <w:t>Qualified visit / enquiry / booking proxy</w:t>
            </w:r>
          </w:p>
        </w:tc>
        <w:tc>
          <w:tcPr>
            <w:tcW w:type="dxa" w:w="2412"/>
          </w:tcPr>
          <w:p>
            <w:r>
              <w:t>CTR, itinerary views, return visits</w:t>
            </w:r>
          </w:p>
        </w:tc>
        <w:tc>
          <w:tcPr>
            <w:tcW w:type="dxa" w:w="2412"/>
          </w:tcPr>
          <w:p>
            <w:r>
              <w:t>Weekly + monthly</w:t>
            </w:r>
          </w:p>
        </w:tc>
      </w:tr>
      <w:tr>
        <w:tc>
          <w:tcPr>
            <w:tcW w:type="dxa" w:w="2412"/>
          </w:tcPr>
          <w:p>
            <w:r>
              <w:t>Earn advocacy</w:t>
            </w:r>
          </w:p>
        </w:tc>
        <w:tc>
          <w:tcPr>
            <w:tcW w:type="dxa" w:w="2412"/>
          </w:tcPr>
          <w:p>
            <w:r>
              <w:t>Positive earned share / UGC quality</w:t>
            </w:r>
          </w:p>
        </w:tc>
        <w:tc>
          <w:tcPr>
            <w:tcW w:type="dxa" w:w="2412"/>
          </w:tcPr>
          <w:p>
            <w:r>
              <w:t>Referral traffic, creator comment quality</w:t>
            </w:r>
          </w:p>
        </w:tc>
        <w:tc>
          <w:tcPr>
            <w:tcW w:type="dxa" w:w="2412"/>
          </w:tcPr>
          <w:p>
            <w:r>
              <w:t>Monthly</w:t>
            </w:r>
          </w:p>
        </w:tc>
      </w:tr>
      <w:tr>
        <w:tc>
          <w:tcPr>
            <w:tcW w:type="dxa" w:w="2412"/>
          </w:tcPr>
          <w:p>
            <w:r>
              <w:t>Protect reputation</w:t>
            </w:r>
          </w:p>
        </w:tc>
        <w:tc>
          <w:tcPr>
            <w:tcW w:type="dxa" w:w="2412"/>
          </w:tcPr>
          <w:p>
            <w:r>
              <w:t>Issue response time / trust recovery</w:t>
            </w:r>
          </w:p>
        </w:tc>
        <w:tc>
          <w:tcPr>
            <w:tcW w:type="dxa" w:w="2412"/>
          </w:tcPr>
          <w:p>
            <w:r>
              <w:t>Sentiment velocity, commitment completion</w:t>
            </w:r>
          </w:p>
        </w:tc>
        <w:tc>
          <w:tcPr>
            <w:tcW w:type="dxa" w:w="2412"/>
          </w:tcPr>
          <w:p>
            <w:r>
              <w:t>Event-based</w:t>
            </w:r>
          </w:p>
        </w:tc>
      </w:tr>
    </w:tbl>
    <w:p>
      <w:pPr>
        <w:pStyle w:val="Heading1"/>
        <w:keepNext/>
      </w:pPr>
      <w:r>
        <w:t>7. Evaluation, Governance and Optimisation</w:t>
      </w:r>
    </w:p>
    <w:p>
      <w:r>
        <w:t>Governance should be organised around one integrated campaign council rather than independent advertising, PR, digital and partnership teams. The council should meet weekly during launch and fortnightly after stabilisation. A single decision log should record major changes to audience, spend, message and risk settings. This avoids contradictory optimisation, such as a media team chasing cheap reach while a PR team is attempting to narrow demand or protect reputation. Shared objectives create discipline across specialist functions (Ong et al., 2024; Sun et al., 2026).</w:t>
      </w:r>
    </w:p>
    <w:p>
      <w:r>
        <w:t>The evaluation framework combines quantitative and qualitative evidence. Quantitative metrics reveal scale, movement and efficiency; qualitative material explains why audiences respond as they do. Monthly social-listening samples, media-framing reviews, creator comment analysis and customer-service themes should therefore sit beside dashboards. Unexpected negative commentary should not automatically be classified as campaign failure: it may reveal a real delivery issue, stakeholder tension or contested brand claim that requires operational action. Communication is strongest when it feeds learning back into management (Cachulo Pereira &amp; Mendes Bacalhau, 2026; Rasool &amp; Zeidan, 2026).</w:t>
      </w:r>
    </w:p>
    <w:p>
      <w:r>
        <w:t>Optimisation should follow a test-and-learn backlog. Each test must state a hypothesis, primary metric, minimum observation window and decision threshold before launch. Useful tests include message framing, creator type, video length, call-to-action, landing-page structure, audience exclusions and sequencing. Testing too many variables simultaneously destroys interpretability. The campaign should therefore run fewer but cleaner experiments, then scale learning across markets where the underlying audience behaviour is comparable (John &amp; Supramaniam, 2026; Tourism Australia, 2026).</w:t>
      </w:r>
    </w:p>
    <w:p>
      <w:r>
        <w:t>Ethical governance is also a performance issue. Sponsored creator content must be clearly disclosed; cultural and community stories require appropriate consent and context; accessibility should be built into captions, contrast and content design; privacy standards should constrain audience targeting; and environmental or social claims should be evidence-based. These safeguards reduce legal and reputational exposure while increasing message credibility. Long-term brand equity depends on the consistency between what the campaign asks audiences to believe and how the organisation behaves (Pourazad et al., 2025; Hua, 2024).</w:t>
      </w:r>
    </w:p>
    <w:p>
      <w:pPr>
        <w:pStyle w:val="Heading2"/>
        <w:keepNext/>
      </w:pPr>
      <w:r>
        <w:t>7.1 Implementation Risks and Controls</w:t>
      </w:r>
    </w:p>
    <w:p>
      <w:r>
        <w:t>Implementation risk should be managed through a live register rather than an end-of-project review. The most material risks for Tourism Australia are creative fatigue, weak partner compliance, budget inflation, platform policy change, reputational controversy, inaccurate claims, tracking failure and a mismatch between campaign demand and operational capacity. Each risk should have an owner, an early-warning indicator, a mitigation action and a trigger for escalation. For example, rapidly declining completion rates can signal creative fatigue; unusual negative-comment velocity can signal an emerging issue; and a widening gap between media clicks and qualified site behaviour can signal poor message-to-landing-page alignment. Controls should be reviewed alongside performance so that optimisation does not create new brand or compliance exposure. This approach reinforces the principle that campaign management is both a growth discipline and a risk discipline (Pourazad et al., 2025; Sun et al., 2026).</w:t>
      </w:r>
    </w:p>
    <w:p>
      <w:pPr>
        <w:pStyle w:val="Heading1"/>
        <w:keepNext/>
      </w:pPr>
      <w:r>
        <w:t>8. Conclusion and Recommendations</w:t>
      </w:r>
    </w:p>
    <w:p>
      <w:r>
        <w:t>The recommended strategy for Tourism Australia treats advertising and public relations as one reputation-and-demand system. The campaign should focus on digitally active travellers aged 18-39 in India, the United Kingdom, the United States and selected Asian markets who use social media for inspiration and trip planning, position Australia as a destination best discovered through credible people, surprising local stories and participatory experiences rather than iconic imagery alone, and organise execution around the platform "See Australia Through Someone's Story.". The strongest competitive advantage is coherence: audience insight informs the promise; the promise informs creative; creative informs channel choice; PR supplies independent relevance; crisis preparation protects trust; and measurement determines what is scaled, revised or stopped (Ong et al., 2024; Tourism Australia, 2026).</w:t>
      </w:r>
    </w:p>
    <w:p>
      <w:r>
        <w:t>Five recommendations should guide implementation. First, protect a small number of distinctive brand associations rather than constantly replacing the idea. Second, use creators, partners and earned media for credibility and cultural reach, not merely for borrowed follower counts. Third, connect every paid impression to an owned experience that answers the next planning question. Fourth, rehearse crisis decisions before they are needed and align responses with stakeholder perceptions of responsibility. Fifth, evaluate success through incremental movement in qualified audiences, not raw exposure. These recommendations convert integrated communication from a collection of channels into a managed customer and stakeholder journey (John &amp; Supramaniam, 2026; Hua, 2024).</w:t>
      </w:r>
    </w:p>
    <w:p>
      <w:r>
        <w:t>The 12-month plan should be regarded as a disciplined learning cycle rather than a fixed media schedule. Baseline research establishes what must change; the pilot reveals which combinations of message and audience work; scaled activity builds memory and participation; and year-end analysis converts evidence into the next planning cycle. In this way, communication becomes both an external growth mechanism and an internal feedback system. The result is a more resilient brand because it is designed to earn attention, withstand scrutiny and demonstrate value through experience and evidence (Pourazad et al., 2025; Sun et al., 2026) The final implementation review should also capture which assumptions proved wrong, because explicit learning from failed tests is as valuable as documenting successful tactics. This protects future budgets from repeating weak choices and strengthens organisational memory..</w:t>
      </w:r>
    </w:p>
    <w:p>
      <w:r>
        <w:br w:type="page"/>
      </w:r>
    </w:p>
    <w:p>
      <w:pPr>
        <w:pStyle w:val="Heading1"/>
        <w:keepNext/>
      </w:pPr>
      <w:r>
        <w:t>References</w:t>
      </w:r>
    </w:p>
    <w:p>
      <w:pPr>
        <w:spacing w:line="480" w:lineRule="auto"/>
        <w:ind w:left="720" w:hanging="720"/>
      </w:pPr>
      <w:r>
        <w:t>Cachulo Pereira, M., &amp; Mendes Bacalhau, L. (2026). Scroll, watch, travel: An integrative framework of short-form video influence in destination marketing and place branding. Place Branding and Public Diplomacy, 22, 489-511. https://doi.org/10.1057/s41254-026-00443-7</w:t>
      </w:r>
    </w:p>
    <w:p>
      <w:pPr>
        <w:spacing w:line="480" w:lineRule="auto"/>
        <w:ind w:left="720" w:hanging="720"/>
      </w:pPr>
      <w:r>
        <w:t>Hua, Y. (2024). Influence of user-generated content (UGC) in social media on the intangible cultural heritage preservation of Gen Z tourists in the digital economy era. International Journal of Tourism Research, 26(5), e2743. https://doi.org/10.1002/jtr.2743</w:t>
      </w:r>
    </w:p>
    <w:p>
      <w:pPr>
        <w:spacing w:line="480" w:lineRule="auto"/>
        <w:ind w:left="720" w:hanging="720"/>
      </w:pPr>
      <w:r>
        <w:t>John, S. P., &amp; Supramaniam, K. (2026). Influencer marketing and tourist behaviour: A systematic literature review of attitudes, intentions and behaviours in tourism. International Journal of Tourism Research, 28(1), e70226. https://doi.org/10.1002/jtr.70226</w:t>
      </w:r>
    </w:p>
    <w:p>
      <w:pPr>
        <w:spacing w:line="480" w:lineRule="auto"/>
        <w:ind w:left="720" w:hanging="720"/>
      </w:pPr>
      <w:r>
        <w:t>Ong, Y. X., Sun, T., &amp; Ito, N. (2024). Understanding followers' processing and perceptions of social media influencer destination marketing: Differences between Millennials and Gen Zs. Journal of Hospitality and Tourism Management, 60, 194-207. https://doi.org/10.1016/j.jhtm.2024.07.003</w:t>
      </w:r>
    </w:p>
    <w:p>
      <w:pPr>
        <w:spacing w:line="480" w:lineRule="auto"/>
        <w:ind w:left="720" w:hanging="720"/>
      </w:pPr>
      <w:r>
        <w:t>Pourazad, N., Stocchi, L., &amp; Simmonds, L. (2025). Influencers and the choice of a travel destination: A customer journey and information processing perspective. Information Technology &amp; Tourism, 27, 1185-1228. https://doi.org/10.1007/s40558-025-00330-6</w:t>
      </w:r>
    </w:p>
    <w:p>
      <w:pPr>
        <w:spacing w:line="480" w:lineRule="auto"/>
        <w:ind w:left="720" w:hanging="720"/>
      </w:pPr>
      <w:r>
        <w:t>Rasool, S., &amp; Zeidan, S. (2026). Seeing is believing: The role of visual content in shaping tourist engagement and attachment. International Journal of Tourism Research, e70162. https://doi.org/10.1002/jtr.70162</w:t>
      </w:r>
    </w:p>
    <w:p>
      <w:pPr>
        <w:spacing w:line="480" w:lineRule="auto"/>
        <w:ind w:left="720" w:hanging="720"/>
      </w:pPr>
      <w:r>
        <w:t>Sun, X., Hua, M., &amp; Li, M. (2026). Social media influencers and their marketing outcomes in tourism and hospitality research: Applying BERTopic analysis and meta-analysis approaches. International Journal of Hospitality Management. https://doi.org/10.1177/10963480261446994</w:t>
      </w:r>
    </w:p>
    <w:p>
      <w:pPr>
        <w:spacing w:line="480" w:lineRule="auto"/>
        <w:ind w:left="720" w:hanging="720"/>
      </w:pPr>
      <w:r>
        <w:t>Tourism Australia. (2026). Social media program, ambassador program and campaign resources. Tourism Australia.</w:t>
      </w:r>
    </w:p>
    <w:p>
      <w:pPr>
        <w:pStyle w:val="Heading1"/>
        <w:keepNext/>
      </w:pPr>
      <w:r>
        <w:t>Appendices</w:t>
      </w:r>
    </w:p>
    <w:p>
      <w:pPr>
        <w:pStyle w:val="Heading2"/>
        <w:keepNext/>
      </w:pPr>
      <w:r>
        <w:t>Appendix A. Message Architecture</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Layer</w:t>
            </w:r>
          </w:p>
        </w:tc>
        <w:tc>
          <w:tcPr>
            <w:tcW w:type="dxa" w:w="3216"/>
            <w:shd w:fill="D9E2F3"/>
          </w:tcPr>
          <w:p>
            <w:r>
              <w:t>Purpose</w:t>
            </w:r>
          </w:p>
        </w:tc>
        <w:tc>
          <w:tcPr>
            <w:tcW w:type="dxa" w:w="3216"/>
            <w:shd w:fill="D9E2F3"/>
          </w:tcPr>
          <w:p>
            <w:r>
              <w:t>Example</w:t>
            </w:r>
          </w:p>
        </w:tc>
      </w:tr>
      <w:tr>
        <w:tc>
          <w:tcPr>
            <w:tcW w:type="dxa" w:w="3216"/>
          </w:tcPr>
          <w:p>
            <w:r>
              <w:t>Promise</w:t>
            </w:r>
          </w:p>
        </w:tc>
        <w:tc>
          <w:tcPr>
            <w:tcW w:type="dxa" w:w="3216"/>
          </w:tcPr>
          <w:p>
            <w:r>
              <w:t>Create an emotional reason to care</w:t>
            </w:r>
          </w:p>
        </w:tc>
        <w:tc>
          <w:tcPr>
            <w:tcW w:type="dxa" w:w="3216"/>
          </w:tcPr>
          <w:p>
            <w:r>
              <w:t>See Australia Through Someone's Story.</w:t>
            </w:r>
          </w:p>
        </w:tc>
      </w:tr>
      <w:tr>
        <w:tc>
          <w:tcPr>
            <w:tcW w:type="dxa" w:w="3216"/>
          </w:tcPr>
          <w:p>
            <w:r>
              <w:t>Proof</w:t>
            </w:r>
          </w:p>
        </w:tc>
        <w:tc>
          <w:tcPr>
            <w:tcW w:type="dxa" w:w="3216"/>
          </w:tcPr>
          <w:p>
            <w:r>
              <w:t>Make the promise credible</w:t>
            </w:r>
          </w:p>
        </w:tc>
        <w:tc>
          <w:tcPr>
            <w:tcW w:type="dxa" w:w="3216"/>
          </w:tcPr>
          <w:p>
            <w:r>
              <w:t>People, evidence, experiences and operational facts</w:t>
            </w:r>
          </w:p>
        </w:tc>
      </w:tr>
      <w:tr>
        <w:tc>
          <w:tcPr>
            <w:tcW w:type="dxa" w:w="3216"/>
          </w:tcPr>
          <w:p>
            <w:r>
              <w:t>Action</w:t>
            </w:r>
          </w:p>
        </w:tc>
        <w:tc>
          <w:tcPr>
            <w:tcW w:type="dxa" w:w="3216"/>
          </w:tcPr>
          <w:p>
            <w:r>
              <w:t>Move the audience forward</w:t>
            </w:r>
          </w:p>
        </w:tc>
        <w:tc>
          <w:tcPr>
            <w:tcW w:type="dxa" w:w="3216"/>
          </w:tcPr>
          <w:p>
            <w:r>
              <w:t>Explore, save, plan, enquire, book or share</w:t>
            </w:r>
          </w:p>
        </w:tc>
      </w:tr>
    </w:tbl>
    <w:p>
      <w:pPr>
        <w:pStyle w:val="Heading2"/>
        <w:keepNext/>
      </w:pPr>
      <w:r>
        <w:t>Appendix B. Crisis Response Sequence</w:t>
      </w:r>
    </w:p>
    <w:p>
      <w:r>
        <w:t>1. Verify facts and activate the cross-functional response team.</w:t>
      </w:r>
    </w:p>
    <w:p>
      <w:r>
        <w:t>2. Protect affected people and publish immediate instructing information.</w:t>
      </w:r>
    </w:p>
    <w:p>
      <w:r>
        <w:t>3. Acknowledge the event, uncertainty and responsibility appropriate to verified facts.</w:t>
      </w:r>
    </w:p>
    <w:p>
      <w:r>
        <w:t>4. Act through remedy, corrective measures and stakeholder support.</w:t>
      </w:r>
    </w:p>
    <w:p>
      <w:r>
        <w:t>5. Evidence progress and close the loop through documented commitments.</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