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E3ABCA4" w14:textId="77777777" w:rsidR="00426865" w:rsidRPr="00215386" w:rsidRDefault="00672345">
      <w:pPr>
        <w:rPr>
          <w:rFonts w:asciiTheme="majorBidi" w:hAnsiTheme="majorBidi" w:cstheme="majorBidi"/>
        </w:rPr>
      </w:pPr>
      <w:r w:rsidRPr="00215386">
        <w:rPr>
          <w:rFonts w:asciiTheme="majorBidi" w:hAnsiTheme="majorBidi" w:cstheme="majorBidi"/>
          <w:noProof/>
          <w:lang w:val="en-US"/>
        </w:rPr>
        <w:drawing>
          <wp:anchor distT="0" distB="0" distL="114300" distR="114300" simplePos="0" relativeHeight="251659264" behindDoc="1" locked="0" layoutInCell="1" allowOverlap="1" wp14:anchorId="2D3E3AF5" wp14:editId="47688ADE">
            <wp:simplePos x="0" y="0"/>
            <wp:positionH relativeFrom="column">
              <wp:posOffset>3945348</wp:posOffset>
            </wp:positionH>
            <wp:positionV relativeFrom="paragraph">
              <wp:posOffset>218</wp:posOffset>
            </wp:positionV>
            <wp:extent cx="1537335" cy="1410970"/>
            <wp:effectExtent l="0" t="0" r="0" b="0"/>
            <wp:wrapTight wrapText="bothSides">
              <wp:wrapPolygon edited="0">
                <wp:start x="0" y="0"/>
                <wp:lineTo x="0" y="21386"/>
                <wp:lineTo x="21413" y="21386"/>
                <wp:lineTo x="21413" y="0"/>
                <wp:lineTo x="0" y="0"/>
              </wp:wrapPolygon>
            </wp:wrapTight>
            <wp:docPr id="6542215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4221507" name="Picture 654221507"/>
                    <pic:cNvPicPr/>
                  </pic:nvPicPr>
                  <pic:blipFill>
                    <a:blip r:embed="rId5" cstate="print">
                      <a:extLst>
                        <a:ext uri="{28A0092B-C50C-407E-A947-70E740481C1C}">
                          <a14:useLocalDpi xmlns:a14="http://schemas.microsoft.com/office/drawing/2010/main" val="0"/>
                        </a:ext>
                      </a:extLst>
                    </a:blip>
                    <a:stretch>
                      <a:fillRect/>
                    </a:stretch>
                  </pic:blipFill>
                  <pic:spPr>
                    <a:xfrm>
                      <a:off x="0" y="0"/>
                      <a:ext cx="1537335" cy="1410970"/>
                    </a:xfrm>
                    <a:prstGeom prst="rect">
                      <a:avLst/>
                    </a:prstGeom>
                  </pic:spPr>
                </pic:pic>
              </a:graphicData>
            </a:graphic>
            <wp14:sizeRelH relativeFrom="page">
              <wp14:pctWidth>0</wp14:pctWidth>
            </wp14:sizeRelH>
            <wp14:sizeRelV relativeFrom="page">
              <wp14:pctHeight>0</wp14:pctHeight>
            </wp14:sizeRelV>
          </wp:anchor>
        </w:drawing>
      </w:r>
    </w:p>
    <w:p w14:paraId="7E63A02A" w14:textId="77777777" w:rsidR="00672345" w:rsidRPr="00215386" w:rsidRDefault="003C5D74" w:rsidP="00672345">
      <w:pPr>
        <w:rPr>
          <w:rFonts w:asciiTheme="majorBidi" w:hAnsiTheme="majorBidi" w:cstheme="majorBidi"/>
          <w:b/>
          <w:bCs/>
          <w:lang w:val="en-US"/>
        </w:rPr>
      </w:pPr>
      <w:r w:rsidRPr="00215386">
        <w:rPr>
          <w:rFonts w:asciiTheme="majorBidi" w:hAnsiTheme="majorBidi" w:cstheme="majorBidi"/>
          <w:b/>
          <w:bCs/>
          <w:lang w:val="en-US"/>
        </w:rPr>
        <w:t>Structure of Tourism Markets</w:t>
      </w:r>
    </w:p>
    <w:p w14:paraId="4F045B20" w14:textId="77777777" w:rsidR="00672345" w:rsidRPr="00215386" w:rsidRDefault="00672345" w:rsidP="00672345">
      <w:pPr>
        <w:rPr>
          <w:rFonts w:asciiTheme="majorBidi" w:hAnsiTheme="majorBidi" w:cstheme="majorBidi"/>
          <w:lang w:val="en-US"/>
        </w:rPr>
      </w:pPr>
      <w:r w:rsidRPr="00215386">
        <w:rPr>
          <w:rFonts w:asciiTheme="majorBidi" w:hAnsiTheme="majorBidi" w:cstheme="majorBidi"/>
          <w:lang w:val="en-US"/>
        </w:rPr>
        <w:t xml:space="preserve">Assignment </w:t>
      </w:r>
      <w:r w:rsidR="00762633" w:rsidRPr="00215386">
        <w:rPr>
          <w:rFonts w:asciiTheme="majorBidi" w:hAnsiTheme="majorBidi" w:cstheme="majorBidi"/>
          <w:lang w:val="en-US"/>
        </w:rPr>
        <w:t>3</w:t>
      </w:r>
    </w:p>
    <w:p w14:paraId="7528BBCE" w14:textId="77777777" w:rsidR="00672345" w:rsidRPr="00215386" w:rsidRDefault="00762633" w:rsidP="00672345">
      <w:pPr>
        <w:rPr>
          <w:rFonts w:asciiTheme="majorBidi" w:hAnsiTheme="majorBidi" w:cstheme="majorBidi"/>
          <w:lang w:val="en-US"/>
        </w:rPr>
      </w:pPr>
      <w:r w:rsidRPr="00215386">
        <w:rPr>
          <w:rFonts w:asciiTheme="majorBidi" w:hAnsiTheme="majorBidi" w:cstheme="majorBidi"/>
          <w:lang w:val="en-US"/>
        </w:rPr>
        <w:t>26</w:t>
      </w:r>
      <w:r w:rsidR="00672345" w:rsidRPr="00215386">
        <w:rPr>
          <w:rFonts w:asciiTheme="majorBidi" w:hAnsiTheme="majorBidi" w:cstheme="majorBidi"/>
          <w:lang w:val="en-US"/>
        </w:rPr>
        <w:t>.0</w:t>
      </w:r>
      <w:r w:rsidRPr="00215386">
        <w:rPr>
          <w:rFonts w:asciiTheme="majorBidi" w:hAnsiTheme="majorBidi" w:cstheme="majorBidi"/>
          <w:lang w:val="en-US"/>
        </w:rPr>
        <w:t>8</w:t>
      </w:r>
      <w:r w:rsidR="00672345" w:rsidRPr="00215386">
        <w:rPr>
          <w:rFonts w:asciiTheme="majorBidi" w:hAnsiTheme="majorBidi" w:cstheme="majorBidi"/>
          <w:lang w:val="en-US"/>
        </w:rPr>
        <w:t>.2026</w:t>
      </w:r>
    </w:p>
    <w:p w14:paraId="36B9BE3B" w14:textId="77777777" w:rsidR="00672345" w:rsidRPr="00215386" w:rsidRDefault="00672345">
      <w:pPr>
        <w:rPr>
          <w:rFonts w:asciiTheme="majorBidi" w:hAnsiTheme="majorBidi" w:cstheme="majorBidi"/>
        </w:rPr>
      </w:pPr>
    </w:p>
    <w:p w14:paraId="0EC3A299" w14:textId="77777777" w:rsidR="00672345" w:rsidRPr="00215386" w:rsidRDefault="00672345">
      <w:pPr>
        <w:rPr>
          <w:rFonts w:asciiTheme="majorBidi" w:hAnsiTheme="majorBidi" w:cstheme="majorBidi"/>
        </w:rPr>
      </w:pPr>
    </w:p>
    <w:p w14:paraId="02416DCD" w14:textId="77777777" w:rsidR="00672345" w:rsidRPr="00215386" w:rsidRDefault="00672345">
      <w:pPr>
        <w:rPr>
          <w:rFonts w:asciiTheme="majorBidi" w:hAnsiTheme="majorBidi" w:cstheme="majorBidi"/>
        </w:rPr>
      </w:pPr>
    </w:p>
    <w:p w14:paraId="231DF704" w14:textId="77777777" w:rsidR="00672345" w:rsidRPr="00215386" w:rsidRDefault="00672345">
      <w:pPr>
        <w:rPr>
          <w:rFonts w:asciiTheme="majorBidi" w:hAnsiTheme="majorBidi" w:cstheme="majorBidi"/>
        </w:rPr>
      </w:pPr>
    </w:p>
    <w:p w14:paraId="4F9A0801" w14:textId="77777777" w:rsidR="00672345" w:rsidRPr="00215386" w:rsidRDefault="00672345">
      <w:pPr>
        <w:rPr>
          <w:rFonts w:asciiTheme="majorBidi" w:hAnsiTheme="majorBidi" w:cstheme="majorBidi"/>
        </w:rPr>
      </w:pPr>
    </w:p>
    <w:p w14:paraId="6331FE01" w14:textId="77777777" w:rsidR="00672345" w:rsidRPr="00215386" w:rsidRDefault="00672345">
      <w:pPr>
        <w:rPr>
          <w:rFonts w:asciiTheme="majorBidi" w:hAnsiTheme="majorBidi" w:cstheme="majorBidi"/>
        </w:rPr>
      </w:pPr>
    </w:p>
    <w:p w14:paraId="0FEA5EEF" w14:textId="77777777" w:rsidR="00672345" w:rsidRPr="00215386" w:rsidRDefault="00672345">
      <w:pPr>
        <w:rPr>
          <w:rFonts w:asciiTheme="majorBidi" w:hAnsiTheme="majorBidi" w:cstheme="majorBidi"/>
        </w:rPr>
      </w:pPr>
    </w:p>
    <w:p w14:paraId="2D489FE3" w14:textId="77777777" w:rsidR="00672345" w:rsidRPr="00215386" w:rsidRDefault="00672345">
      <w:pPr>
        <w:rPr>
          <w:rFonts w:asciiTheme="majorBidi" w:hAnsiTheme="majorBidi" w:cstheme="majorBidi"/>
        </w:rPr>
      </w:pPr>
    </w:p>
    <w:p w14:paraId="562A8F9F" w14:textId="77777777" w:rsidR="00672345" w:rsidRPr="00215386" w:rsidRDefault="00672345">
      <w:pPr>
        <w:rPr>
          <w:rFonts w:asciiTheme="majorBidi" w:hAnsiTheme="majorBidi" w:cstheme="majorBidi"/>
        </w:rPr>
      </w:pPr>
    </w:p>
    <w:p w14:paraId="39D49D88" w14:textId="77777777" w:rsidR="00672345" w:rsidRPr="00215386" w:rsidRDefault="00672345">
      <w:pPr>
        <w:rPr>
          <w:rFonts w:asciiTheme="majorBidi" w:hAnsiTheme="majorBidi" w:cstheme="majorBidi"/>
        </w:rPr>
      </w:pPr>
    </w:p>
    <w:p w14:paraId="2CAC2AEC" w14:textId="77777777" w:rsidR="00672345" w:rsidRPr="00215386" w:rsidRDefault="00672345">
      <w:pPr>
        <w:rPr>
          <w:rFonts w:asciiTheme="majorBidi" w:hAnsiTheme="majorBidi" w:cstheme="majorBidi"/>
        </w:rPr>
      </w:pPr>
    </w:p>
    <w:p w14:paraId="63F76245" w14:textId="77777777" w:rsidR="00672345" w:rsidRPr="00215386" w:rsidRDefault="00672345">
      <w:pPr>
        <w:rPr>
          <w:rFonts w:asciiTheme="majorBidi" w:hAnsiTheme="majorBidi" w:cstheme="majorBidi"/>
        </w:rPr>
      </w:pPr>
    </w:p>
    <w:p w14:paraId="2481D64C" w14:textId="77777777" w:rsidR="00672345" w:rsidRPr="00215386" w:rsidRDefault="00672345">
      <w:pPr>
        <w:rPr>
          <w:rFonts w:asciiTheme="majorBidi" w:hAnsiTheme="majorBidi" w:cstheme="majorBidi"/>
        </w:rPr>
      </w:pPr>
    </w:p>
    <w:p w14:paraId="2406E44C" w14:textId="77777777" w:rsidR="00672345" w:rsidRPr="00215386" w:rsidRDefault="00672345" w:rsidP="00672345">
      <w:pPr>
        <w:spacing w:line="276" w:lineRule="auto"/>
        <w:rPr>
          <w:rFonts w:asciiTheme="majorBidi" w:hAnsiTheme="majorBidi" w:cstheme="majorBidi"/>
          <w:b/>
          <w:bCs/>
          <w:lang w:val="en-US"/>
        </w:rPr>
      </w:pPr>
      <w:r w:rsidRPr="00215386">
        <w:rPr>
          <w:rFonts w:asciiTheme="majorBidi" w:hAnsiTheme="majorBidi" w:cstheme="majorBidi"/>
          <w:b/>
          <w:bCs/>
          <w:lang w:val="en-US"/>
        </w:rPr>
        <w:t>In no more than 500 words, each explain and 2-4 references:</w:t>
      </w:r>
    </w:p>
    <w:p w14:paraId="37710469" w14:textId="77777777" w:rsidR="00672345" w:rsidRPr="00215386" w:rsidRDefault="00672345" w:rsidP="00672345">
      <w:pPr>
        <w:spacing w:line="276" w:lineRule="auto"/>
        <w:rPr>
          <w:rFonts w:asciiTheme="majorBidi" w:hAnsiTheme="majorBidi" w:cstheme="majorBidi"/>
          <w:b/>
          <w:bCs/>
          <w:lang w:val="en-US"/>
        </w:rPr>
      </w:pPr>
    </w:p>
    <w:p w14:paraId="05C310F5" w14:textId="77777777" w:rsidR="00672345" w:rsidRPr="00215386" w:rsidRDefault="00672345" w:rsidP="00672345">
      <w:pPr>
        <w:spacing w:line="276" w:lineRule="auto"/>
        <w:rPr>
          <w:rFonts w:asciiTheme="majorBidi" w:hAnsiTheme="majorBidi" w:cstheme="majorBidi"/>
          <w:b/>
          <w:bCs/>
          <w:lang w:val="en-US"/>
        </w:rPr>
      </w:pPr>
    </w:p>
    <w:p w14:paraId="276E2E31" w14:textId="77777777" w:rsidR="00672345" w:rsidRPr="00215386" w:rsidRDefault="00672345" w:rsidP="00672345">
      <w:pPr>
        <w:spacing w:line="276" w:lineRule="auto"/>
        <w:rPr>
          <w:rFonts w:asciiTheme="majorBidi" w:hAnsiTheme="majorBidi" w:cstheme="majorBidi"/>
          <w:lang w:val="en-US"/>
        </w:rPr>
      </w:pPr>
    </w:p>
    <w:p w14:paraId="48EEE791" w14:textId="77777777" w:rsidR="006E036E" w:rsidRPr="00215386" w:rsidRDefault="003C5D74" w:rsidP="006E036E">
      <w:pPr>
        <w:rPr>
          <w:rFonts w:asciiTheme="majorBidi" w:hAnsiTheme="majorBidi" w:cstheme="majorBidi"/>
          <w:lang w:val="en-US"/>
        </w:rPr>
      </w:pPr>
      <w:r w:rsidRPr="00215386">
        <w:rPr>
          <w:rFonts w:asciiTheme="majorBidi" w:hAnsiTheme="majorBidi" w:cstheme="majorBidi"/>
          <w:lang w:val="en-US"/>
        </w:rPr>
        <w:t xml:space="preserve">1- </w:t>
      </w:r>
      <w:r w:rsidR="006E036E" w:rsidRPr="00215386">
        <w:rPr>
          <w:rFonts w:asciiTheme="majorBidi" w:hAnsiTheme="majorBidi" w:cstheme="majorBidi"/>
          <w:lang w:val="en-US"/>
        </w:rPr>
        <w:t xml:space="preserve">Explain the concept of tourist consumer </w:t>
      </w:r>
      <w:proofErr w:type="spellStart"/>
      <w:r w:rsidR="006E036E" w:rsidRPr="00215386">
        <w:rPr>
          <w:rFonts w:asciiTheme="majorBidi" w:hAnsiTheme="majorBidi" w:cstheme="majorBidi"/>
          <w:lang w:val="en-US"/>
        </w:rPr>
        <w:t>behaviour</w:t>
      </w:r>
      <w:proofErr w:type="spellEnd"/>
      <w:r w:rsidR="006E036E" w:rsidRPr="00215386">
        <w:rPr>
          <w:rFonts w:asciiTheme="majorBidi" w:hAnsiTheme="majorBidi" w:cstheme="majorBidi"/>
          <w:lang w:val="en-US"/>
        </w:rPr>
        <w:t>.</w:t>
      </w:r>
    </w:p>
    <w:p w14:paraId="10367062" w14:textId="77777777" w:rsidR="006E036E" w:rsidRPr="00215386" w:rsidRDefault="006E036E" w:rsidP="006E036E">
      <w:pPr>
        <w:rPr>
          <w:rFonts w:asciiTheme="majorBidi" w:hAnsiTheme="majorBidi" w:cstheme="majorBidi"/>
          <w:lang w:val="en-US"/>
        </w:rPr>
      </w:pPr>
    </w:p>
    <w:p w14:paraId="138216C0" w14:textId="77777777" w:rsidR="006E036E" w:rsidRPr="00215386" w:rsidRDefault="006E036E" w:rsidP="006E036E">
      <w:pPr>
        <w:rPr>
          <w:rFonts w:asciiTheme="majorBidi" w:hAnsiTheme="majorBidi" w:cstheme="majorBidi"/>
          <w:lang w:val="en-US"/>
        </w:rPr>
      </w:pPr>
      <w:r w:rsidRPr="00215386">
        <w:rPr>
          <w:rFonts w:asciiTheme="majorBidi" w:hAnsiTheme="majorBidi" w:cstheme="majorBidi"/>
          <w:lang w:val="en-US"/>
        </w:rPr>
        <w:t>2- Explain the difference between institutionalized and non-institutionalized tourists.</w:t>
      </w:r>
    </w:p>
    <w:p w14:paraId="00AF919B" w14:textId="77777777" w:rsidR="00672345" w:rsidRPr="00215386" w:rsidRDefault="006E036E" w:rsidP="006E036E">
      <w:pPr>
        <w:rPr>
          <w:rFonts w:asciiTheme="majorBidi" w:hAnsiTheme="majorBidi" w:cstheme="majorBidi"/>
          <w:lang w:val="en-US"/>
        </w:rPr>
      </w:pPr>
      <w:r w:rsidRPr="00215386">
        <w:rPr>
          <w:rFonts w:asciiTheme="majorBidi" w:hAnsiTheme="majorBidi" w:cstheme="majorBidi"/>
          <w:lang w:val="en-US"/>
        </w:rPr>
        <w:t>Give one example of each type.</w:t>
      </w:r>
    </w:p>
    <w:p w14:paraId="37D3AF2B" w14:textId="77777777" w:rsidR="00215386" w:rsidRPr="00215386" w:rsidRDefault="00215386" w:rsidP="006E036E">
      <w:pPr>
        <w:rPr>
          <w:rFonts w:asciiTheme="majorBidi" w:hAnsiTheme="majorBidi" w:cstheme="majorBidi"/>
          <w:lang w:val="en-US"/>
        </w:rPr>
      </w:pPr>
    </w:p>
    <w:p w14:paraId="7B45B692" w14:textId="77777777" w:rsidR="00215386" w:rsidRPr="00215386" w:rsidRDefault="00215386" w:rsidP="006E036E">
      <w:pPr>
        <w:rPr>
          <w:rFonts w:asciiTheme="majorBidi" w:hAnsiTheme="majorBidi" w:cstheme="majorBidi"/>
          <w:lang w:val="en-US"/>
        </w:rPr>
      </w:pPr>
    </w:p>
    <w:p w14:paraId="3107EAD7" w14:textId="77777777" w:rsidR="00215386" w:rsidRPr="00215386" w:rsidRDefault="00215386" w:rsidP="006E036E">
      <w:pPr>
        <w:rPr>
          <w:rFonts w:asciiTheme="majorBidi" w:hAnsiTheme="majorBidi" w:cstheme="majorBidi"/>
          <w:lang w:val="en-US"/>
        </w:rPr>
      </w:pPr>
    </w:p>
    <w:p w14:paraId="137191BE" w14:textId="77777777" w:rsidR="00215386" w:rsidRPr="00215386" w:rsidRDefault="00215386" w:rsidP="006E036E">
      <w:pPr>
        <w:rPr>
          <w:rFonts w:asciiTheme="majorBidi" w:hAnsiTheme="majorBidi" w:cstheme="majorBidi"/>
          <w:lang w:val="en-US"/>
        </w:rPr>
      </w:pPr>
    </w:p>
    <w:p w14:paraId="61A0EBFD" w14:textId="77777777" w:rsidR="00215386" w:rsidRPr="00215386" w:rsidRDefault="00215386" w:rsidP="006E036E">
      <w:pPr>
        <w:rPr>
          <w:rFonts w:asciiTheme="majorBidi" w:hAnsiTheme="majorBidi" w:cstheme="majorBidi"/>
          <w:lang w:val="en-US"/>
        </w:rPr>
      </w:pPr>
    </w:p>
    <w:p w14:paraId="5177B97F" w14:textId="77777777" w:rsidR="00215386" w:rsidRPr="00215386" w:rsidRDefault="00215386" w:rsidP="006E036E">
      <w:pPr>
        <w:rPr>
          <w:rFonts w:asciiTheme="majorBidi" w:hAnsiTheme="majorBidi" w:cstheme="majorBidi"/>
          <w:lang w:val="en-US"/>
        </w:rPr>
      </w:pPr>
    </w:p>
    <w:p w14:paraId="136EBEBC" w14:textId="77777777" w:rsidR="00215386" w:rsidRPr="00215386" w:rsidRDefault="00215386" w:rsidP="006E036E">
      <w:pPr>
        <w:rPr>
          <w:rFonts w:asciiTheme="majorBidi" w:hAnsiTheme="majorBidi" w:cstheme="majorBidi"/>
          <w:lang w:val="en-US"/>
        </w:rPr>
      </w:pPr>
    </w:p>
    <w:p w14:paraId="537B8A64" w14:textId="77777777" w:rsidR="00215386" w:rsidRPr="00215386" w:rsidRDefault="00215386" w:rsidP="006E036E">
      <w:pPr>
        <w:rPr>
          <w:rFonts w:asciiTheme="majorBidi" w:hAnsiTheme="majorBidi" w:cstheme="majorBidi"/>
          <w:lang w:val="en-US"/>
        </w:rPr>
      </w:pPr>
    </w:p>
    <w:p w14:paraId="4C51213E" w14:textId="77777777" w:rsidR="00215386" w:rsidRPr="00215386" w:rsidRDefault="00215386" w:rsidP="006E036E">
      <w:pPr>
        <w:rPr>
          <w:rFonts w:asciiTheme="majorBidi" w:hAnsiTheme="majorBidi" w:cstheme="majorBidi"/>
          <w:lang w:val="en-US"/>
        </w:rPr>
      </w:pPr>
    </w:p>
    <w:p w14:paraId="2B26431D" w14:textId="77777777" w:rsidR="00215386" w:rsidRPr="00215386" w:rsidRDefault="00215386" w:rsidP="006E036E">
      <w:pPr>
        <w:rPr>
          <w:rFonts w:asciiTheme="majorBidi" w:hAnsiTheme="majorBidi" w:cstheme="majorBidi"/>
          <w:lang w:val="en-US"/>
        </w:rPr>
      </w:pPr>
    </w:p>
    <w:p w14:paraId="1A73431F" w14:textId="77777777" w:rsidR="00215386" w:rsidRPr="00215386" w:rsidRDefault="00215386" w:rsidP="006E036E">
      <w:pPr>
        <w:rPr>
          <w:rFonts w:asciiTheme="majorBidi" w:hAnsiTheme="majorBidi" w:cstheme="majorBidi"/>
          <w:lang w:val="en-US"/>
        </w:rPr>
      </w:pPr>
    </w:p>
    <w:p w14:paraId="5D20BB78" w14:textId="77777777" w:rsidR="00215386" w:rsidRPr="00215386" w:rsidRDefault="00215386" w:rsidP="006E036E">
      <w:pPr>
        <w:rPr>
          <w:rFonts w:asciiTheme="majorBidi" w:hAnsiTheme="majorBidi" w:cstheme="majorBidi"/>
          <w:lang w:val="en-US"/>
        </w:rPr>
      </w:pPr>
    </w:p>
    <w:p w14:paraId="59234BCD" w14:textId="77777777" w:rsidR="00215386" w:rsidRPr="00215386" w:rsidRDefault="00215386" w:rsidP="006E036E">
      <w:pPr>
        <w:rPr>
          <w:rFonts w:asciiTheme="majorBidi" w:hAnsiTheme="majorBidi" w:cstheme="majorBidi"/>
          <w:lang w:val="en-US"/>
        </w:rPr>
      </w:pPr>
    </w:p>
    <w:p w14:paraId="74F515F8" w14:textId="77777777" w:rsidR="00215386" w:rsidRPr="00215386" w:rsidRDefault="00215386" w:rsidP="006E036E">
      <w:pPr>
        <w:rPr>
          <w:rFonts w:asciiTheme="majorBidi" w:hAnsiTheme="majorBidi" w:cstheme="majorBidi"/>
          <w:lang w:val="en-US"/>
        </w:rPr>
      </w:pPr>
    </w:p>
    <w:p w14:paraId="5C4E4D72" w14:textId="77777777" w:rsidR="00215386" w:rsidRPr="00215386" w:rsidRDefault="00215386" w:rsidP="006E036E">
      <w:pPr>
        <w:rPr>
          <w:rFonts w:asciiTheme="majorBidi" w:hAnsiTheme="majorBidi" w:cstheme="majorBidi"/>
          <w:lang w:val="en-US"/>
        </w:rPr>
      </w:pPr>
    </w:p>
    <w:p w14:paraId="21D51683" w14:textId="77777777" w:rsidR="00215386" w:rsidRPr="00215386" w:rsidRDefault="00215386" w:rsidP="006E036E">
      <w:pPr>
        <w:rPr>
          <w:rFonts w:asciiTheme="majorBidi" w:hAnsiTheme="majorBidi" w:cstheme="majorBidi"/>
          <w:lang w:val="en-US"/>
        </w:rPr>
      </w:pPr>
    </w:p>
    <w:p w14:paraId="0FF26E17" w14:textId="77777777" w:rsidR="00215386" w:rsidRPr="00215386" w:rsidRDefault="00215386" w:rsidP="006E036E">
      <w:pPr>
        <w:rPr>
          <w:rFonts w:asciiTheme="majorBidi" w:hAnsiTheme="majorBidi" w:cstheme="majorBidi"/>
          <w:lang w:val="en-US"/>
        </w:rPr>
      </w:pPr>
    </w:p>
    <w:p w14:paraId="688F469E" w14:textId="77777777" w:rsidR="00215386" w:rsidRPr="00215386" w:rsidRDefault="00215386" w:rsidP="006E036E">
      <w:pPr>
        <w:rPr>
          <w:rFonts w:asciiTheme="majorBidi" w:hAnsiTheme="majorBidi" w:cstheme="majorBidi"/>
          <w:lang w:val="en-US"/>
        </w:rPr>
      </w:pPr>
    </w:p>
    <w:p w14:paraId="7F4E5746" w14:textId="77777777" w:rsidR="00215386" w:rsidRPr="00215386" w:rsidRDefault="00215386" w:rsidP="006E036E">
      <w:pPr>
        <w:rPr>
          <w:rFonts w:asciiTheme="majorBidi" w:hAnsiTheme="majorBidi" w:cstheme="majorBidi"/>
          <w:lang w:val="en-US"/>
        </w:rPr>
      </w:pPr>
    </w:p>
    <w:p w14:paraId="21B11F58" w14:textId="77777777" w:rsidR="00215386" w:rsidRPr="00215386" w:rsidRDefault="00215386" w:rsidP="006E036E">
      <w:pPr>
        <w:rPr>
          <w:rFonts w:asciiTheme="majorBidi" w:hAnsiTheme="majorBidi" w:cstheme="majorBidi"/>
          <w:lang w:val="en-US"/>
        </w:rPr>
      </w:pPr>
    </w:p>
    <w:p w14:paraId="2692D969" w14:textId="77777777" w:rsidR="00215386" w:rsidRDefault="00215386" w:rsidP="006E036E">
      <w:pPr>
        <w:rPr>
          <w:rFonts w:asciiTheme="majorBidi" w:hAnsiTheme="majorBidi" w:cstheme="majorBidi"/>
          <w:lang w:val="en-US"/>
        </w:rPr>
      </w:pPr>
    </w:p>
    <w:p w14:paraId="087CD22F" w14:textId="77777777" w:rsidR="00215386" w:rsidRDefault="00215386" w:rsidP="006E036E">
      <w:pPr>
        <w:rPr>
          <w:rFonts w:asciiTheme="majorBidi" w:hAnsiTheme="majorBidi" w:cstheme="majorBidi"/>
          <w:lang w:val="en-US"/>
        </w:rPr>
      </w:pPr>
    </w:p>
    <w:p w14:paraId="5FC06D0E" w14:textId="77777777" w:rsidR="00215386" w:rsidRPr="00215386" w:rsidRDefault="00215386" w:rsidP="006E036E">
      <w:pPr>
        <w:rPr>
          <w:rFonts w:asciiTheme="majorBidi" w:hAnsiTheme="majorBidi" w:cstheme="majorBidi"/>
          <w:lang w:val="en-US"/>
        </w:rPr>
      </w:pPr>
    </w:p>
    <w:p w14:paraId="5A03B814" w14:textId="77777777" w:rsidR="00215386" w:rsidRPr="00215386" w:rsidRDefault="00215386" w:rsidP="006E036E">
      <w:pPr>
        <w:rPr>
          <w:rFonts w:asciiTheme="majorBidi" w:hAnsiTheme="majorBidi" w:cstheme="majorBidi"/>
          <w:lang w:val="en-US"/>
        </w:rPr>
      </w:pPr>
    </w:p>
    <w:p w14:paraId="02C5C912" w14:textId="77777777" w:rsidR="00507879" w:rsidRPr="00507879" w:rsidRDefault="00507879" w:rsidP="00507879">
      <w:pPr>
        <w:rPr>
          <w:rFonts w:asciiTheme="majorBidi" w:hAnsiTheme="majorBidi" w:cstheme="majorBidi"/>
          <w:b/>
          <w:bCs/>
          <w:lang w:val="en-GB"/>
        </w:rPr>
      </w:pPr>
      <w:r w:rsidRPr="00507879">
        <w:rPr>
          <w:rFonts w:asciiTheme="majorBidi" w:hAnsiTheme="majorBidi" w:cstheme="majorBidi"/>
          <w:b/>
          <w:bCs/>
          <w:lang w:val="en-GB"/>
        </w:rPr>
        <w:lastRenderedPageBreak/>
        <w:t>1. Explain the concept of tourist consumer behaviour</w:t>
      </w:r>
    </w:p>
    <w:p w14:paraId="78BF6338" w14:textId="77777777" w:rsidR="00507879" w:rsidRPr="00507879" w:rsidRDefault="00507879" w:rsidP="00507879">
      <w:pPr>
        <w:rPr>
          <w:rFonts w:asciiTheme="majorBidi" w:hAnsiTheme="majorBidi" w:cstheme="majorBidi"/>
          <w:lang w:val="en-GB"/>
        </w:rPr>
      </w:pPr>
      <w:r w:rsidRPr="00507879">
        <w:rPr>
          <w:rFonts w:asciiTheme="majorBidi" w:hAnsiTheme="majorBidi" w:cstheme="majorBidi"/>
          <w:lang w:val="en-GB"/>
        </w:rPr>
        <w:t>Tourist consumer behaviour refers to the way travellers think, choose, purchase and evaluate tourism products and experiences. It includes the complete decision process beginning with the desire to travel and continuing through information search, comparison of options, booking, participation in the trip and post-travel evaluation. Tourism behaviour is influenced by psychological, social, cultural and economic factors, as well as by previous travel experience and personal preferences.</w:t>
      </w:r>
    </w:p>
    <w:p w14:paraId="614E5793" w14:textId="77777777" w:rsidR="00507879" w:rsidRPr="00507879" w:rsidRDefault="00507879" w:rsidP="00507879">
      <w:pPr>
        <w:rPr>
          <w:rFonts w:asciiTheme="majorBidi" w:hAnsiTheme="majorBidi" w:cstheme="majorBidi"/>
          <w:lang w:val="en-GB"/>
        </w:rPr>
      </w:pPr>
      <w:r w:rsidRPr="00507879">
        <w:rPr>
          <w:rFonts w:asciiTheme="majorBidi" w:hAnsiTheme="majorBidi" w:cstheme="majorBidi"/>
          <w:lang w:val="en-GB"/>
        </w:rPr>
        <w:t xml:space="preserve">A tourist’s decision may be influenced by motivation, available income, family circumstances, social media, destination image and perceived value. For instance, one traveller may choose a beach holiday because relaxation is the main motivation, while another may select a heritage destination because learning and cultural experience are more important. According to </w:t>
      </w:r>
      <w:proofErr w:type="spellStart"/>
      <w:r w:rsidRPr="00507879">
        <w:rPr>
          <w:rFonts w:asciiTheme="majorBidi" w:hAnsiTheme="majorBidi" w:cstheme="majorBidi"/>
          <w:lang w:val="en-GB"/>
        </w:rPr>
        <w:t>Decrop</w:t>
      </w:r>
      <w:proofErr w:type="spellEnd"/>
      <w:r w:rsidRPr="00507879">
        <w:rPr>
          <w:rFonts w:asciiTheme="majorBidi" w:hAnsiTheme="majorBidi" w:cstheme="majorBidi"/>
          <w:lang w:val="en-GB"/>
        </w:rPr>
        <w:t xml:space="preserve"> and Woodside (2017), tourism decision-making is often complex because travellers evaluate several alternatives and may change their preferences during the planning process.</w:t>
      </w:r>
    </w:p>
    <w:p w14:paraId="15829977" w14:textId="77777777" w:rsidR="00507879" w:rsidRPr="00507879" w:rsidRDefault="00507879" w:rsidP="00507879">
      <w:pPr>
        <w:rPr>
          <w:rFonts w:asciiTheme="majorBidi" w:hAnsiTheme="majorBidi" w:cstheme="majorBidi"/>
          <w:lang w:val="en-GB"/>
        </w:rPr>
      </w:pPr>
      <w:r w:rsidRPr="00507879">
        <w:rPr>
          <w:rFonts w:asciiTheme="majorBidi" w:hAnsiTheme="majorBidi" w:cstheme="majorBidi"/>
          <w:lang w:val="en-GB"/>
        </w:rPr>
        <w:t xml:space="preserve">Digital technology also plays an increasingly important role in tourist behaviour. Online reviews, travel applications, social networking platforms and user-generated content can strongly influence destination choice and expectations. </w:t>
      </w:r>
      <w:proofErr w:type="spellStart"/>
      <w:r w:rsidRPr="00507879">
        <w:rPr>
          <w:rFonts w:asciiTheme="majorBidi" w:hAnsiTheme="majorBidi" w:cstheme="majorBidi"/>
          <w:lang w:val="en-GB"/>
        </w:rPr>
        <w:t>Buhalis</w:t>
      </w:r>
      <w:proofErr w:type="spellEnd"/>
      <w:r w:rsidRPr="00507879">
        <w:rPr>
          <w:rFonts w:asciiTheme="majorBidi" w:hAnsiTheme="majorBidi" w:cstheme="majorBidi"/>
          <w:lang w:val="en-GB"/>
        </w:rPr>
        <w:t xml:space="preserve"> and </w:t>
      </w:r>
      <w:proofErr w:type="spellStart"/>
      <w:r w:rsidRPr="00507879">
        <w:rPr>
          <w:rFonts w:asciiTheme="majorBidi" w:hAnsiTheme="majorBidi" w:cstheme="majorBidi"/>
          <w:lang w:val="en-GB"/>
        </w:rPr>
        <w:t>Sinarta</w:t>
      </w:r>
      <w:proofErr w:type="spellEnd"/>
      <w:r w:rsidRPr="00507879">
        <w:rPr>
          <w:rFonts w:asciiTheme="majorBidi" w:hAnsiTheme="majorBidi" w:cstheme="majorBidi"/>
          <w:lang w:val="en-GB"/>
        </w:rPr>
        <w:t xml:space="preserve"> (2019) explain that digital communication allows tourism businesses to interact with consumers in real time and influence customer experience before, during and after travel.</w:t>
      </w:r>
    </w:p>
    <w:p w14:paraId="4E4635C2" w14:textId="77777777" w:rsidR="00507879" w:rsidRPr="00507879" w:rsidRDefault="00507879" w:rsidP="00507879">
      <w:pPr>
        <w:rPr>
          <w:rFonts w:asciiTheme="majorBidi" w:hAnsiTheme="majorBidi" w:cstheme="majorBidi"/>
          <w:lang w:val="en-GB"/>
        </w:rPr>
      </w:pPr>
      <w:r w:rsidRPr="00507879">
        <w:rPr>
          <w:rFonts w:asciiTheme="majorBidi" w:hAnsiTheme="majorBidi" w:cstheme="majorBidi"/>
          <w:lang w:val="en-GB"/>
        </w:rPr>
        <w:t>Understanding tourist consumer behaviour helps tourism organisations design appropriate products, improve service quality and communicate effectively with target markets. It also helps destinations identify changing consumer expectations and respond to emerging travel trends.</w:t>
      </w:r>
    </w:p>
    <w:p w14:paraId="768930E9" w14:textId="77777777" w:rsidR="00507879" w:rsidRPr="00507879" w:rsidRDefault="00507879" w:rsidP="00507879">
      <w:pPr>
        <w:rPr>
          <w:rFonts w:asciiTheme="majorBidi" w:hAnsiTheme="majorBidi" w:cstheme="majorBidi"/>
          <w:b/>
          <w:bCs/>
          <w:lang w:val="en-GB"/>
        </w:rPr>
      </w:pPr>
      <w:r w:rsidRPr="00507879">
        <w:rPr>
          <w:rFonts w:asciiTheme="majorBidi" w:hAnsiTheme="majorBidi" w:cstheme="majorBidi"/>
          <w:b/>
          <w:bCs/>
          <w:lang w:val="en-GB"/>
        </w:rPr>
        <w:t>2. Difference between institutionalized and non-institutionalized tourists</w:t>
      </w:r>
    </w:p>
    <w:p w14:paraId="082647E5" w14:textId="77777777" w:rsidR="00507879" w:rsidRPr="00507879" w:rsidRDefault="00507879" w:rsidP="00507879">
      <w:pPr>
        <w:rPr>
          <w:rFonts w:asciiTheme="majorBidi" w:hAnsiTheme="majorBidi" w:cstheme="majorBidi"/>
          <w:lang w:val="en-GB"/>
        </w:rPr>
      </w:pPr>
      <w:r w:rsidRPr="00507879">
        <w:rPr>
          <w:rFonts w:asciiTheme="majorBidi" w:hAnsiTheme="majorBidi" w:cstheme="majorBidi"/>
          <w:lang w:val="en-GB"/>
        </w:rPr>
        <w:t>Institutionalized tourists are travellers who depend largely on the formal tourism industry. Their transport, accommodation and activities are normally organised through established tourism providers such as tour operators, travel agencies and hotels. Their experiences are usually planned, structured and predictable.</w:t>
      </w:r>
    </w:p>
    <w:p w14:paraId="3FA0C960" w14:textId="77777777" w:rsidR="00507879" w:rsidRPr="00507879" w:rsidRDefault="00507879" w:rsidP="00507879">
      <w:pPr>
        <w:rPr>
          <w:rFonts w:asciiTheme="majorBidi" w:hAnsiTheme="majorBidi" w:cstheme="majorBidi"/>
          <w:lang w:val="en-GB"/>
        </w:rPr>
      </w:pPr>
      <w:r w:rsidRPr="00507879">
        <w:rPr>
          <w:rFonts w:asciiTheme="majorBidi" w:hAnsiTheme="majorBidi" w:cstheme="majorBidi"/>
          <w:lang w:val="en-GB"/>
        </w:rPr>
        <w:t>A common example is a tourist who purchases a fully organised European package tour that includes flights, hotels, transfers and guided sightseeing. Such a traveller experiences the destination mainly through formal tourism arrangements.</w:t>
      </w:r>
    </w:p>
    <w:p w14:paraId="165A2FA9" w14:textId="77777777" w:rsidR="00507879" w:rsidRPr="00507879" w:rsidRDefault="00507879" w:rsidP="00507879">
      <w:pPr>
        <w:rPr>
          <w:rFonts w:asciiTheme="majorBidi" w:hAnsiTheme="majorBidi" w:cstheme="majorBidi"/>
          <w:lang w:val="en-GB"/>
        </w:rPr>
      </w:pPr>
      <w:r w:rsidRPr="00507879">
        <w:rPr>
          <w:rFonts w:asciiTheme="majorBidi" w:hAnsiTheme="majorBidi" w:cstheme="majorBidi"/>
          <w:lang w:val="en-GB"/>
        </w:rPr>
        <w:t>In comparison, non-institutionalized tourists travel more independently and prefer greater flexibility. They may arrange accommodation locally, use public transport and explore places outside major tourist routes. Cohen (1972) classified explorers and drifters as non-institutionalized tourists because they seek more independent contact with destinations.</w:t>
      </w:r>
    </w:p>
    <w:p w14:paraId="1CE31A53" w14:textId="77777777" w:rsidR="00507879" w:rsidRPr="00507879" w:rsidRDefault="00507879" w:rsidP="00507879">
      <w:pPr>
        <w:rPr>
          <w:rFonts w:asciiTheme="majorBidi" w:hAnsiTheme="majorBidi" w:cstheme="majorBidi"/>
          <w:lang w:val="en-GB"/>
        </w:rPr>
      </w:pPr>
      <w:r w:rsidRPr="00507879">
        <w:rPr>
          <w:rFonts w:asciiTheme="majorBidi" w:hAnsiTheme="majorBidi" w:cstheme="majorBidi"/>
          <w:lang w:val="en-GB"/>
        </w:rPr>
        <w:t xml:space="preserve">For example, a backpacker travelling independently through small towns in Thailand, choosing accommodation after arrival and changing the itinerary freely, represents a non-institutionalized tourist. </w:t>
      </w:r>
      <w:proofErr w:type="spellStart"/>
      <w:r w:rsidRPr="00507879">
        <w:rPr>
          <w:rFonts w:asciiTheme="majorBidi" w:hAnsiTheme="majorBidi" w:cstheme="majorBidi"/>
          <w:lang w:val="en-GB"/>
        </w:rPr>
        <w:t>Uriely</w:t>
      </w:r>
      <w:proofErr w:type="spellEnd"/>
      <w:r w:rsidRPr="00507879">
        <w:rPr>
          <w:rFonts w:asciiTheme="majorBidi" w:hAnsiTheme="majorBidi" w:cstheme="majorBidi"/>
          <w:lang w:val="en-GB"/>
        </w:rPr>
        <w:t xml:space="preserve"> (2005) further argues that modern tourist experiences have become increasingly diverse and cannot always be explained through rigid categories.</w:t>
      </w:r>
    </w:p>
    <w:p w14:paraId="4F7590E8" w14:textId="77777777" w:rsidR="00507879" w:rsidRPr="00507879" w:rsidRDefault="00507879" w:rsidP="00507879">
      <w:pPr>
        <w:rPr>
          <w:rFonts w:asciiTheme="majorBidi" w:hAnsiTheme="majorBidi" w:cstheme="majorBidi"/>
          <w:b/>
          <w:bCs/>
          <w:lang w:val="en-GB"/>
        </w:rPr>
      </w:pPr>
      <w:r w:rsidRPr="00507879">
        <w:rPr>
          <w:rFonts w:asciiTheme="majorBidi" w:hAnsiTheme="majorBidi" w:cstheme="majorBidi"/>
          <w:b/>
          <w:bCs/>
          <w:lang w:val="en-GB"/>
        </w:rPr>
        <w:t>References</w:t>
      </w:r>
    </w:p>
    <w:p w14:paraId="6C44FB4E" w14:textId="77777777" w:rsidR="00507879" w:rsidRPr="00507879" w:rsidRDefault="00507879" w:rsidP="00507879">
      <w:pPr>
        <w:rPr>
          <w:rFonts w:asciiTheme="majorBidi" w:hAnsiTheme="majorBidi" w:cstheme="majorBidi"/>
          <w:lang w:val="en-GB"/>
        </w:rPr>
      </w:pPr>
      <w:proofErr w:type="spellStart"/>
      <w:r w:rsidRPr="00507879">
        <w:rPr>
          <w:rFonts w:asciiTheme="majorBidi" w:hAnsiTheme="majorBidi" w:cstheme="majorBidi"/>
          <w:lang w:val="en-GB"/>
        </w:rPr>
        <w:t>Buhalis</w:t>
      </w:r>
      <w:proofErr w:type="spellEnd"/>
      <w:r w:rsidRPr="00507879">
        <w:rPr>
          <w:rFonts w:asciiTheme="majorBidi" w:hAnsiTheme="majorBidi" w:cstheme="majorBidi"/>
          <w:lang w:val="en-GB"/>
        </w:rPr>
        <w:t xml:space="preserve">, D., &amp; </w:t>
      </w:r>
      <w:proofErr w:type="spellStart"/>
      <w:r w:rsidRPr="00507879">
        <w:rPr>
          <w:rFonts w:asciiTheme="majorBidi" w:hAnsiTheme="majorBidi" w:cstheme="majorBidi"/>
          <w:lang w:val="en-GB"/>
        </w:rPr>
        <w:t>Sinarta</w:t>
      </w:r>
      <w:proofErr w:type="spellEnd"/>
      <w:r w:rsidRPr="00507879">
        <w:rPr>
          <w:rFonts w:asciiTheme="majorBidi" w:hAnsiTheme="majorBidi" w:cstheme="majorBidi"/>
          <w:lang w:val="en-GB"/>
        </w:rPr>
        <w:t xml:space="preserve">, Y. (2019). Real-time co-creation and nowness service: Lessons from tourism and hospitality. </w:t>
      </w:r>
      <w:r w:rsidRPr="00507879">
        <w:rPr>
          <w:rFonts w:asciiTheme="majorBidi" w:hAnsiTheme="majorBidi" w:cstheme="majorBidi"/>
          <w:i/>
          <w:iCs/>
          <w:lang w:val="en-GB"/>
        </w:rPr>
        <w:t>Journal of Travel &amp; Tourism Marketing, 36</w:t>
      </w:r>
      <w:r w:rsidRPr="00507879">
        <w:rPr>
          <w:rFonts w:asciiTheme="majorBidi" w:hAnsiTheme="majorBidi" w:cstheme="majorBidi"/>
          <w:lang w:val="en-GB"/>
        </w:rPr>
        <w:t>(5), 563–582.</w:t>
      </w:r>
    </w:p>
    <w:p w14:paraId="2D69D62C" w14:textId="77777777" w:rsidR="00507879" w:rsidRPr="00507879" w:rsidRDefault="00507879" w:rsidP="00507879">
      <w:pPr>
        <w:rPr>
          <w:rFonts w:asciiTheme="majorBidi" w:hAnsiTheme="majorBidi" w:cstheme="majorBidi"/>
          <w:lang w:val="en-GB"/>
        </w:rPr>
      </w:pPr>
      <w:r w:rsidRPr="00507879">
        <w:rPr>
          <w:rFonts w:asciiTheme="majorBidi" w:hAnsiTheme="majorBidi" w:cstheme="majorBidi"/>
          <w:lang w:val="en-GB"/>
        </w:rPr>
        <w:t xml:space="preserve">Cohen, E. (1972). Toward a sociology of international tourism. </w:t>
      </w:r>
      <w:r w:rsidRPr="00507879">
        <w:rPr>
          <w:rFonts w:asciiTheme="majorBidi" w:hAnsiTheme="majorBidi" w:cstheme="majorBidi"/>
          <w:i/>
          <w:iCs/>
          <w:lang w:val="en-GB"/>
        </w:rPr>
        <w:t>Social Research, 39</w:t>
      </w:r>
      <w:r w:rsidRPr="00507879">
        <w:rPr>
          <w:rFonts w:asciiTheme="majorBidi" w:hAnsiTheme="majorBidi" w:cstheme="majorBidi"/>
          <w:lang w:val="en-GB"/>
        </w:rPr>
        <w:t>(1), 164–182.</w:t>
      </w:r>
    </w:p>
    <w:p w14:paraId="504A331F" w14:textId="77777777" w:rsidR="00507879" w:rsidRPr="00507879" w:rsidRDefault="00507879" w:rsidP="00507879">
      <w:pPr>
        <w:rPr>
          <w:rFonts w:asciiTheme="majorBidi" w:hAnsiTheme="majorBidi" w:cstheme="majorBidi"/>
          <w:lang w:val="en-GB"/>
        </w:rPr>
      </w:pPr>
      <w:proofErr w:type="spellStart"/>
      <w:r w:rsidRPr="00507879">
        <w:rPr>
          <w:rFonts w:asciiTheme="majorBidi" w:hAnsiTheme="majorBidi" w:cstheme="majorBidi"/>
          <w:lang w:val="en-GB"/>
        </w:rPr>
        <w:t>Decrop</w:t>
      </w:r>
      <w:proofErr w:type="spellEnd"/>
      <w:r w:rsidRPr="00507879">
        <w:rPr>
          <w:rFonts w:asciiTheme="majorBidi" w:hAnsiTheme="majorBidi" w:cstheme="majorBidi"/>
          <w:lang w:val="en-GB"/>
        </w:rPr>
        <w:t xml:space="preserve">, A., &amp; Woodside, A. G. (2017). Investigating the decision processes of travel consumers. </w:t>
      </w:r>
      <w:r w:rsidRPr="00507879">
        <w:rPr>
          <w:rFonts w:asciiTheme="majorBidi" w:hAnsiTheme="majorBidi" w:cstheme="majorBidi"/>
          <w:i/>
          <w:iCs/>
          <w:lang w:val="en-GB"/>
        </w:rPr>
        <w:t>International Journal of Culture, Tourism and Hospitality Research, 11</w:t>
      </w:r>
      <w:r w:rsidRPr="00507879">
        <w:rPr>
          <w:rFonts w:asciiTheme="majorBidi" w:hAnsiTheme="majorBidi" w:cstheme="majorBidi"/>
          <w:lang w:val="en-GB"/>
        </w:rPr>
        <w:t>(4), 495–506.</w:t>
      </w:r>
    </w:p>
    <w:p w14:paraId="4997FDA2" w14:textId="77777777" w:rsidR="00507879" w:rsidRPr="00507879" w:rsidRDefault="00507879" w:rsidP="00507879">
      <w:pPr>
        <w:rPr>
          <w:rFonts w:asciiTheme="majorBidi" w:hAnsiTheme="majorBidi" w:cstheme="majorBidi"/>
          <w:lang w:val="en-GB"/>
        </w:rPr>
      </w:pPr>
      <w:proofErr w:type="spellStart"/>
      <w:r w:rsidRPr="00507879">
        <w:rPr>
          <w:rFonts w:asciiTheme="majorBidi" w:hAnsiTheme="majorBidi" w:cstheme="majorBidi"/>
          <w:lang w:val="en-GB"/>
        </w:rPr>
        <w:t>Uriely</w:t>
      </w:r>
      <w:proofErr w:type="spellEnd"/>
      <w:r w:rsidRPr="00507879">
        <w:rPr>
          <w:rFonts w:asciiTheme="majorBidi" w:hAnsiTheme="majorBidi" w:cstheme="majorBidi"/>
          <w:lang w:val="en-GB"/>
        </w:rPr>
        <w:t xml:space="preserve">, N. (2005). The tourist experience: Conceptual developments. </w:t>
      </w:r>
      <w:r w:rsidRPr="00507879">
        <w:rPr>
          <w:rFonts w:asciiTheme="majorBidi" w:hAnsiTheme="majorBidi" w:cstheme="majorBidi"/>
          <w:i/>
          <w:iCs/>
          <w:lang w:val="en-GB"/>
        </w:rPr>
        <w:t>Annals of Tourism Research, 32</w:t>
      </w:r>
      <w:r w:rsidRPr="00507879">
        <w:rPr>
          <w:rFonts w:asciiTheme="majorBidi" w:hAnsiTheme="majorBidi" w:cstheme="majorBidi"/>
          <w:lang w:val="en-GB"/>
        </w:rPr>
        <w:t>(1), 199–216.</w:t>
      </w:r>
    </w:p>
    <w:p w14:paraId="241F014B" w14:textId="77777777" w:rsidR="00507879" w:rsidRPr="00215386" w:rsidRDefault="00507879" w:rsidP="006E036E">
      <w:pPr>
        <w:rPr>
          <w:rFonts w:asciiTheme="majorBidi" w:hAnsiTheme="majorBidi" w:cstheme="majorBidi"/>
        </w:rPr>
      </w:pPr>
    </w:p>
    <w:sectPr w:rsidR="00507879" w:rsidRPr="0021538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embedRegular r:id="rId1" w:fontKey="{F7916EAB-9DC8-43E6-8456-FA375C0948EE}"/>
    <w:embedBold r:id="rId2" w:fontKey="{F2B38C80-B84C-4BD6-84EB-01E097B32BF8}"/>
    <w:embedItalic r:id="rId3" w:fontKey="{4832A5B7-E9DF-4FA0-B9EA-3B1B510312ED}"/>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embedRegular r:id="rId4" w:fontKey="{A0A28536-1C9B-4F7F-8834-0C4495FCB6D8}"/>
  </w:font>
  <w:font w:name="Calibri Light">
    <w:panose1 w:val="020F0302020204030204"/>
    <w:charset w:val="00"/>
    <w:family w:val="swiss"/>
    <w:pitch w:val="variable"/>
    <w:sig w:usb0="E4002EFF" w:usb1="C000247B" w:usb2="00000009" w:usb3="00000000" w:csb0="000001FF" w:csb1="00000000"/>
    <w:embedRegular r:id="rId5" w:fontKey="{0EC7E737-08FA-4D33-AABC-14EFCC4C25D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CE43A53"/>
    <w:multiLevelType w:val="hybridMultilevel"/>
    <w:tmpl w:val="A538D4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49009757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72345"/>
    <w:rsid w:val="0003533E"/>
    <w:rsid w:val="001700EC"/>
    <w:rsid w:val="00174BB1"/>
    <w:rsid w:val="00215386"/>
    <w:rsid w:val="00224FD9"/>
    <w:rsid w:val="002F4AE0"/>
    <w:rsid w:val="00384E8A"/>
    <w:rsid w:val="003C5D74"/>
    <w:rsid w:val="003D1074"/>
    <w:rsid w:val="00426865"/>
    <w:rsid w:val="00477CAA"/>
    <w:rsid w:val="00502E29"/>
    <w:rsid w:val="00507879"/>
    <w:rsid w:val="005E458B"/>
    <w:rsid w:val="00672345"/>
    <w:rsid w:val="006E036E"/>
    <w:rsid w:val="00762633"/>
    <w:rsid w:val="00844EC2"/>
    <w:rsid w:val="008516FE"/>
    <w:rsid w:val="00965EED"/>
    <w:rsid w:val="0099651A"/>
    <w:rsid w:val="009C1D0A"/>
    <w:rsid w:val="00A044F7"/>
    <w:rsid w:val="00A8150E"/>
    <w:rsid w:val="00B20343"/>
    <w:rsid w:val="00B85EA7"/>
    <w:rsid w:val="00BE65DD"/>
    <w:rsid w:val="00C612A4"/>
    <w:rsid w:val="00CC6AD1"/>
    <w:rsid w:val="00E6778A"/>
    <w:rsid w:val="00F25F5B"/>
    <w:rsid w:val="00F837B1"/>
  </w:rsids>
  <m:mathPr>
    <m:mathFont m:val="Cambria Math"/>
    <m:brkBin m:val="before"/>
    <m:brkBinSub m:val="--"/>
    <m:smallFrac m:val="0"/>
    <m:dispDef/>
    <m:lMargin m:val="0"/>
    <m:rMargin m:val="0"/>
    <m:defJc m:val="centerGroup"/>
    <m:wrapIndent m:val="1440"/>
    <m:intLim m:val="subSup"/>
    <m:naryLim m:val="undOvr"/>
  </m:mathPr>
  <w:themeFontLang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1AF24E"/>
  <w15:chartTrackingRefBased/>
  <w15:docId w15:val="{D44C529A-C2A9-5541-B3D1-9897CC08AF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qFormat="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72345"/>
  </w:style>
  <w:style w:type="paragraph" w:styleId="Heading1">
    <w:name w:val="heading 1"/>
    <w:basedOn w:val="NoSpacing"/>
    <w:next w:val="Normal"/>
    <w:link w:val="Heading1Char"/>
    <w:autoRedefine/>
    <w:uiPriority w:val="9"/>
    <w:qFormat/>
    <w:rsid w:val="00B85EA7"/>
    <w:pPr>
      <w:keepNext/>
      <w:keepLines/>
      <w:spacing w:before="480"/>
      <w:outlineLvl w:val="0"/>
    </w:pPr>
    <w:rPr>
      <w:rFonts w:ascii="Cambria" w:eastAsiaTheme="majorEastAsia" w:hAnsi="Cambria" w:cstheme="majorBidi"/>
      <w:bCs/>
      <w:sz w:val="28"/>
      <w:szCs w:val="28"/>
      <w:lang w:val="en-US"/>
    </w:rPr>
  </w:style>
  <w:style w:type="paragraph" w:styleId="Heading2">
    <w:name w:val="heading 2"/>
    <w:basedOn w:val="Normal"/>
    <w:next w:val="Normal"/>
    <w:link w:val="Heading2Char"/>
    <w:autoRedefine/>
    <w:uiPriority w:val="9"/>
    <w:unhideWhenUsed/>
    <w:qFormat/>
    <w:rsid w:val="00B85EA7"/>
    <w:pPr>
      <w:keepNext/>
      <w:keepLines/>
      <w:spacing w:before="40" w:line="276" w:lineRule="auto"/>
      <w:outlineLvl w:val="1"/>
    </w:pPr>
    <w:rPr>
      <w:rFonts w:ascii="Cambria" w:eastAsiaTheme="majorEastAsia" w:hAnsi="Cambria" w:cstheme="majorBidi"/>
      <w:color w:val="000000" w:themeColor="text1"/>
      <w:sz w:val="26"/>
      <w:szCs w:val="26"/>
      <w:lang w:val="en-US"/>
    </w:rPr>
  </w:style>
  <w:style w:type="paragraph" w:styleId="Heading3">
    <w:name w:val="heading 3"/>
    <w:basedOn w:val="Normal"/>
    <w:next w:val="Normal"/>
    <w:link w:val="Heading3Char"/>
    <w:autoRedefine/>
    <w:uiPriority w:val="9"/>
    <w:unhideWhenUsed/>
    <w:qFormat/>
    <w:rsid w:val="00B85EA7"/>
    <w:pPr>
      <w:keepNext/>
      <w:keepLines/>
      <w:spacing w:before="40" w:line="276" w:lineRule="auto"/>
      <w:outlineLvl w:val="2"/>
    </w:pPr>
    <w:rPr>
      <w:rFonts w:ascii="Cambria" w:eastAsiaTheme="majorEastAsia" w:hAnsi="Cambria" w:cstheme="majorBidi"/>
      <w:color w:val="000000" w:themeColor="text1"/>
      <w:lang w:val="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85EA7"/>
    <w:rPr>
      <w:rFonts w:ascii="Cambria" w:eastAsiaTheme="majorEastAsia" w:hAnsi="Cambria" w:cstheme="majorBidi"/>
      <w:bCs/>
      <w:sz w:val="28"/>
      <w:szCs w:val="28"/>
      <w:lang w:val="en-US"/>
    </w:rPr>
  </w:style>
  <w:style w:type="character" w:customStyle="1" w:styleId="Heading2Char">
    <w:name w:val="Heading 2 Char"/>
    <w:basedOn w:val="DefaultParagraphFont"/>
    <w:link w:val="Heading2"/>
    <w:uiPriority w:val="9"/>
    <w:rsid w:val="00B85EA7"/>
    <w:rPr>
      <w:rFonts w:ascii="Cambria" w:eastAsiaTheme="majorEastAsia" w:hAnsi="Cambria" w:cstheme="majorBidi"/>
      <w:color w:val="000000" w:themeColor="text1"/>
      <w:sz w:val="26"/>
      <w:szCs w:val="26"/>
      <w:lang w:val="en-US"/>
    </w:rPr>
  </w:style>
  <w:style w:type="character" w:customStyle="1" w:styleId="Heading3Char">
    <w:name w:val="Heading 3 Char"/>
    <w:basedOn w:val="DefaultParagraphFont"/>
    <w:link w:val="Heading3"/>
    <w:uiPriority w:val="9"/>
    <w:rsid w:val="00B85EA7"/>
    <w:rPr>
      <w:rFonts w:ascii="Cambria" w:eastAsiaTheme="majorEastAsia" w:hAnsi="Cambria" w:cstheme="majorBidi"/>
      <w:color w:val="000000" w:themeColor="text1"/>
      <w:lang w:val="en-US"/>
    </w:rPr>
  </w:style>
  <w:style w:type="paragraph" w:styleId="NoSpacing">
    <w:name w:val="No Spacing"/>
    <w:uiPriority w:val="1"/>
    <w:qFormat/>
    <w:rsid w:val="00B85EA7"/>
  </w:style>
  <w:style w:type="paragraph" w:styleId="TableofFigures">
    <w:name w:val="table of figures"/>
    <w:basedOn w:val="Normal"/>
    <w:next w:val="Normal"/>
    <w:autoRedefine/>
    <w:uiPriority w:val="99"/>
    <w:unhideWhenUsed/>
    <w:qFormat/>
    <w:rsid w:val="00CC6AD1"/>
    <w:pPr>
      <w:spacing w:line="276" w:lineRule="auto"/>
    </w:pPr>
    <w:rPr>
      <w:rFonts w:ascii="Cambria" w:hAnsi="Cambria"/>
      <w:sz w:val="20"/>
      <w:szCs w:val="22"/>
      <w:lang w:val="en-US"/>
    </w:rPr>
  </w:style>
  <w:style w:type="paragraph" w:styleId="ListParagraph">
    <w:name w:val="List Paragraph"/>
    <w:basedOn w:val="Normal"/>
    <w:uiPriority w:val="34"/>
    <w:qFormat/>
    <w:rsid w:val="003C5D7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602</Words>
  <Characters>3435</Characters>
  <Application>Microsoft Office Word</Application>
  <DocSecurity>0</DocSecurity>
  <Lines>28</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Mahmoud Bakry</dc:creator>
  <cp:keywords/>
  <dc:description/>
  <cp:lastModifiedBy>xx5949@365mak.com</cp:lastModifiedBy>
  <cp:revision>2</cp:revision>
  <dcterms:created xsi:type="dcterms:W3CDTF">2026-09-04T15:45:00Z</dcterms:created>
  <dcterms:modified xsi:type="dcterms:W3CDTF">2026-09-04T15:45:00Z</dcterms:modified>
</cp:coreProperties>
</file>