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71987690" w14:textId="77777777" w:rsidR="00F13AC3" w:rsidRPr="00F13AC3" w:rsidRDefault="00F13AC3" w:rsidP="00F13AC3">
      <w:pPr>
        <w:spacing w:line="276" w:lineRule="auto"/>
        <w:rPr>
          <w:lang w:val="en-GB"/>
        </w:rPr>
      </w:pPr>
      <w:r w:rsidRPr="00F13AC3">
        <w:rPr>
          <w:lang w:val="en-GB"/>
        </w:rPr>
        <w:lastRenderedPageBreak/>
        <w:t>Heritage management has evolved considerably over the past few decades, reflecting broader changes in how societies understand culture, identity, and the role of the past in the present. Traditionally, heritage management followed what is commonly referred to as the conventional approach. This model focused primarily on the protection and conservation of tangible heritage, such as monuments, historic buildings, and archaeological sites. It relied heavily on expert knowledge and scientific techniques, with decisions typically made by professionals trained in conservation, architecture, or archaeology. The goal was to preserve the physical integrity and authenticity of heritage assets, often according to universal standards such as those outlined in the Venice Charter (1964).</w:t>
      </w:r>
    </w:p>
    <w:p w14:paraId="01095D9D" w14:textId="77777777" w:rsidR="00F13AC3" w:rsidRPr="00F13AC3" w:rsidRDefault="00F13AC3" w:rsidP="00F13AC3">
      <w:pPr>
        <w:spacing w:line="276" w:lineRule="auto"/>
        <w:rPr>
          <w:lang w:val="en-GB"/>
        </w:rPr>
      </w:pPr>
      <w:r w:rsidRPr="00F13AC3">
        <w:rPr>
          <w:lang w:val="en-GB"/>
        </w:rPr>
        <w:t>Although this approach was effective in preventing the loss and deterioration of many significant heritage sites, it has been widely criticized for being too narrow in scope. One of its main limitations is that it tends to treat heritage as an objective and fixed entity, ignoring the fact that different groups may interpret and value heritage in different ways. Furthermore, the conventional approach often excludes local communities from decision-making processes, leading to a lack of social relevance and, in some cases, conflict. For instance, conservation projects carried out without community consultation have sometimes disrupted traditional uses of heritage sites or marginalized local populations.</w:t>
      </w:r>
    </w:p>
    <w:p w14:paraId="5F5907B5" w14:textId="77777777" w:rsidR="00F13AC3" w:rsidRPr="00F13AC3" w:rsidRDefault="00F13AC3" w:rsidP="00F13AC3">
      <w:pPr>
        <w:spacing w:line="276" w:lineRule="auto"/>
        <w:rPr>
          <w:lang w:val="en-GB"/>
        </w:rPr>
      </w:pPr>
      <w:r w:rsidRPr="00F13AC3">
        <w:rPr>
          <w:lang w:val="en-GB"/>
        </w:rPr>
        <w:t>In response to these criticisms, the value-led approach has emerged as a more inclusive and flexible framework for heritage management. This approach is based on the idea that heritage significance is not inherent but is created through the values that people attach to it. These values can be diverse and include cultural, social, spiritual, economic, and political dimensions. Rather than focusing solely on the physical aspects of heritage, value-led management seeks to understand and balance these multiple values in decision-making processes.</w:t>
      </w:r>
    </w:p>
    <w:p w14:paraId="75898305" w14:textId="77777777" w:rsidR="00F13AC3" w:rsidRPr="00F13AC3" w:rsidRDefault="00F13AC3" w:rsidP="00F13AC3">
      <w:pPr>
        <w:spacing w:line="276" w:lineRule="auto"/>
        <w:rPr>
          <w:lang w:val="en-GB"/>
        </w:rPr>
      </w:pPr>
      <w:r w:rsidRPr="00F13AC3">
        <w:rPr>
          <w:lang w:val="en-GB"/>
        </w:rPr>
        <w:t xml:space="preserve">A defining characteristic of the value-led approach is its emphasis on stakeholder participation. It recognizes that heritage is meaningful to different groups in different ways and that these perspectives should be </w:t>
      </w:r>
      <w:proofErr w:type="gramStart"/>
      <w:r w:rsidRPr="00F13AC3">
        <w:rPr>
          <w:lang w:val="en-GB"/>
        </w:rPr>
        <w:t>taken into account</w:t>
      </w:r>
      <w:proofErr w:type="gramEnd"/>
      <w:r w:rsidRPr="00F13AC3">
        <w:rPr>
          <w:lang w:val="en-GB"/>
        </w:rPr>
        <w:t>. This includes not only experts but also local communities, indigenous peoples, policymakers, and even tourists. By incorporating a wider range of voices, value-led approaches aim to create more democratic and socially sustainable heritage management practices.</w:t>
      </w:r>
    </w:p>
    <w:p w14:paraId="37743B12" w14:textId="77777777" w:rsidR="00F13AC3" w:rsidRPr="00F13AC3" w:rsidRDefault="00F13AC3" w:rsidP="00F13AC3">
      <w:pPr>
        <w:spacing w:line="276" w:lineRule="auto"/>
        <w:rPr>
          <w:lang w:val="en-GB"/>
        </w:rPr>
      </w:pPr>
      <w:r w:rsidRPr="00F13AC3">
        <w:rPr>
          <w:lang w:val="en-GB"/>
        </w:rPr>
        <w:t>Another important distinction between the two approaches lies in their perception of change. The conventional model tends to prioritize stability and preservation, often attempting to maintain heritage in a particular historical state. In contrast, the value-led approach accepts that heritage is dynamic and continuously evolving. This is particularly relevant in the context of intangible heritage, such as traditions, rituals, and cultural practices, which cannot be preserved in a fixed form but must be allowed to adapt over time.</w:t>
      </w:r>
    </w:p>
    <w:p w14:paraId="010AFCE1" w14:textId="77777777" w:rsidR="00F13AC3" w:rsidRPr="00F13AC3" w:rsidRDefault="00F13AC3" w:rsidP="00F13AC3">
      <w:pPr>
        <w:spacing w:line="276" w:lineRule="auto"/>
        <w:rPr>
          <w:lang w:val="en-GB"/>
        </w:rPr>
      </w:pPr>
      <w:r w:rsidRPr="00F13AC3">
        <w:rPr>
          <w:lang w:val="en-GB"/>
        </w:rPr>
        <w:t xml:space="preserve">In contemporary contexts, the value-led approach is often considered more effective because it aligns with current social and cultural priorities. Issues such as community identity, cultural diversity, and sustainable development require heritage management strategies that are flexible and inclusive. For example, participatory heritage projects in </w:t>
      </w:r>
      <w:r w:rsidRPr="00F13AC3">
        <w:rPr>
          <w:lang w:val="en-GB"/>
        </w:rPr>
        <w:lastRenderedPageBreak/>
        <w:t>urban environments have demonstrated that involving local communities can lead to more successful and long-lasting conservation outcomes. Moreover, international organizations such as UNESCO increasingly emphasize the importance of community engagement and cultural significance in heritage policies.</w:t>
      </w:r>
    </w:p>
    <w:p w14:paraId="1D940753" w14:textId="77777777" w:rsidR="00F13AC3" w:rsidRPr="00F13AC3" w:rsidRDefault="00F13AC3" w:rsidP="00F13AC3">
      <w:pPr>
        <w:spacing w:line="276" w:lineRule="auto"/>
        <w:rPr>
          <w:lang w:val="en-GB"/>
        </w:rPr>
      </w:pPr>
      <w:r w:rsidRPr="00F13AC3">
        <w:rPr>
          <w:lang w:val="en-GB"/>
        </w:rPr>
        <w:t xml:space="preserve">Despite its advantages, the value-led approach is not without challenges. Balancing multiple and sometimes conflicting values can be complex, and the process of stakeholder engagement can be </w:t>
      </w:r>
      <w:proofErr w:type="gramStart"/>
      <w:r w:rsidRPr="00F13AC3">
        <w:rPr>
          <w:lang w:val="en-GB"/>
        </w:rPr>
        <w:t>resource-intensive</w:t>
      </w:r>
      <w:proofErr w:type="gramEnd"/>
      <w:r w:rsidRPr="00F13AC3">
        <w:rPr>
          <w:lang w:val="en-GB"/>
        </w:rPr>
        <w:t>. Additionally, there is a need to ensure that technical conservation standards are not compromised in the pursuit of social inclusivity. For this reason, many experts advocate for a hybrid approach that combines the strengths of both models. By integrating the technical rigor of the conventional approach with the inclusivity of the value-led framework, heritage management can achieve both effective conservation and social relevance.</w:t>
      </w:r>
    </w:p>
    <w:p w14:paraId="52E9CED9" w14:textId="77777777" w:rsidR="00F13AC3" w:rsidRPr="00F13AC3" w:rsidRDefault="00F13AC3" w:rsidP="00F13AC3">
      <w:pPr>
        <w:spacing w:line="276" w:lineRule="auto"/>
        <w:rPr>
          <w:lang w:val="en-GB"/>
        </w:rPr>
      </w:pPr>
      <w:r w:rsidRPr="00F13AC3">
        <w:rPr>
          <w:lang w:val="en-GB"/>
        </w:rPr>
        <w:t>In conclusion, the shift from conventional to value-led heritage management represents a significant development in the field. While the conventional approach laid the foundation for protecting physical heritage, the value-led approach offers a more comprehensive and adaptable model that reflects the complex realities of contemporary society.</w:t>
      </w:r>
    </w:p>
    <w:p w14:paraId="6EB13C0D" w14:textId="02FE2CC0" w:rsidR="00F13AC3" w:rsidRPr="00F13AC3" w:rsidRDefault="00F13AC3" w:rsidP="00F13AC3">
      <w:pPr>
        <w:spacing w:line="276" w:lineRule="auto"/>
        <w:rPr>
          <w:lang w:val="en-GB"/>
        </w:rPr>
      </w:pPr>
    </w:p>
    <w:p w14:paraId="20599F62" w14:textId="77777777" w:rsidR="00F13AC3" w:rsidRPr="00F13AC3" w:rsidRDefault="00F13AC3" w:rsidP="00F13AC3">
      <w:pPr>
        <w:spacing w:line="276" w:lineRule="auto"/>
        <w:rPr>
          <w:b/>
          <w:bCs/>
          <w:lang w:val="en-GB"/>
        </w:rPr>
      </w:pPr>
      <w:r w:rsidRPr="00F13AC3">
        <w:rPr>
          <w:b/>
          <w:bCs/>
          <w:lang w:val="en-GB"/>
        </w:rPr>
        <w:t>References (New / Varied with DOIs)</w:t>
      </w:r>
    </w:p>
    <w:p w14:paraId="2944325E" w14:textId="77777777" w:rsidR="00F13AC3" w:rsidRPr="00F13AC3" w:rsidRDefault="00F13AC3" w:rsidP="00F13AC3">
      <w:pPr>
        <w:numPr>
          <w:ilvl w:val="0"/>
          <w:numId w:val="6"/>
        </w:numPr>
        <w:spacing w:line="276" w:lineRule="auto"/>
        <w:rPr>
          <w:lang w:val="en-GB"/>
        </w:rPr>
      </w:pPr>
      <w:r w:rsidRPr="00F13AC3">
        <w:rPr>
          <w:lang w:val="en-GB"/>
        </w:rPr>
        <w:t xml:space="preserve">de la Torre, M. (Ed.). (2002). </w:t>
      </w:r>
      <w:r w:rsidRPr="00F13AC3">
        <w:rPr>
          <w:i/>
          <w:iCs/>
          <w:lang w:val="en-GB"/>
        </w:rPr>
        <w:t>Assessing the Values of Cultural Heritage</w:t>
      </w:r>
      <w:r w:rsidRPr="00F13AC3">
        <w:rPr>
          <w:lang w:val="en-GB"/>
        </w:rPr>
        <w:t>. Getty Conservation Institute.</w:t>
      </w:r>
      <w:r w:rsidRPr="00F13AC3">
        <w:rPr>
          <w:lang w:val="en-GB"/>
        </w:rPr>
        <w:br/>
        <w:t xml:space="preserve">(Google Scholar widely indexed) </w:t>
      </w:r>
    </w:p>
    <w:p w14:paraId="384D09BB" w14:textId="77777777" w:rsidR="00F13AC3" w:rsidRPr="00F13AC3" w:rsidRDefault="00F13AC3" w:rsidP="00F13AC3">
      <w:pPr>
        <w:numPr>
          <w:ilvl w:val="0"/>
          <w:numId w:val="6"/>
        </w:numPr>
        <w:spacing w:line="276" w:lineRule="auto"/>
        <w:rPr>
          <w:lang w:val="en-GB"/>
        </w:rPr>
      </w:pPr>
      <w:r w:rsidRPr="00F13AC3">
        <w:rPr>
          <w:lang w:val="en-GB"/>
        </w:rPr>
        <w:t xml:space="preserve">Poulios, I. (2014). </w:t>
      </w:r>
      <w:r w:rsidRPr="00F13AC3">
        <w:rPr>
          <w:i/>
          <w:iCs/>
          <w:lang w:val="en-GB"/>
        </w:rPr>
        <w:t>The Past in the Present: A Living Heritage Approach</w:t>
      </w:r>
      <w:r w:rsidRPr="00F13AC3">
        <w:rPr>
          <w:lang w:val="en-GB"/>
        </w:rPr>
        <w:t>. UCL Press.</w:t>
      </w:r>
      <w:r w:rsidRPr="00F13AC3">
        <w:rPr>
          <w:lang w:val="en-GB"/>
        </w:rPr>
        <w:br/>
        <w:t xml:space="preserve">DOI: https://doi.org/10.14324/111.9781787356009 </w:t>
      </w:r>
    </w:p>
    <w:p w14:paraId="7E7B0CA4" w14:textId="77777777" w:rsidR="00F13AC3" w:rsidRPr="00F13AC3" w:rsidRDefault="00F13AC3" w:rsidP="00F13AC3">
      <w:pPr>
        <w:numPr>
          <w:ilvl w:val="0"/>
          <w:numId w:val="6"/>
        </w:numPr>
        <w:spacing w:line="276" w:lineRule="auto"/>
        <w:rPr>
          <w:lang w:val="en-GB"/>
        </w:rPr>
      </w:pPr>
      <w:r w:rsidRPr="00F13AC3">
        <w:rPr>
          <w:lang w:val="en-GB"/>
        </w:rPr>
        <w:t>Waterton, E., &amp; Smith, L. (2010).</w:t>
      </w:r>
      <w:r w:rsidRPr="00F13AC3">
        <w:rPr>
          <w:lang w:val="en-GB"/>
        </w:rPr>
        <w:br/>
        <w:t xml:space="preserve">“The recognition and misrecognition of community heritage.” </w:t>
      </w:r>
      <w:r w:rsidRPr="00F13AC3">
        <w:rPr>
          <w:i/>
          <w:iCs/>
          <w:lang w:val="en-GB"/>
        </w:rPr>
        <w:t>International Journal of Heritage Studies</w:t>
      </w:r>
      <w:r w:rsidRPr="00F13AC3">
        <w:rPr>
          <w:lang w:val="en-GB"/>
        </w:rPr>
        <w:t>.</w:t>
      </w:r>
      <w:r w:rsidRPr="00F13AC3">
        <w:rPr>
          <w:lang w:val="en-GB"/>
        </w:rPr>
        <w:br/>
        <w:t xml:space="preserve">DOI: https://doi.org/10.1080/13527250903441735 </w:t>
      </w:r>
    </w:p>
    <w:p w14:paraId="51A0FB3E" w14:textId="77777777" w:rsidR="00F13AC3" w:rsidRPr="00F13AC3" w:rsidRDefault="00F13AC3" w:rsidP="00F13AC3">
      <w:pPr>
        <w:numPr>
          <w:ilvl w:val="0"/>
          <w:numId w:val="6"/>
        </w:numPr>
        <w:spacing w:line="276" w:lineRule="auto"/>
        <w:rPr>
          <w:lang w:val="en-GB"/>
        </w:rPr>
      </w:pPr>
      <w:r w:rsidRPr="00F13AC3">
        <w:rPr>
          <w:lang w:val="en-GB"/>
        </w:rPr>
        <w:t xml:space="preserve">Harrison, R. (2013). </w:t>
      </w:r>
      <w:r w:rsidRPr="00F13AC3">
        <w:rPr>
          <w:i/>
          <w:iCs/>
          <w:lang w:val="en-GB"/>
        </w:rPr>
        <w:t>Heritage: Critical Approaches</w:t>
      </w:r>
      <w:r w:rsidRPr="00F13AC3">
        <w:rPr>
          <w:lang w:val="en-GB"/>
        </w:rPr>
        <w:t>. Routledge.</w:t>
      </w:r>
      <w:r w:rsidRPr="00F13AC3">
        <w:rPr>
          <w:lang w:val="en-GB"/>
        </w:rPr>
        <w:br/>
        <w:t xml:space="preserve">DOI: </w:t>
      </w:r>
      <w:hyperlink r:id="rId6" w:tgtFrame="_new" w:history="1">
        <w:r w:rsidRPr="00F13AC3">
          <w:rPr>
            <w:rStyle w:val="Hyperlink"/>
            <w:lang w:val="en-GB"/>
          </w:rPr>
          <w:t>https://doi.org/10.4324/9780203108857</w:t>
        </w:r>
      </w:hyperlink>
      <w:r w:rsidRPr="00F13AC3">
        <w:rPr>
          <w:lang w:val="en-GB"/>
        </w:rPr>
        <w:t xml:space="preserve"> </w:t>
      </w:r>
    </w:p>
    <w:p w14:paraId="27D3698B" w14:textId="77777777" w:rsidR="00F13AC3" w:rsidRPr="00F13AC3" w:rsidRDefault="00F13AC3" w:rsidP="00F13AC3">
      <w:pPr>
        <w:numPr>
          <w:ilvl w:val="0"/>
          <w:numId w:val="6"/>
        </w:numPr>
        <w:spacing w:line="276" w:lineRule="auto"/>
        <w:rPr>
          <w:lang w:val="en-GB"/>
        </w:rPr>
      </w:pPr>
      <w:r w:rsidRPr="00F13AC3">
        <w:rPr>
          <w:lang w:val="en-GB"/>
        </w:rPr>
        <w:t>Byrne, D. (2008).</w:t>
      </w:r>
      <w:r w:rsidRPr="00F13AC3">
        <w:rPr>
          <w:lang w:val="en-GB"/>
        </w:rPr>
        <w:br/>
        <w:t xml:space="preserve">“Heritage as social action.” </w:t>
      </w:r>
      <w:r w:rsidRPr="00F13AC3">
        <w:rPr>
          <w:i/>
          <w:iCs/>
          <w:lang w:val="en-GB"/>
        </w:rPr>
        <w:t>Journal of Social Archaeology</w:t>
      </w:r>
      <w:r w:rsidRPr="00F13AC3">
        <w:rPr>
          <w:lang w:val="en-GB"/>
        </w:rPr>
        <w:t>.</w:t>
      </w:r>
      <w:r w:rsidRPr="00F13AC3">
        <w:rPr>
          <w:lang w:val="en-GB"/>
        </w:rPr>
        <w:br/>
        <w:t xml:space="preserve">DOI: https://doi.org/10.1177/1469605308093196 </w:t>
      </w:r>
    </w:p>
    <w:p w14:paraId="776DCC7D" w14:textId="77777777" w:rsidR="004F00A3" w:rsidRDefault="004F00A3" w:rsidP="00F13AC3">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D0E4466-B179-4C84-AD6A-6C00C7138A87}"/>
    <w:embedBold r:id="rId2" w:fontKey="{AD9186BD-3C14-4C61-88E9-1B170FD9129A}"/>
    <w:embedItalic r:id="rId3" w:fontKey="{0135CFA6-5FEB-4103-89E3-6F376342E1B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4E31DB2-C277-4555-A906-48815BE7A06B}"/>
  </w:font>
  <w:font w:name="Calibri Light">
    <w:panose1 w:val="020F0302020204030204"/>
    <w:charset w:val="00"/>
    <w:family w:val="swiss"/>
    <w:pitch w:val="variable"/>
    <w:sig w:usb0="E4002EFF" w:usb1="C000247B" w:usb2="00000009" w:usb3="00000000" w:csb0="000001FF" w:csb1="00000000"/>
    <w:embedRegular r:id="rId5" w:fontKey="{6947CDB1-9CA2-474F-8588-933D17411ED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0376D"/>
    <w:multiLevelType w:val="multilevel"/>
    <w:tmpl w:val="45368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1F623D"/>
    <w:multiLevelType w:val="multilevel"/>
    <w:tmpl w:val="07C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1B3731"/>
    <w:multiLevelType w:val="multilevel"/>
    <w:tmpl w:val="3B9C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10166">
    <w:abstractNumId w:val="4"/>
  </w:num>
  <w:num w:numId="2" w16cid:durableId="321082758">
    <w:abstractNumId w:val="2"/>
  </w:num>
  <w:num w:numId="3" w16cid:durableId="1925534475">
    <w:abstractNumId w:val="5"/>
  </w:num>
  <w:num w:numId="4" w16cid:durableId="1785995615">
    <w:abstractNumId w:val="3"/>
  </w:num>
  <w:num w:numId="5" w16cid:durableId="1645886677">
    <w:abstractNumId w:val="1"/>
  </w:num>
  <w:num w:numId="6" w16cid:durableId="2056662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3F4BD0"/>
    <w:rsid w:val="00426865"/>
    <w:rsid w:val="00477CAA"/>
    <w:rsid w:val="004F00A3"/>
    <w:rsid w:val="00502E29"/>
    <w:rsid w:val="005E458B"/>
    <w:rsid w:val="00672345"/>
    <w:rsid w:val="0078667C"/>
    <w:rsid w:val="00844EC2"/>
    <w:rsid w:val="008516FE"/>
    <w:rsid w:val="008D42C9"/>
    <w:rsid w:val="00942251"/>
    <w:rsid w:val="009C1D0A"/>
    <w:rsid w:val="00A044F7"/>
    <w:rsid w:val="00A8150E"/>
    <w:rsid w:val="00B20343"/>
    <w:rsid w:val="00B85EA7"/>
    <w:rsid w:val="00BE65DD"/>
    <w:rsid w:val="00C50C4A"/>
    <w:rsid w:val="00C612A4"/>
    <w:rsid w:val="00CC38D3"/>
    <w:rsid w:val="00CC6AD1"/>
    <w:rsid w:val="00E6778A"/>
    <w:rsid w:val="00F13AC3"/>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108857"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872</Words>
  <Characters>4975</Characters>
  <Application>Microsoft Office Word</Application>
  <DocSecurity>0</DocSecurity>
  <Lines>41</Lines>
  <Paragraphs>11</Paragraphs>
  <ScaleCrop>false</ScaleCrop>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2026-04-18T12:21:00Z</dcterms:created>
  <dcterms:modified xsi:type="dcterms:W3CDTF">2026-04-18T12:21:00Z</dcterms:modified>
</cp:coreProperties>
</file>