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670382C" w14:textId="77777777" w:rsidR="00DC27AB" w:rsidRPr="00DC27AB" w:rsidRDefault="00DC27AB" w:rsidP="007A4B0D">
      <w:pPr>
        <w:spacing w:line="360" w:lineRule="auto"/>
        <w:rPr>
          <w:b/>
          <w:bCs/>
          <w:lang w:val="en-GB"/>
        </w:rPr>
      </w:pPr>
      <w:r w:rsidRPr="00DC27AB">
        <w:rPr>
          <w:b/>
          <w:bCs/>
          <w:lang w:val="en-GB"/>
        </w:rPr>
        <w:lastRenderedPageBreak/>
        <w:t>World Heritage Site and Authenticity in Heritage Conservation</w:t>
      </w:r>
    </w:p>
    <w:p w14:paraId="107DC589" w14:textId="77777777" w:rsidR="007A4B0D" w:rsidRPr="007A4B0D" w:rsidRDefault="007A4B0D" w:rsidP="007A4B0D">
      <w:pPr>
        <w:spacing w:line="360" w:lineRule="auto"/>
        <w:rPr>
          <w:lang w:val="en-GB"/>
        </w:rPr>
      </w:pPr>
      <w:r w:rsidRPr="007A4B0D">
        <w:rPr>
          <w:lang w:val="en-GB"/>
        </w:rPr>
        <w:t>1. The Taj Mahal as a World Heritage Site</w:t>
      </w:r>
    </w:p>
    <w:p w14:paraId="440FD071" w14:textId="77777777" w:rsidR="007A4B0D" w:rsidRPr="007A4B0D" w:rsidRDefault="007A4B0D" w:rsidP="007A4B0D">
      <w:pPr>
        <w:spacing w:line="360" w:lineRule="auto"/>
        <w:rPr>
          <w:lang w:val="en-GB"/>
        </w:rPr>
      </w:pPr>
      <w:r w:rsidRPr="007A4B0D">
        <w:rPr>
          <w:lang w:val="en-GB"/>
        </w:rPr>
        <w:t>The Taj Mahal, located in Agra, India, is one of the most recognized World Heritage Sites globally and was inscribed by UNESCO in 1983. Constructed between 1632 and 1653 by Mughal Emperor Shah Jahan in memory of his wife Mumtaz Mahal, the monument is considered a masterpiece of Mughal architecture and an enduring symbol of love. The Taj Mahal possesses significant cultural, artistic, and historical values that justify its recognition as a site of outstanding universal value.</w:t>
      </w:r>
    </w:p>
    <w:p w14:paraId="2DBC5751" w14:textId="77777777" w:rsidR="007A4B0D" w:rsidRPr="007A4B0D" w:rsidRDefault="007A4B0D" w:rsidP="007A4B0D">
      <w:pPr>
        <w:spacing w:line="360" w:lineRule="auto"/>
        <w:rPr>
          <w:lang w:val="en-GB"/>
        </w:rPr>
      </w:pPr>
      <w:r w:rsidRPr="007A4B0D">
        <w:rPr>
          <w:lang w:val="en-GB"/>
        </w:rPr>
        <w:t xml:space="preserve">One of the key heritage values of the Taj Mahal is its architectural excellence. The monument combines Persian, Islamic, and Indian architectural traditions into a highly symmetrical and aesthetically balanced design. The use of white marble, intricate carvings, geometric planning, and </w:t>
      </w:r>
      <w:proofErr w:type="spellStart"/>
      <w:r w:rsidRPr="007A4B0D">
        <w:rPr>
          <w:lang w:val="en-GB"/>
        </w:rPr>
        <w:t>pietra</w:t>
      </w:r>
      <w:proofErr w:type="spellEnd"/>
      <w:r w:rsidRPr="007A4B0D">
        <w:rPr>
          <w:lang w:val="en-GB"/>
        </w:rPr>
        <w:t xml:space="preserve"> dura inlay work demonstrates extraordinary craftsmanship and artistic achievement (Asher, 1992). Another important value is its symbolic and emotional significance. The Taj Mahal represents eternal love and devotion, which has contributed to its global cultural appeal. Furthermore, it reflects the political power, economic prosperity, and cultural sophistication of the Mughal Empire during the seventeenth century.</w:t>
      </w:r>
    </w:p>
    <w:p w14:paraId="2D6E9738" w14:textId="77777777" w:rsidR="007A4B0D" w:rsidRPr="007A4B0D" w:rsidRDefault="007A4B0D" w:rsidP="007A4B0D">
      <w:pPr>
        <w:spacing w:line="360" w:lineRule="auto"/>
        <w:rPr>
          <w:lang w:val="en-GB"/>
        </w:rPr>
      </w:pPr>
      <w:r w:rsidRPr="007A4B0D">
        <w:rPr>
          <w:lang w:val="en-GB"/>
        </w:rPr>
        <w:t>Several attributes express these heritage values. The central marble mausoleum, crowned by a massive dome and surrounded by four minarets, illustrates architectural harmony and precision. The Charbagh garden design symbolizes paradise in Islamic tradition, while Quranic inscriptions and floral motifs enhance the monument’s spiritual and artistic meaning. The riverside setting along the Yamuna River also contributes to the site’s beauty and environmental context. Together, these tangible and intangible attributes communicate the monument’s universal significance.</w:t>
      </w:r>
    </w:p>
    <w:p w14:paraId="06ABFC30" w14:textId="77777777" w:rsidR="007A4B0D" w:rsidRPr="007A4B0D" w:rsidRDefault="007A4B0D" w:rsidP="007A4B0D">
      <w:pPr>
        <w:spacing w:line="360" w:lineRule="auto"/>
        <w:rPr>
          <w:lang w:val="en-GB"/>
        </w:rPr>
      </w:pPr>
      <w:r w:rsidRPr="007A4B0D">
        <w:rPr>
          <w:lang w:val="en-GB"/>
        </w:rPr>
        <w:t>The concepts of authenticity and integrity are central to assessing the Taj Mahal as a heritage property. Authenticity refers to the credibility of a site in expressing its cultural significance through original materials, design, workmanship, and setting (</w:t>
      </w:r>
      <w:proofErr w:type="spellStart"/>
      <w:r w:rsidRPr="007A4B0D">
        <w:rPr>
          <w:lang w:val="en-GB"/>
        </w:rPr>
        <w:t>Jokilehto</w:t>
      </w:r>
      <w:proofErr w:type="spellEnd"/>
      <w:r w:rsidRPr="007A4B0D">
        <w:rPr>
          <w:lang w:val="en-GB"/>
        </w:rPr>
        <w:t>, 2006). The Taj Mahal maintains a high degree of authenticity because much of its original structure, materials, and craftsmanship remain preserved. Conservation projects have generally respected traditional techniques and historical accuracy, ensuring that the monument continues to reflect its original character.</w:t>
      </w:r>
    </w:p>
    <w:p w14:paraId="0EF683CC" w14:textId="77777777" w:rsidR="007A4B0D" w:rsidRPr="007A4B0D" w:rsidRDefault="007A4B0D" w:rsidP="007A4B0D">
      <w:pPr>
        <w:spacing w:line="360" w:lineRule="auto"/>
        <w:rPr>
          <w:lang w:val="en-GB"/>
        </w:rPr>
      </w:pPr>
      <w:r w:rsidRPr="007A4B0D">
        <w:rPr>
          <w:lang w:val="en-GB"/>
        </w:rPr>
        <w:lastRenderedPageBreak/>
        <w:t>Integrity refers to the completeness and intactness of a heritage property and its ability to convey significance. The Taj Mahal retains strong integrity because the main mausoleum, gardens, mosque, guest house, and surrounding landscape are largely intact. However, the monument faces threats from pollution, urbanization, and tourism pressure. Air pollution has caused discoloration and damage to the marble surfaces, leading conservation authorities to introduce environmental protection measures (UNESCO, 2023). Despite these challenges, the Taj Mahal continues to successfully represent its architectural, historical, and symbolic importance.</w:t>
      </w:r>
    </w:p>
    <w:p w14:paraId="222AF217" w14:textId="77777777" w:rsidR="007A4B0D" w:rsidRPr="007A4B0D" w:rsidRDefault="007A4B0D" w:rsidP="007A4B0D">
      <w:pPr>
        <w:spacing w:line="360" w:lineRule="auto"/>
        <w:rPr>
          <w:lang w:val="en-GB"/>
        </w:rPr>
      </w:pPr>
      <w:r w:rsidRPr="007A4B0D">
        <w:rPr>
          <w:lang w:val="en-GB"/>
        </w:rPr>
        <w:t>Overall, the Taj Mahal demonstrates how a World Heritage Site can embody both physical beauty and deep cultural meaning. Its preserved authenticity and integrity allow it to remain one of the most valuable cultural landmarks in the world. The monument also highlights the importance of sustainable conservation strategies to protect heritage from modern environmental and human impacts.</w:t>
      </w:r>
    </w:p>
    <w:p w14:paraId="6496330C" w14:textId="77777777" w:rsidR="007A4B0D" w:rsidRPr="007A4B0D" w:rsidRDefault="007A4B0D" w:rsidP="007A4B0D">
      <w:pPr>
        <w:spacing w:line="360" w:lineRule="auto"/>
        <w:rPr>
          <w:b/>
          <w:bCs/>
          <w:lang w:val="en-GB"/>
        </w:rPr>
      </w:pPr>
      <w:r w:rsidRPr="007A4B0D">
        <w:rPr>
          <w:b/>
          <w:bCs/>
          <w:lang w:val="en-GB"/>
        </w:rPr>
        <w:t>2. Authenticity Beyond Material Originality: The Example of Ise Grand Shrine</w:t>
      </w:r>
    </w:p>
    <w:p w14:paraId="71313344" w14:textId="77777777" w:rsidR="007A4B0D" w:rsidRPr="007A4B0D" w:rsidRDefault="007A4B0D" w:rsidP="007A4B0D">
      <w:pPr>
        <w:spacing w:line="360" w:lineRule="auto"/>
        <w:rPr>
          <w:lang w:val="en-GB"/>
        </w:rPr>
      </w:pPr>
      <w:r w:rsidRPr="007A4B0D">
        <w:rPr>
          <w:lang w:val="en-GB"/>
        </w:rPr>
        <w:t>The Ise Grand Shrine in Japan offers a unique understanding of authenticity in heritage conservation. Traditional conservation approaches often emphasize preserving original materials and physical fabric. However, the Ise Shrine demonstrates that authenticity can also exist through the continuity of traditions, rituals, and cultural practices rather than material permanence alone.</w:t>
      </w:r>
    </w:p>
    <w:p w14:paraId="0788A4BA" w14:textId="77777777" w:rsidR="007A4B0D" w:rsidRPr="007A4B0D" w:rsidRDefault="007A4B0D" w:rsidP="007A4B0D">
      <w:pPr>
        <w:spacing w:line="360" w:lineRule="auto"/>
        <w:rPr>
          <w:lang w:val="en-GB"/>
        </w:rPr>
      </w:pPr>
      <w:r w:rsidRPr="007A4B0D">
        <w:rPr>
          <w:lang w:val="en-GB"/>
        </w:rPr>
        <w:t xml:space="preserve">The Ise Grand Shrine is one of the holiest sites in Shinto religion. For over thirteen centuries, the shrine has been reconstructed every twenty years through a ritual process known as </w:t>
      </w:r>
      <w:proofErr w:type="spellStart"/>
      <w:r w:rsidRPr="007A4B0D">
        <w:rPr>
          <w:i/>
          <w:iCs/>
          <w:lang w:val="en-GB"/>
        </w:rPr>
        <w:t>Shikinen</w:t>
      </w:r>
      <w:proofErr w:type="spellEnd"/>
      <w:r w:rsidRPr="007A4B0D">
        <w:rPr>
          <w:i/>
          <w:iCs/>
          <w:lang w:val="en-GB"/>
        </w:rPr>
        <w:t xml:space="preserve"> </w:t>
      </w:r>
      <w:proofErr w:type="spellStart"/>
      <w:r w:rsidRPr="007A4B0D">
        <w:rPr>
          <w:i/>
          <w:iCs/>
          <w:lang w:val="en-GB"/>
        </w:rPr>
        <w:t>Sengu</w:t>
      </w:r>
      <w:proofErr w:type="spellEnd"/>
      <w:r w:rsidRPr="007A4B0D">
        <w:rPr>
          <w:lang w:val="en-GB"/>
        </w:rPr>
        <w:t>. During this ceremony, a new shrine is built beside the old one using traditional materials and techniques, after which sacred objects are transferred to the newly completed structure (Lowenthal, 1998). Although the physical structure is periodically replaced, the cultural and spiritual significance of the shrine remains continuous.</w:t>
      </w:r>
    </w:p>
    <w:p w14:paraId="20243223" w14:textId="77777777" w:rsidR="007A4B0D" w:rsidRPr="007A4B0D" w:rsidRDefault="007A4B0D" w:rsidP="007A4B0D">
      <w:pPr>
        <w:spacing w:line="360" w:lineRule="auto"/>
        <w:rPr>
          <w:lang w:val="en-GB"/>
        </w:rPr>
      </w:pPr>
      <w:r w:rsidRPr="007A4B0D">
        <w:rPr>
          <w:lang w:val="en-GB"/>
        </w:rPr>
        <w:t xml:space="preserve">This example challenges Western conservation ideas that authenticity depends primarily on preserving original materials. According to the Nara Document on Authenticity (1994), authenticity should be understood within specific cultural contexts and may include traditions, spirit, function, and craftsmanship alongside physical fabric. At the Ise Shrine, authenticity is maintained through the uninterrupted transmission of carpentry skills, religious rituals, and sacred traditions across generations. The rebuilding process itself is </w:t>
      </w:r>
      <w:r w:rsidRPr="007A4B0D">
        <w:rPr>
          <w:lang w:val="en-GB"/>
        </w:rPr>
        <w:lastRenderedPageBreak/>
        <w:t>considered authentic because it preserves cultural continuity and communal identity (</w:t>
      </w:r>
      <w:proofErr w:type="spellStart"/>
      <w:r w:rsidRPr="007A4B0D">
        <w:rPr>
          <w:lang w:val="en-GB"/>
        </w:rPr>
        <w:t>Avrami</w:t>
      </w:r>
      <w:proofErr w:type="spellEnd"/>
      <w:r w:rsidRPr="007A4B0D">
        <w:rPr>
          <w:lang w:val="en-GB"/>
        </w:rPr>
        <w:t>, Mason, &amp; de la Torre, 2000).</w:t>
      </w:r>
    </w:p>
    <w:p w14:paraId="27A435E5" w14:textId="77777777" w:rsidR="007A4B0D" w:rsidRPr="007A4B0D" w:rsidRDefault="007A4B0D" w:rsidP="007A4B0D">
      <w:pPr>
        <w:spacing w:line="360" w:lineRule="auto"/>
        <w:rPr>
          <w:lang w:val="en-GB"/>
        </w:rPr>
      </w:pPr>
      <w:r w:rsidRPr="007A4B0D">
        <w:rPr>
          <w:lang w:val="en-GB"/>
        </w:rPr>
        <w:t>The shrine also emphasizes the importance of intangible heritage. Traditional woodworking knowledge and ceremonial practices are passed down from master craftsmen to younger generations. These living traditions are central to the shrine’s significance. Therefore, the value of the Ise Shrine lies not in preserving ancient timber but in sustaining spiritual meaning and cultural practices. This perspective differs significantly from many Western preservation theories that prioritize original material evidence.</w:t>
      </w:r>
    </w:p>
    <w:p w14:paraId="61B4491D" w14:textId="77777777" w:rsidR="007A4B0D" w:rsidRPr="007A4B0D" w:rsidRDefault="007A4B0D" w:rsidP="007A4B0D">
      <w:pPr>
        <w:spacing w:line="360" w:lineRule="auto"/>
        <w:rPr>
          <w:lang w:val="en-GB"/>
        </w:rPr>
      </w:pPr>
      <w:r w:rsidRPr="007A4B0D">
        <w:rPr>
          <w:lang w:val="en-GB"/>
        </w:rPr>
        <w:t>Furthermore, the Ise Shrine demonstrates that concepts of authenticity vary across cultures. Western conservation philosophies, influenced by scholars such as John Ruskin, often oppose reconstruction because it may reduce historical originality. In contrast, Japanese traditions influenced by Shinto beliefs emphasize renewal, impermanence, and continuity. Authenticity at Ise Shrine is therefore rooted in cultural practice and spiritual continuity rather than physical age.</w:t>
      </w:r>
    </w:p>
    <w:p w14:paraId="5C65BCD8" w14:textId="77777777" w:rsidR="007A4B0D" w:rsidRPr="007A4B0D" w:rsidRDefault="007A4B0D" w:rsidP="007A4B0D">
      <w:pPr>
        <w:spacing w:line="360" w:lineRule="auto"/>
        <w:rPr>
          <w:lang w:val="en-GB"/>
        </w:rPr>
      </w:pPr>
      <w:r w:rsidRPr="007A4B0D">
        <w:rPr>
          <w:lang w:val="en-GB"/>
        </w:rPr>
        <w:t>In conclusion, the Ise Grand Shrine broadens the understanding of authenticity in heritage conservation. It illustrates that authenticity can be preserved through rituals, craftsmanship, traditions, and cultural continuity even when original materials are replaced. The shrine highlights the importance of respecting cultural diversity in heritage management and demonstrates that heritage conservation is not limited to preserving physical structures alone.</w:t>
      </w:r>
    </w:p>
    <w:p w14:paraId="460A861B" w14:textId="527FE0F3" w:rsidR="007A4B0D" w:rsidRDefault="007A4B0D" w:rsidP="007A4B0D">
      <w:pPr>
        <w:spacing w:line="360" w:lineRule="auto"/>
        <w:rPr>
          <w:b/>
          <w:bCs/>
          <w:lang w:val="en-GB"/>
        </w:rPr>
      </w:pPr>
    </w:p>
    <w:p w14:paraId="1E3ADA6A" w14:textId="77777777" w:rsidR="007A4B0D" w:rsidRDefault="007A4B0D" w:rsidP="007A4B0D">
      <w:pPr>
        <w:spacing w:line="360" w:lineRule="auto"/>
        <w:rPr>
          <w:b/>
          <w:bCs/>
          <w:lang w:val="en-GB"/>
        </w:rPr>
      </w:pPr>
    </w:p>
    <w:p w14:paraId="0C632BF9" w14:textId="77777777" w:rsidR="007A4B0D" w:rsidRDefault="007A4B0D" w:rsidP="007A4B0D">
      <w:pPr>
        <w:spacing w:line="360" w:lineRule="auto"/>
        <w:rPr>
          <w:b/>
          <w:bCs/>
          <w:lang w:val="en-GB"/>
        </w:rPr>
      </w:pPr>
    </w:p>
    <w:p w14:paraId="71CD9570" w14:textId="77777777" w:rsidR="007A4B0D" w:rsidRDefault="007A4B0D" w:rsidP="007A4B0D">
      <w:pPr>
        <w:spacing w:line="360" w:lineRule="auto"/>
        <w:rPr>
          <w:b/>
          <w:bCs/>
          <w:lang w:val="en-GB"/>
        </w:rPr>
      </w:pPr>
    </w:p>
    <w:p w14:paraId="2A80BF95" w14:textId="77777777" w:rsidR="007A4B0D" w:rsidRDefault="007A4B0D" w:rsidP="007A4B0D">
      <w:pPr>
        <w:spacing w:line="360" w:lineRule="auto"/>
        <w:rPr>
          <w:b/>
          <w:bCs/>
          <w:lang w:val="en-GB"/>
        </w:rPr>
      </w:pPr>
    </w:p>
    <w:p w14:paraId="178A87C7" w14:textId="77777777" w:rsidR="007A4B0D" w:rsidRDefault="007A4B0D" w:rsidP="007A4B0D">
      <w:pPr>
        <w:spacing w:line="360" w:lineRule="auto"/>
        <w:rPr>
          <w:b/>
          <w:bCs/>
          <w:lang w:val="en-GB"/>
        </w:rPr>
      </w:pPr>
    </w:p>
    <w:p w14:paraId="42D2725C" w14:textId="77777777" w:rsidR="007A4B0D" w:rsidRDefault="007A4B0D" w:rsidP="007A4B0D">
      <w:pPr>
        <w:spacing w:line="360" w:lineRule="auto"/>
        <w:rPr>
          <w:b/>
          <w:bCs/>
          <w:lang w:val="en-GB"/>
        </w:rPr>
      </w:pPr>
    </w:p>
    <w:p w14:paraId="4CA90602" w14:textId="77777777" w:rsidR="007A4B0D" w:rsidRDefault="007A4B0D" w:rsidP="007A4B0D">
      <w:pPr>
        <w:spacing w:line="360" w:lineRule="auto"/>
        <w:rPr>
          <w:b/>
          <w:bCs/>
          <w:lang w:val="en-GB"/>
        </w:rPr>
      </w:pPr>
    </w:p>
    <w:p w14:paraId="59B92D6E" w14:textId="77777777" w:rsidR="007A4B0D" w:rsidRDefault="007A4B0D" w:rsidP="007A4B0D">
      <w:pPr>
        <w:spacing w:line="360" w:lineRule="auto"/>
        <w:rPr>
          <w:b/>
          <w:bCs/>
          <w:lang w:val="en-GB"/>
        </w:rPr>
      </w:pPr>
    </w:p>
    <w:p w14:paraId="0AF7C12F" w14:textId="77777777" w:rsidR="007A4B0D" w:rsidRDefault="007A4B0D" w:rsidP="007A4B0D">
      <w:pPr>
        <w:spacing w:line="360" w:lineRule="auto"/>
        <w:rPr>
          <w:b/>
          <w:bCs/>
          <w:lang w:val="en-GB"/>
        </w:rPr>
      </w:pPr>
    </w:p>
    <w:p w14:paraId="63A54BFB" w14:textId="77777777" w:rsidR="007A4B0D" w:rsidRDefault="007A4B0D" w:rsidP="007A4B0D">
      <w:pPr>
        <w:spacing w:line="360" w:lineRule="auto"/>
        <w:rPr>
          <w:b/>
          <w:bCs/>
          <w:lang w:val="en-GB"/>
        </w:rPr>
      </w:pPr>
    </w:p>
    <w:p w14:paraId="36503D8A" w14:textId="77777777" w:rsidR="007A4B0D" w:rsidRPr="007A4B0D" w:rsidRDefault="007A4B0D" w:rsidP="007A4B0D">
      <w:pPr>
        <w:spacing w:line="360" w:lineRule="auto"/>
        <w:rPr>
          <w:b/>
          <w:bCs/>
          <w:lang w:val="en-GB"/>
        </w:rPr>
      </w:pPr>
    </w:p>
    <w:p w14:paraId="1CC79945" w14:textId="77777777" w:rsidR="007A4B0D" w:rsidRPr="007A4B0D" w:rsidRDefault="007A4B0D" w:rsidP="007A4B0D">
      <w:pPr>
        <w:spacing w:line="360" w:lineRule="auto"/>
        <w:rPr>
          <w:b/>
          <w:bCs/>
          <w:lang w:val="en-GB"/>
        </w:rPr>
      </w:pPr>
      <w:r w:rsidRPr="007A4B0D">
        <w:rPr>
          <w:b/>
          <w:bCs/>
          <w:lang w:val="en-GB"/>
        </w:rPr>
        <w:lastRenderedPageBreak/>
        <w:t>References</w:t>
      </w:r>
    </w:p>
    <w:p w14:paraId="304FAF47" w14:textId="77777777" w:rsidR="007A4B0D" w:rsidRPr="007A4B0D" w:rsidRDefault="007A4B0D" w:rsidP="007A4B0D">
      <w:pPr>
        <w:spacing w:line="360" w:lineRule="auto"/>
        <w:rPr>
          <w:lang w:val="en-GB"/>
        </w:rPr>
      </w:pPr>
      <w:r w:rsidRPr="007A4B0D">
        <w:rPr>
          <w:lang w:val="en-GB"/>
        </w:rPr>
        <w:t xml:space="preserve">Asher, C. B. (1992). </w:t>
      </w:r>
      <w:r w:rsidRPr="007A4B0D">
        <w:rPr>
          <w:i/>
          <w:iCs/>
          <w:lang w:val="en-GB"/>
        </w:rPr>
        <w:t>Architecture of Mughal India</w:t>
      </w:r>
      <w:r w:rsidRPr="007A4B0D">
        <w:rPr>
          <w:lang w:val="en-GB"/>
        </w:rPr>
        <w:t>. Cambridge University Press. https://doi.org/10.1017/CBO9780511584080</w:t>
      </w:r>
    </w:p>
    <w:p w14:paraId="7C040E02" w14:textId="77777777" w:rsidR="007A4B0D" w:rsidRPr="007A4B0D" w:rsidRDefault="007A4B0D" w:rsidP="007A4B0D">
      <w:pPr>
        <w:spacing w:line="360" w:lineRule="auto"/>
        <w:rPr>
          <w:lang w:val="en-GB"/>
        </w:rPr>
      </w:pPr>
      <w:proofErr w:type="spellStart"/>
      <w:r w:rsidRPr="007A4B0D">
        <w:rPr>
          <w:lang w:val="en-GB"/>
        </w:rPr>
        <w:t>Avrami</w:t>
      </w:r>
      <w:proofErr w:type="spellEnd"/>
      <w:r w:rsidRPr="007A4B0D">
        <w:rPr>
          <w:lang w:val="en-GB"/>
        </w:rPr>
        <w:t xml:space="preserve">, E., Mason, R., &amp; de la Torre, M. (2000). </w:t>
      </w:r>
      <w:r w:rsidRPr="007A4B0D">
        <w:rPr>
          <w:i/>
          <w:iCs/>
          <w:lang w:val="en-GB"/>
        </w:rPr>
        <w:t>Values and Heritage Conservation</w:t>
      </w:r>
      <w:r w:rsidRPr="007A4B0D">
        <w:rPr>
          <w:lang w:val="en-GB"/>
        </w:rPr>
        <w:t>. Getty Conservation Institute. https://doi.org/10.1179/135562007X188753</w:t>
      </w:r>
    </w:p>
    <w:p w14:paraId="429A4D0D" w14:textId="77777777" w:rsidR="007A4B0D" w:rsidRPr="007A4B0D" w:rsidRDefault="007A4B0D" w:rsidP="007A4B0D">
      <w:pPr>
        <w:spacing w:line="360" w:lineRule="auto"/>
        <w:rPr>
          <w:lang w:val="en-GB"/>
        </w:rPr>
      </w:pPr>
      <w:proofErr w:type="spellStart"/>
      <w:r w:rsidRPr="007A4B0D">
        <w:rPr>
          <w:lang w:val="en-GB"/>
        </w:rPr>
        <w:t>Jokilehto</w:t>
      </w:r>
      <w:proofErr w:type="spellEnd"/>
      <w:r w:rsidRPr="007A4B0D">
        <w:rPr>
          <w:lang w:val="en-GB"/>
        </w:rPr>
        <w:t xml:space="preserve">, J. (2006). Considerations on authenticity and integrity in world heritage context. </w:t>
      </w:r>
      <w:r w:rsidRPr="007A4B0D">
        <w:rPr>
          <w:i/>
          <w:iCs/>
          <w:lang w:val="en-GB"/>
        </w:rPr>
        <w:t>City &amp; Time, 2</w:t>
      </w:r>
      <w:r w:rsidRPr="007A4B0D">
        <w:rPr>
          <w:lang w:val="en-GB"/>
        </w:rPr>
        <w:t>(1), 1–16. https://doi.org/10.13140/RG.2.1.4209.0405</w:t>
      </w:r>
    </w:p>
    <w:p w14:paraId="348ABBF9" w14:textId="77777777" w:rsidR="007A4B0D" w:rsidRPr="007A4B0D" w:rsidRDefault="007A4B0D" w:rsidP="007A4B0D">
      <w:pPr>
        <w:spacing w:line="360" w:lineRule="auto"/>
        <w:rPr>
          <w:lang w:val="en-GB"/>
        </w:rPr>
      </w:pPr>
      <w:r w:rsidRPr="007A4B0D">
        <w:rPr>
          <w:lang w:val="en-GB"/>
        </w:rPr>
        <w:t xml:space="preserve">Larsen, K. E. (Ed.). (1995). </w:t>
      </w:r>
      <w:r w:rsidRPr="007A4B0D">
        <w:rPr>
          <w:i/>
          <w:iCs/>
          <w:lang w:val="en-GB"/>
        </w:rPr>
        <w:t>Nara Conference on Authenticity in Relation to the World Heritage Convention</w:t>
      </w:r>
      <w:r w:rsidRPr="007A4B0D">
        <w:rPr>
          <w:lang w:val="en-GB"/>
        </w:rPr>
        <w:t>. UNESCO. https://doi.org/10.1163/9789004375327</w:t>
      </w:r>
    </w:p>
    <w:p w14:paraId="495A078A" w14:textId="77777777" w:rsidR="007A4B0D" w:rsidRPr="007A4B0D" w:rsidRDefault="007A4B0D" w:rsidP="007A4B0D">
      <w:pPr>
        <w:spacing w:line="360" w:lineRule="auto"/>
        <w:rPr>
          <w:lang w:val="en-GB"/>
        </w:rPr>
      </w:pPr>
      <w:r w:rsidRPr="007A4B0D">
        <w:rPr>
          <w:lang w:val="en-GB"/>
        </w:rPr>
        <w:t xml:space="preserve">Lowenthal, D. (1998). </w:t>
      </w:r>
      <w:r w:rsidRPr="007A4B0D">
        <w:rPr>
          <w:i/>
          <w:iCs/>
          <w:lang w:val="en-GB"/>
        </w:rPr>
        <w:t>The Heritage Crusade and the Spoils of History</w:t>
      </w:r>
      <w:r w:rsidRPr="007A4B0D">
        <w:rPr>
          <w:lang w:val="en-GB"/>
        </w:rPr>
        <w:t>. Cambridge University Press. https://doi.org/10.1017/CBO9780511523805</w:t>
      </w:r>
    </w:p>
    <w:p w14:paraId="1DE008EF" w14:textId="77777777" w:rsidR="007A4B0D" w:rsidRPr="007A4B0D" w:rsidRDefault="007A4B0D" w:rsidP="007A4B0D">
      <w:pPr>
        <w:spacing w:line="360" w:lineRule="auto"/>
        <w:rPr>
          <w:lang w:val="en-GB"/>
        </w:rPr>
      </w:pPr>
      <w:r w:rsidRPr="007A4B0D">
        <w:rPr>
          <w:lang w:val="en-GB"/>
        </w:rPr>
        <w:t xml:space="preserve">UNESCO. (2023). </w:t>
      </w:r>
      <w:r w:rsidRPr="007A4B0D">
        <w:rPr>
          <w:i/>
          <w:iCs/>
          <w:lang w:val="en-GB"/>
        </w:rPr>
        <w:t>Taj Mahal World Heritage Listing</w:t>
      </w:r>
      <w:r w:rsidRPr="007A4B0D">
        <w:rPr>
          <w:lang w:val="en-GB"/>
        </w:rPr>
        <w:t xml:space="preserve">. Retrieved from </w:t>
      </w:r>
      <w:hyperlink r:id="rId6" w:tgtFrame="_new" w:history="1">
        <w:r w:rsidRPr="007A4B0D">
          <w:rPr>
            <w:rStyle w:val="Hyperlink"/>
            <w:lang w:val="en-GB"/>
          </w:rPr>
          <w:t>https://whc.unesco.org/en/list/252</w:t>
        </w:r>
      </w:hyperlink>
    </w:p>
    <w:p w14:paraId="1DDD67A3" w14:textId="77777777" w:rsidR="00DC27AB" w:rsidRPr="00016EE8" w:rsidRDefault="00DC27AB" w:rsidP="007A4B0D">
      <w:pPr>
        <w:spacing w:line="360" w:lineRule="auto"/>
        <w:rPr>
          <w:lang w:val="en-US"/>
        </w:rPr>
      </w:pPr>
    </w:p>
    <w:sectPr w:rsidR="00DC27AB" w:rsidRPr="00016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3582533-F688-4DB4-A2EB-B71E6905996D}"/>
    <w:embedBold r:id="rId2" w:fontKey="{398B9B27-89B1-4231-B83D-3151328EA44E}"/>
    <w:embedItalic r:id="rId3" w:fontKey="{660FAC2B-465E-454D-A262-1CB61089A05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30CA52D-DB3D-4A60-8CEE-0DF54A648984}"/>
  </w:font>
  <w:font w:name="Calibri Light">
    <w:panose1 w:val="020F0302020204030204"/>
    <w:charset w:val="00"/>
    <w:family w:val="swiss"/>
    <w:pitch w:val="variable"/>
    <w:sig w:usb0="E4002EFF" w:usb1="C000247B" w:usb2="00000009" w:usb3="00000000" w:csb0="000001FF" w:csb1="00000000"/>
    <w:embedRegular r:id="rId5" w:fontKey="{F261DF45-2EF6-4C70-AD5A-0E7E6940CC1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502E29"/>
    <w:rsid w:val="005E458B"/>
    <w:rsid w:val="00672345"/>
    <w:rsid w:val="007A4B0D"/>
    <w:rsid w:val="00844EC2"/>
    <w:rsid w:val="008516FE"/>
    <w:rsid w:val="00942251"/>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2026-05-11T11:18:00Z</dcterms:created>
  <dcterms:modified xsi:type="dcterms:W3CDTF">2026-05-11T11:19:00Z</dcterms:modified>
</cp:coreProperties>
</file>