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color w:val="1F4E79"/>
          <w:sz w:val="36"/>
        </w:rPr>
        <w:t>Planning and Management of Sustainable Tourism Spaces</w:t>
      </w:r>
    </w:p>
    <w:p/>
    <w:p/>
    <w:p/>
    <w:p>
      <w:pPr>
        <w:jc w:val="center"/>
      </w:pPr>
      <w:r>
        <w:rPr>
          <w:rFonts w:ascii="Times New Roman" w:hAnsi="Times New Roman"/>
          <w:b/>
          <w:sz w:val="40"/>
        </w:rPr>
        <w:t>Living City Before Visitor Volume: A Carrying-Capacity and Spatial Management Plan for Venice</w:t>
      </w:r>
    </w:p>
    <w:p>
      <w:pPr>
        <w:jc w:val="center"/>
      </w:pPr>
      <w:r>
        <w:rPr>
          <w:rFonts w:ascii="Times New Roman" w:hAnsi="Times New Roman"/>
          <w:i/>
          <w:color w:val="505050"/>
          <w:sz w:val="26"/>
        </w:rPr>
        <w:t>Urban heritage, resident liveability and visitor-flow redistribution</w:t>
      </w:r>
    </w:p>
    <w:p/>
    <w:tbl>
      <w:tblPr>
        <w:tblW w:type="auto" w:w="0"/>
        <w:jc w:val="center"/>
        <w:tblLayout w:type="fixed"/>
        <w:tblLook w:firstColumn="1" w:firstRow="1" w:lastColumn="0" w:lastRow="0" w:noHBand="0" w:noVBand="1" w:val="04A0"/>
      </w:tblPr>
      <w:tblGrid>
        <w:gridCol w:w="4680"/>
        <w:gridCol w:w="4680"/>
      </w:tblGrid>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Assessment type</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Sustainable Project Plan (Final Project Report)</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Selected assignment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Option 1: Destination Carrying Capacity, Visitor Management, and Zoning Strategies</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Destination</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Venice, Italy</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Name]</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 ID</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ID]</w:t>
            </w:r>
          </w:p>
        </w:tc>
      </w:tr>
    </w:tbl>
    <w:p>
      <w:r>
        <w:br w:type="page"/>
      </w:r>
    </w:p>
    <w:p>
      <w:pPr>
        <w:pStyle w:val="TOCHeading"/>
        <w:spacing w:before="0" w:after="240" w:line="240" w:lineRule="auto"/>
        <w:jc w:val="center"/>
      </w:pPr>
      <w:r>
        <w:rPr>
          <w:rFonts w:ascii="Times New Roman" w:hAnsi="Times New Roman" w:eastAsia="Times New Roman" w:cs="Times New Roman"/>
          <w:b/>
          <w:color w:val="000000"/>
          <w:sz w:val="28"/>
        </w:rPr>
        <w:t>Table of Contents</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Executive Summary</w:t>
      </w:r>
      <w:r>
        <w:rPr>
          <w:rFonts w:ascii="Times New Roman" w:hAnsi="Times New Roman" w:eastAsia="Times New Roman"/>
          <w:b w:val="0"/>
          <w:color w:val="000000"/>
          <w:sz w:val="24"/>
        </w:rPr>
        <w:tab/>
      </w:r>
      <w:r>
        <w:rPr>
          <w:rFonts w:ascii="Times New Roman" w:hAnsi="Times New Roman" w:eastAsia="Times New Roman"/>
          <w:b w:val="0"/>
          <w:color w:val="000000"/>
          <w:sz w:val="24"/>
        </w:rPr>
        <w:t>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Introduction</w:t>
      </w:r>
      <w:r>
        <w:rPr>
          <w:rFonts w:ascii="Times New Roman" w:hAnsi="Times New Roman" w:eastAsia="Times New Roman"/>
          <w:b w:val="0"/>
          <w:color w:val="000000"/>
          <w:sz w:val="24"/>
        </w:rPr>
        <w:tab/>
      </w:r>
      <w:r>
        <w:rPr>
          <w:rFonts w:ascii="Times New Roman" w:hAnsi="Times New Roman" w:eastAsia="Times New Roman"/>
          <w:b w:val="0"/>
          <w:color w:val="000000"/>
          <w:sz w:val="24"/>
        </w:rPr>
        <w:t>4</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Destination Baseline &amp; Impact Assessment</w:t>
      </w:r>
      <w:r>
        <w:rPr>
          <w:rFonts w:ascii="Times New Roman" w:hAnsi="Times New Roman" w:eastAsia="Times New Roman"/>
          <w:b w:val="0"/>
          <w:color w:val="000000"/>
          <w:sz w:val="24"/>
        </w:rPr>
        <w:tab/>
      </w:r>
      <w:r>
        <w:rPr>
          <w:rFonts w:ascii="Times New Roman" w:hAnsi="Times New Roman" w:eastAsia="Times New Roman"/>
          <w:b w:val="0"/>
          <w:color w:val="000000"/>
          <w:sz w:val="24"/>
        </w:rPr>
        <w:t>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Theoretical &amp; Spatial Planning Framework</w:t>
      </w:r>
      <w:r>
        <w:rPr>
          <w:rFonts w:ascii="Times New Roman" w:hAnsi="Times New Roman" w:eastAsia="Times New Roman"/>
          <w:b w:val="0"/>
          <w:color w:val="000000"/>
          <w:sz w:val="24"/>
        </w:rPr>
        <w:tab/>
      </w:r>
      <w:r>
        <w:rPr>
          <w:rFonts w:ascii="Times New Roman" w:hAnsi="Times New Roman" w:eastAsia="Times New Roman"/>
          <w:b w:val="0"/>
          <w:color w:val="000000"/>
          <w:sz w:val="24"/>
        </w:rPr>
        <w:t>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Critical Comparison</w:t>
      </w:r>
      <w:r>
        <w:rPr>
          <w:rFonts w:ascii="Times New Roman" w:hAnsi="Times New Roman" w:eastAsia="Times New Roman"/>
          <w:b w:val="0"/>
          <w:color w:val="000000"/>
          <w:sz w:val="24"/>
        </w:rPr>
        <w:tab/>
      </w:r>
      <w:r>
        <w:rPr>
          <w:rFonts w:ascii="Times New Roman" w:hAnsi="Times New Roman" w:eastAsia="Times New Roman"/>
          <w:b w:val="0"/>
          <w:color w:val="000000"/>
          <w:sz w:val="24"/>
        </w:rPr>
        <w:t>10</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Stakeholder &amp; Policy Analysis</w:t>
      </w:r>
      <w:r>
        <w:rPr>
          <w:rFonts w:ascii="Times New Roman" w:hAnsi="Times New Roman" w:eastAsia="Times New Roman"/>
          <w:b w:val="0"/>
          <w:color w:val="000000"/>
          <w:sz w:val="24"/>
        </w:rPr>
        <w:tab/>
      </w:r>
      <w:r>
        <w:rPr>
          <w:rFonts w:ascii="Times New Roman" w:hAnsi="Times New Roman" w:eastAsia="Times New Roman"/>
          <w:b w:val="0"/>
          <w:color w:val="000000"/>
          <w:sz w:val="24"/>
        </w:rPr>
        <w:t>11</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Strategic Sustainable Planning Proposal</w:t>
      </w:r>
      <w:r>
        <w:rPr>
          <w:rFonts w:ascii="Times New Roman" w:hAnsi="Times New Roman" w:eastAsia="Times New Roman"/>
          <w:b w:val="0"/>
          <w:color w:val="000000"/>
          <w:sz w:val="24"/>
        </w:rPr>
        <w:tab/>
      </w:r>
      <w:r>
        <w:rPr>
          <w:rFonts w:ascii="Times New Roman" w:hAnsi="Times New Roman" w:eastAsia="Times New Roman"/>
          <w:b w:val="0"/>
          <w:color w:val="000000"/>
          <w:sz w:val="24"/>
        </w:rPr>
        <w:t>13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Action Plan, Monitoring &amp; KPIs</w:t>
      </w:r>
      <w:r>
        <w:rPr>
          <w:rFonts w:ascii="Times New Roman" w:hAnsi="Times New Roman" w:eastAsia="Times New Roman"/>
          <w:b w:val="0"/>
          <w:color w:val="000000"/>
          <w:sz w:val="24"/>
        </w:rPr>
        <w:tab/>
      </w:r>
      <w:r>
        <w:rPr>
          <w:rFonts w:ascii="Times New Roman" w:hAnsi="Times New Roman" w:eastAsia="Times New Roman"/>
          <w:b w:val="0"/>
          <w:color w:val="000000"/>
          <w:sz w:val="24"/>
        </w:rPr>
        <w:t>16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Conclusion &amp; Recommendations</w:t>
      </w:r>
      <w:r>
        <w:rPr>
          <w:rFonts w:ascii="Times New Roman" w:hAnsi="Times New Roman" w:eastAsia="Times New Roman"/>
          <w:b w:val="0"/>
          <w:color w:val="000000"/>
          <w:sz w:val="24"/>
        </w:rPr>
        <w:tab/>
      </w:r>
      <w:r>
        <w:rPr>
          <w:rFonts w:ascii="Times New Roman" w:hAnsi="Times New Roman" w:eastAsia="Times New Roman"/>
          <w:b w:val="0"/>
          <w:color w:val="000000"/>
          <w:sz w:val="24"/>
        </w:rPr>
        <w:t>18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References</w:t>
      </w:r>
      <w:r>
        <w:rPr>
          <w:rFonts w:ascii="Times New Roman" w:hAnsi="Times New Roman" w:eastAsia="Times New Roman"/>
          <w:b w:val="0"/>
          <w:color w:val="000000"/>
          <w:sz w:val="24"/>
        </w:rPr>
        <w:tab/>
      </w:r>
      <w:r>
        <w:rPr>
          <w:rFonts w:ascii="Times New Roman" w:hAnsi="Times New Roman" w:eastAsia="Times New Roman"/>
          <w:b w:val="0"/>
          <w:color w:val="000000"/>
          <w:sz w:val="24"/>
        </w:rPr>
        <w:t>20</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Appendix A - Spatial Zoning and Governance Notes</w:t>
      </w:r>
      <w:r>
        <w:rPr>
          <w:rFonts w:ascii="Times New Roman" w:hAnsi="Times New Roman" w:eastAsia="Times New Roman"/>
          <w:b w:val="0"/>
          <w:color w:val="000000"/>
          <w:sz w:val="24"/>
        </w:rPr>
        <w:tab/>
      </w:r>
      <w:r>
        <w:rPr>
          <w:rFonts w:ascii="Times New Roman" w:hAnsi="Times New Roman" w:eastAsia="Times New Roman"/>
          <w:b w:val="0"/>
          <w:color w:val="000000"/>
          <w:sz w:val="24"/>
        </w:rPr>
        <w:t>21</w:t>
      </w:r>
    </w:p>
    <w:p>
      <w:r>
        <w:br w:type="page"/>
      </w:r>
    </w:p>
    <w:p>
      <w:pPr>
        <w:pStyle w:val="Heading1"/>
        <w:keepNext/>
        <w:spacing w:before="240" w:after="120"/>
        <w:jc w:val="left"/>
      </w:pPr>
      <w:r>
        <w:rPr>
          <w:rFonts w:ascii="Times New Roman" w:hAnsi="Times New Roman"/>
          <w:b/>
          <w:color w:val="1F4E79"/>
          <w:sz w:val="30"/>
        </w:rPr>
        <w:t>Executive Summary - Urban heritage, resident liveability and visitor-flow redistribution</w:t>
      </w:r>
    </w:p>
    <w:p>
      <w:pPr>
        <w:spacing w:line="480" w:lineRule="auto" w:after="120"/>
        <w:ind w:firstLine="432"/>
        <w:jc w:val="both"/>
      </w:pPr>
      <w:r>
        <w:rPr>
          <w:rFonts w:ascii="Times New Roman" w:hAnsi="Times New Roman"/>
          <w:sz w:val="24"/>
        </w:rPr>
        <w:t>This sustainable project plan addresses Venice, Italy through a hybrid Tourism Carrying Capacity Assessment (TCCA), Limits of Acceptable Change logic, and resident-liveability threshold model. The central diagnosis is extreme spatial concentration of day visitors in the historic core, pressure on public space and services, conversion of residential functions to visitor-oriented uses, and a persistent imbalance between high-volume excursionism and local liveability. The report treats sustainability as a destination-management problem rather than a marketing label: environmental limits, resident or community wellbeing, visitor experience, economic viability and institutional capacity must be managed together. Evidence relevant to the destination shows that unmanaged or poorly distributed tourism pressure can erode the very ecological or cultural assets that create demand, while narrow numerical caps can miss important differences in time, place and stakeholder impact (Bertocchi et al., 2020; Bertocchi &amp; Visentin, 2019).</w:t>
      </w:r>
    </w:p>
    <w:p>
      <w:pPr>
        <w:spacing w:line="480" w:lineRule="auto" w:after="120"/>
        <w:ind w:firstLine="432"/>
        <w:jc w:val="both"/>
      </w:pPr>
      <w:r>
        <w:rPr>
          <w:rFonts w:ascii="Times New Roman" w:hAnsi="Times New Roman"/>
          <w:sz w:val="24"/>
        </w:rPr>
        <w:t>The proposed intervention, the Venice Liveability and Flow Management System (V-LFMS), combines spatial zoning with adaptive management. Its purpose is to move decision making from reactive crisis response to measurable thresholds and pre-agreed actions. Instead of assuming that one annual visitor number can define sustainability, the plan uses place-specific indicators for congestion or ecological condition, stakeholder outcomes, service loading and visitor quality. This approach reflects the broader principle that carrying capacity is multidimensional and that acceptable conditions must be defined through objectives, monitoring and management response rather than through volume alone (Canestrelli &amp; Costa, 1991; Bang &amp; Jang, 2025).</w:t>
      </w:r>
    </w:p>
    <w:p>
      <w:pPr>
        <w:spacing w:line="480" w:lineRule="auto" w:after="120"/>
        <w:ind w:firstLine="432"/>
        <w:jc w:val="both"/>
      </w:pPr>
      <w:r>
        <w:rPr>
          <w:rFonts w:ascii="Times New Roman" w:hAnsi="Times New Roman"/>
          <w:sz w:val="24"/>
        </w:rPr>
        <w:t>Implementation is organised around five strategic pillars: Dynamic visitor thresholds linked to hourly density and resident-service capacity; Timed reservation and differentiated pricing for excursionists, with exemptions protecting residents and essential access; Dispersal through district-based itineraries, digital wayfinding and event scheduling; Housing and neighbourhood safeguards that preserve resident-serving uses; and Open-data monitoring dashboard combining footfall, transport loading, waste, resident sentiment and visitor experience. A three-zone spatial structure distinguishes the most sensitive or congested areas from managed transition spaces and wider dispersal or community zones. The action plan pairs every intervention with a responsible actor, an implementation horizon and a measurable KPI. Success is defined as improved ecological or heritage condition, fairer distribution of tourism benefits and costs, lower peak pressure, stronger compliance and a higher-quality visitor experience - not simply continuing growth in arrivals.</w:t>
      </w:r>
    </w:p>
    <w:p>
      <w:pPr>
        <w:spacing w:line="480" w:lineRule="auto" w:after="120"/>
        <w:ind w:firstLine="432"/>
        <w:jc w:val="both"/>
      </w:pPr>
      <w:r>
        <w:rPr>
          <w:rFonts w:ascii="Times New Roman" w:hAnsi="Times New Roman"/>
          <w:sz w:val="24"/>
        </w:rPr>
        <w:t>The recommended governance model is deliberately transparent and adaptive. Monitoring results should be published, thresholds reviewed with affected stakeholders, and management measures tightened or relaxed according to evidence. That feedback loop is essential because destination systems change: markets shift, climate and weather conditions vary, infrastructure capacity evolves and community tolerance can rise or fall. Sustainable management therefore requires institutional learning as well as technical controls (Seraphin et al., 2018; Butler, 1980).</w:t>
      </w:r>
    </w:p>
    <w:p>
      <w:pPr>
        <w:pStyle w:val="Heading1"/>
        <w:keepNext/>
        <w:spacing w:before="240" w:after="120"/>
        <w:jc w:val="left"/>
      </w:pPr>
      <w:r>
        <w:rPr>
          <w:rFonts w:ascii="Times New Roman" w:hAnsi="Times New Roman"/>
          <w:b/>
          <w:color w:val="1F4E79"/>
          <w:sz w:val="30"/>
        </w:rPr>
        <w:t>Introduction - Framing the Planning Challenge</w:t>
      </w:r>
    </w:p>
    <w:p>
      <w:pPr>
        <w:spacing w:line="480" w:lineRule="auto" w:after="120"/>
        <w:ind w:firstLine="432"/>
        <w:jc w:val="both"/>
      </w:pPr>
      <w:r>
        <w:rPr>
          <w:rFonts w:ascii="Times New Roman" w:hAnsi="Times New Roman"/>
          <w:sz w:val="24"/>
        </w:rPr>
        <w:t>Tourism planning in Venice, Italy illustrates a central tension in sustainable destination management. Tourism can support employment, public revenue, conservation finance and cultural exchange, yet the same demand can become damaging when visitor activity is concentrated in fragile places or when benefits and decision-making power are unevenly distributed. The assignment requires a project plan that integrates environmental, socio-cultural and economic impacts with spatial planning, policy and measurable implementation. This report responds by defining the destination as a system of places, users, resources and institutions rather than as a single attraction.</w:t>
      </w:r>
    </w:p>
    <w:p>
      <w:pPr>
        <w:spacing w:line="480" w:lineRule="auto" w:after="120"/>
        <w:ind w:firstLine="432"/>
        <w:jc w:val="both"/>
      </w:pPr>
      <w:r>
        <w:rPr>
          <w:rFonts w:ascii="Times New Roman" w:hAnsi="Times New Roman"/>
          <w:sz w:val="24"/>
        </w:rPr>
        <w:t>The planning problem is specifically extreme spatial concentration of day visitors in the historic core, pressure on public space and services, conversion of residential functions to visitor-oriented uses, and a persistent imbalance between high-volume excursionism and local liveability. That wording is important because it avoids reducing the issue to 'too many tourists'. The more useful question is where pressure occurs, at what times, on which resources, who bears the cost, and what condition managers want to maintain. Research on tourism capacity and destination change has long shown that pressure is mediated by spatial form, infrastructure, behaviour and management choices; destinations can therefore reach social or ecological limits before they reach a simple physical maximum (Canestrelli &amp; Costa, 1991; Butler, 1980).</w:t>
      </w:r>
    </w:p>
    <w:p>
      <w:pPr>
        <w:spacing w:line="480" w:lineRule="auto" w:after="120"/>
        <w:ind w:firstLine="432"/>
        <w:jc w:val="both"/>
      </w:pPr>
      <w:r>
        <w:rPr>
          <w:rFonts w:ascii="Times New Roman" w:hAnsi="Times New Roman"/>
          <w:sz w:val="24"/>
        </w:rPr>
        <w:t>The aim of the project is to establish a practical management system that keeps tourism within agreed environmental and social limits while maintaining a viable visitor economy. Four objectives follow: first, diagnose the current impact pathway; second, select a theoretical and spatial framework suited to the destination; third, design a governance and policy package that allocates responsibilities and incentives; and fourth, create an action and monitoring plan with indicators that can trigger corrective management. The intended outcome is not anti-tourism. It is a shift from unmanaged volume to managed value, resilience and stewardship.</w:t>
      </w:r>
    </w:p>
    <w:p>
      <w:pPr>
        <w:spacing w:line="480" w:lineRule="auto" w:after="120"/>
        <w:ind w:firstLine="432"/>
        <w:jc w:val="both"/>
      </w:pPr>
      <w:r>
        <w:rPr>
          <w:rFonts w:ascii="Times New Roman" w:hAnsi="Times New Roman"/>
          <w:sz w:val="24"/>
        </w:rPr>
        <w:t>The report is based on peer-reviewed and institutional evidence listed in the references, with the destination-specific proposal presented as a planning recommendation rather than as a claim that all measures are already official policy. This distinction matters academically: empirical studies establish observed pressures, stakeholder preferences and management lessons, while the strategic design in later sections synthesises those findings into a new project plan for Venice, Italy.</w:t>
      </w:r>
    </w:p>
    <w:p>
      <w:pPr>
        <w:pStyle w:val="Heading1"/>
        <w:keepNext/>
        <w:spacing w:before="240" w:after="120"/>
        <w:jc w:val="left"/>
      </w:pPr>
      <w:r>
        <w:rPr>
          <w:rFonts w:ascii="Times New Roman" w:hAnsi="Times New Roman"/>
          <w:b/>
          <w:color w:val="1F4E79"/>
          <w:sz w:val="30"/>
        </w:rPr>
        <w:t>Destination Baseline &amp; Impact Assessment - Venice, Italy</w:t>
      </w:r>
    </w:p>
    <w:p>
      <w:pPr>
        <w:spacing w:line="480" w:lineRule="auto" w:after="120"/>
        <w:ind w:firstLine="432"/>
        <w:jc w:val="both"/>
      </w:pPr>
      <w:r>
        <w:rPr>
          <w:rFonts w:ascii="Times New Roman" w:hAnsi="Times New Roman"/>
          <w:sz w:val="24"/>
        </w:rPr>
        <w:t>The baseline begins with the environmental dimension. Lagoon sensitivity, waste generation, pedestrian congestion and transport intensity are intertwined with the cultural-landscape character of the city. The environmental issue is therefore not only physical damage: it is the cumulative effect of millions of small interactions across narrow calli, vaporetto nodes, waterfronts and heritage fabric. This means that management must identify pressure pathways rather than simply count arrivals. A useful baseline records condition indicators before interventions begin, distinguishes chronic pressures from episodic peaks, and establishes spatially specific thresholds. Destination research cited in this report demonstrates that ecological or heritage quality can recover or remain more resilient when direct pressure is reduced and management focuses on the mechanisms causing harm (Bertocchi et al., 2020; Bertocchi &amp; Visentin, 2019).</w:t>
      </w:r>
    </w:p>
    <w:p>
      <w:pPr>
        <w:spacing w:line="480" w:lineRule="auto" w:after="120"/>
        <w:ind w:firstLine="432"/>
        <w:jc w:val="both"/>
      </w:pPr>
      <w:r>
        <w:rPr>
          <w:rFonts w:ascii="Times New Roman" w:hAnsi="Times New Roman"/>
          <w:sz w:val="24"/>
        </w:rPr>
        <w:t>A second baseline dimension is socio-cultural. Tourism supports employment and cultural visibility, yet the social carrying capacity is stressed when residents experience crowding, loss of everyday retail, housing pressure and a sense that public space is managed primarily for temporary users rather than permanent communities. Social impacts are often harder to quantify than physical damage, but they are not secondary. Perceptions of fairness, crowding, identity, access and benefit distribution influence whether tourism management is politically legitimate and whether stakeholders comply with rules. The project therefore treats community or resident sentiment as a management indicator rather than a public-relations measure (Seraphin et al., 2018).</w:t>
      </w:r>
    </w:p>
    <w:p>
      <w:pPr>
        <w:spacing w:line="480" w:lineRule="auto" w:after="120"/>
        <w:ind w:firstLine="432"/>
        <w:jc w:val="both"/>
      </w:pPr>
      <w:r>
        <w:rPr>
          <w:rFonts w:ascii="Times New Roman" w:hAnsi="Times New Roman"/>
          <w:sz w:val="24"/>
        </w:rPr>
        <w:t>The economic baseline is also multidimensional. The visitor economy is large but uneven in value. Day visitors can generate intense use of streets, sanitation and transport while contributing less locally than overnight guests. A viable strategy should therefore optimise value per visitor, length of stay and local expenditure instead of treating total arrivals as the sole success indicator. A destination can record high tourism receipts while still experiencing leakage, unequal benefit sharing, seasonal insecurity or public costs that are not paid by visitors. Consequently, the plan recommends measuring local value retention, expenditure distribution, employment quality and the fiscal resources available for conservation alongside conventional arrival and occupancy statistics.</w:t>
      </w:r>
    </w:p>
    <w:p>
      <w:pPr>
        <w:spacing w:line="480" w:lineRule="auto" w:after="120"/>
        <w:ind w:firstLine="432"/>
        <w:jc w:val="both"/>
      </w:pPr>
      <w:r>
        <w:rPr>
          <w:rFonts w:ascii="Times New Roman" w:hAnsi="Times New Roman"/>
          <w:sz w:val="24"/>
        </w:rPr>
        <w:t>These three impact dimensions interact. Environmental decline can reduce destination quality and future demand; social conflict can weaken compliance and investment confidence; and an economic model based on maximum throughput can make operators dependent on volumes that the destination cannot sustain. Conversely, better spatial distribution and higher-value experiences can reduce pressure per unit of revenue. The assessment therefore avoids a simple trade-off between economy and conservation and instead looks for management designs that improve several outcomes at once.</w:t>
      </w:r>
    </w:p>
    <w:p>
      <w:pPr>
        <w:spacing w:line="480" w:lineRule="auto" w:after="120"/>
        <w:ind w:firstLine="432"/>
        <w:jc w:val="both"/>
      </w:pPr>
      <w:r>
        <w:rPr>
          <w:rFonts w:ascii="Times New Roman" w:hAnsi="Times New Roman"/>
          <w:sz w:val="24"/>
        </w:rPr>
        <w:t>Risk is uneven across space and time. Peak hours, iconic nodes, sensitive habitats, bottlenecks, drought or storm periods, and special events can create temporary conditions far worse than annual averages suggest. The baseline should therefore use time-series data and map hotspots. A practical first-year data programme would combine visitor counts, operational records, environmental or heritage condition surveys, stakeholder surveys and geospatial observations. Data gaps should be documented rather than filled with assumed precision.</w:t>
      </w:r>
    </w:p>
    <w:p>
      <w:pPr>
        <w:spacing w:line="480" w:lineRule="auto" w:after="120"/>
        <w:ind w:firstLine="432"/>
        <w:jc w:val="both"/>
      </w:pPr>
      <w:r>
        <w:rPr>
          <w:rFonts w:ascii="Times New Roman" w:hAnsi="Times New Roman"/>
          <w:sz w:val="24"/>
        </w:rPr>
        <w:t>The final baseline issue is management capacity. Regulations are only effective when agencies can communicate them, monitor compliance, enforce proportionately and coordinate across jurisdictions. A destination with sophisticated policy on paper can still fail if responsibilities overlap or data are not shared. For that reason, institutional capacity is treated as part of carrying capacity: the acceptable visitor load is partly determined by the capacity to manage it.</w:t>
      </w:r>
    </w:p>
    <w:p>
      <w:pPr>
        <w:pStyle w:val="Heading1"/>
        <w:keepNext/>
        <w:spacing w:before="240" w:after="120"/>
        <w:jc w:val="left"/>
      </w:pPr>
      <w:r>
        <w:rPr>
          <w:rFonts w:ascii="Times New Roman" w:hAnsi="Times New Roman"/>
          <w:b/>
          <w:color w:val="1F4E79"/>
          <w:sz w:val="30"/>
        </w:rPr>
        <w:t>Theoretical &amp; Spatial Planning Framework - a hybrid Tourism Carrying Capacity Assessment (TCCA), Limits of Acceptable Change logic, and resident-liveability threshold model</w:t>
      </w:r>
    </w:p>
    <w:p>
      <w:pPr>
        <w:spacing w:line="480" w:lineRule="auto" w:after="120"/>
        <w:ind w:firstLine="432"/>
        <w:jc w:val="both"/>
      </w:pPr>
      <w:r>
        <w:rPr>
          <w:rFonts w:ascii="Times New Roman" w:hAnsi="Times New Roman"/>
          <w:sz w:val="24"/>
        </w:rPr>
        <w:t>The selected framework is a hybrid Tourism Carrying Capacity Assessment (TCCA), Limits of Acceptable Change logic, and resident-liveability threshold model. Its first contribution is to reject the idea that carrying capacity is a fixed universal number. Capacity depends on the management objective, the resource being protected and the standard considered acceptable. In classic capacity work, the task is to identify limiting factors and feasible use; in LAC-style thinking, the focus shifts toward desired conditions, measurable indicators and management actions when standards are exceeded (Canestrelli &amp; Costa, 1991; Bang &amp; Jang, 2025).</w:t>
      </w:r>
    </w:p>
    <w:p>
      <w:pPr>
        <w:spacing w:line="480" w:lineRule="auto" w:after="120"/>
        <w:ind w:firstLine="432"/>
        <w:jc w:val="both"/>
      </w:pPr>
      <w:r>
        <w:rPr>
          <w:rFonts w:ascii="Times New Roman" w:hAnsi="Times New Roman"/>
          <w:sz w:val="24"/>
        </w:rPr>
        <w:t>For Venice, Italy, this report uses four capacity dimensions. Physical capacity concerns usable space, circulation and infrastructure. Ecological or heritage capacity concerns the level of use compatible with resource condition. Social capacity concerns resident/community tolerance and visitor perceptions of crowding or quality. Managerial capacity concerns staffing, monitoring and enforcement. A management decision should not raise visitation merely because one dimension has spare capacity if another dimension is already beyond its threshold.</w:t>
      </w:r>
    </w:p>
    <w:p>
      <w:pPr>
        <w:spacing w:line="480" w:lineRule="auto" w:after="120"/>
        <w:ind w:firstLine="432"/>
        <w:jc w:val="both"/>
      </w:pPr>
      <w:r>
        <w:rPr>
          <w:rFonts w:ascii="Times New Roman" w:hAnsi="Times New Roman"/>
          <w:sz w:val="24"/>
        </w:rPr>
        <w:t>The spatial model consists of three linked management zones. Zone A: Heritage Core prioritises san marco-rialto and highest-density corridors. timed access, group-size controls, dynamic pricing and pedestrian-flow management. Zone B: Transition Districts functions as a pressure-distribution and transition area: Cannaregio, Castello and Dorsoduro gateways. Incentivised itineraries, local commerce protection and distributed cultural programming. Zone C: Lagoon Network widens the system so that tourism value can be distributed without exporting unmanaged impacts: Outer islands and lagoon-linked attractions. Advance booking, transport coordination, ecological thresholds and community-led interpretation. Zoning is therefore not only a map; it is a rule set that differentiates permitted uses, infrastructure standards, pricing, monitoring intensity and emergency actions.</w:t>
      </w:r>
    </w:p>
    <w:p>
      <w:pPr>
        <w:spacing w:line="480" w:lineRule="auto" w:after="120"/>
        <w:ind w:firstLine="432"/>
        <w:jc w:val="both"/>
      </w:pPr>
      <w:r>
        <w:rPr>
          <w:rFonts w:ascii="Times New Roman" w:hAnsi="Times New Roman"/>
          <w:sz w:val="24"/>
        </w:rPr>
        <w:t>A key planning principle is that zoning must be adaptive. Boundaries may remain stable, but the management status of a zone can change by hour, season or indicator condition. For example, a sensitive area could shift from normal access to reduced capacity or temporary closure when monitoring crosses a threshold. This creates a transparent escalation pathway and reduces the temptation to wait for visible crisis before acting.</w:t>
      </w:r>
    </w:p>
    <w:p>
      <w:pPr>
        <w:spacing w:line="480" w:lineRule="auto" w:after="120"/>
        <w:ind w:firstLine="432"/>
        <w:jc w:val="both"/>
      </w:pPr>
      <w:r>
        <w:rPr>
          <w:rFonts w:ascii="Times New Roman" w:hAnsi="Times New Roman"/>
          <w:sz w:val="24"/>
        </w:rPr>
        <w:t>The framework also recognises the destination life-cycle problem: infrastructure and business models can become locked into a high-volume pattern that is difficult to reverse. Strategic planning must therefore change incentives, not merely issue visitor advice. Pricing, licensing, route design, concession rules, scheduling, procurement and public investment should all reinforce the desired spatial pattern. Otherwise visitors and operators will continue to follow the easiest, most profitable routes even when those routes are environmentally or socially costly (Butler, 1980).</w:t>
      </w:r>
    </w:p>
    <w:p>
      <w:pPr>
        <w:spacing w:line="480" w:lineRule="auto" w:after="120"/>
        <w:ind w:firstLine="432"/>
        <w:jc w:val="both"/>
      </w:pPr>
      <w:r>
        <w:rPr>
          <w:rFonts w:ascii="Times New Roman" w:hAnsi="Times New Roman"/>
          <w:sz w:val="24"/>
        </w:rPr>
        <w:t>Finally, the framework treats monitoring as a management instrument. Indicators are selected because they can lead to decisions. A KPI that never changes policy is only reporting. The project therefore links each indicator to a threshold owner, review frequency and potential response: investigate, warn, reduce capacity, redirect flows, repair infrastructure, suspend an activity or revise the rule. This makes the framework operational rather than conceptual.</w:t>
      </w:r>
    </w:p>
    <w:p>
      <w:pPr>
        <w:jc w:val="center"/>
      </w:pPr>
      <w:r>
        <w:drawing>
          <wp:inline xmlns:a="http://schemas.openxmlformats.org/drawingml/2006/main" xmlns:pic="http://schemas.openxmlformats.org/drawingml/2006/picture">
            <wp:extent cx="5852160" cy="3291840"/>
            <wp:docPr id="1" name="Picture 1"/>
            <wp:cNvGraphicFramePr>
              <a:graphicFrameLocks noChangeAspect="1"/>
            </wp:cNvGraphicFramePr>
            <a:graphic>
              <a:graphicData uri="http://schemas.openxmlformats.org/drawingml/2006/picture">
                <pic:pic>
                  <pic:nvPicPr>
                    <pic:cNvPr id="0" name="copy_1_zoning.png"/>
                    <pic:cNvPicPr/>
                  </pic:nvPicPr>
                  <pic:blipFill>
                    <a:blip r:embed="rId10"/>
                    <a:stretch>
                      <a:fillRect/>
                    </a:stretch>
                  </pic:blipFill>
                  <pic:spPr>
                    <a:xfrm>
                      <a:off x="0" y="0"/>
                      <a:ext cx="5852160" cy="3291840"/>
                    </a:xfrm>
                    <a:prstGeom prst="rect"/>
                  </pic:spPr>
                </pic:pic>
              </a:graphicData>
            </a:graphic>
          </wp:inline>
        </w:drawing>
      </w:r>
    </w:p>
    <w:p>
      <w:pPr>
        <w:spacing w:after="200"/>
        <w:jc w:val="center"/>
      </w:pPr>
      <w:r>
        <w:rPr>
          <w:rFonts w:ascii="Times New Roman" w:hAnsi="Times New Roman"/>
          <w:i/>
          <w:sz w:val="20"/>
        </w:rPr>
        <w:t>Figure 1. Conceptual spatial zoning framework for the proposed plan (not to scale).</w:t>
      </w:r>
    </w:p>
    <w:p>
      <w:pPr>
        <w:pStyle w:val="Heading1"/>
        <w:keepNext/>
        <w:spacing w:before="240" w:after="120"/>
        <w:jc w:val="left"/>
      </w:pPr>
      <w:r>
        <w:rPr>
          <w:rFonts w:ascii="Times New Roman" w:hAnsi="Times New Roman"/>
          <w:b/>
          <w:color w:val="1F4E79"/>
          <w:sz w:val="30"/>
        </w:rPr>
        <w:t>Critical Comparison - Reactive Controls versus Proactive Capacity Planning</w:t>
      </w:r>
    </w:p>
    <w:p>
      <w:pPr>
        <w:spacing w:line="480" w:lineRule="auto" w:after="120"/>
        <w:ind w:firstLine="432"/>
        <w:jc w:val="both"/>
      </w:pPr>
      <w:r>
        <w:rPr>
          <w:rFonts w:ascii="Times New Roman" w:hAnsi="Times New Roman"/>
          <w:sz w:val="24"/>
        </w:rPr>
        <w:t>Reactive visitor management responds after congestion or degradation becomes visible. Typical measures include temporary barriers, additional cleaning, ad hoc police or ranger deployment, emergency closures and publicity asking visitors to avoid crowded places. Such responses can be necessary, but they treat symptoms and often arrive after environmental or social thresholds have already been crossed. In Venice, Italy, a reactive model is especially risky because damage can be cumulative, visitor flows can change quickly and businesses may become dependent on a level of use that later proves unsustainable (Bertocchi et al., 2020; Bertocchi &amp; Visentin, 2019).</w:t>
      </w:r>
    </w:p>
    <w:p>
      <w:pPr>
        <w:spacing w:line="480" w:lineRule="auto" w:after="120"/>
        <w:ind w:firstLine="432"/>
        <w:jc w:val="both"/>
      </w:pPr>
      <w:r>
        <w:rPr>
          <w:rFonts w:ascii="Times New Roman" w:hAnsi="Times New Roman"/>
          <w:sz w:val="24"/>
        </w:rPr>
        <w:t>Proactive TCCA and LAC-style planning reverses the sequence. Managers first define the resource or experience to be protected, identify indicators, establish acceptable standards and agree what action will occur as conditions approach a limit. The advantage is not that the model predicts a perfect number; rather, it creates a defensible decision process. Capacity becomes a range shaped by ecological condition, infrastructure, visitor behaviour and management capability. In this sense, proactive planning is more adaptive than a fixed quota because thresholds can be reviewed as evidence improves (Canestrelli &amp; Costa, 1991; Bang &amp; Jang, 2025).</w:t>
      </w:r>
    </w:p>
    <w:p>
      <w:pPr>
        <w:spacing w:line="480" w:lineRule="auto" w:after="120"/>
        <w:ind w:firstLine="432"/>
        <w:jc w:val="both"/>
      </w:pPr>
      <w:r>
        <w:rPr>
          <w:rFonts w:ascii="Times New Roman" w:hAnsi="Times New Roman"/>
          <w:sz w:val="24"/>
        </w:rPr>
        <w:t>The two approaches also differ economically. Reactive restrictions create uncertainty for operators because closures or crowd controls may be introduced with little notice. Proactive systems can publish seasonal capacities, booking rules and escalation triggers in advance, allowing businesses to redesign products around quality and reliability. There are transition costs, especially for high-volume operators, but predictability can support investment in smaller groups, longer stays, alternative routes and higher service value.</w:t>
      </w:r>
    </w:p>
    <w:p>
      <w:pPr>
        <w:spacing w:line="480" w:lineRule="auto" w:after="120"/>
        <w:ind w:firstLine="432"/>
        <w:jc w:val="both"/>
      </w:pPr>
      <w:r>
        <w:rPr>
          <w:rFonts w:ascii="Times New Roman" w:hAnsi="Times New Roman"/>
          <w:sz w:val="24"/>
        </w:rPr>
        <w:t>For this project, the preferred model is proactive and threshold-based, while retaining emergency powers for unexpected events. The distinction is practical: emergency closure is a safety valve, not the core management strategy. The destination should aim to detect movement toward unacceptable conditions early enough to use lighter measures such as scheduling, pricing, route diversion or temporary capacity reductions before severe damage requires a complete shutdown.</w:t>
      </w:r>
    </w:p>
    <w:p>
      <w:pPr>
        <w:pStyle w:val="Heading1"/>
        <w:keepNext/>
        <w:spacing w:before="240" w:after="120"/>
        <w:jc w:val="left"/>
      </w:pPr>
      <w:r>
        <w:rPr>
          <w:rFonts w:ascii="Times New Roman" w:hAnsi="Times New Roman"/>
          <w:b/>
          <w:color w:val="1F4E79"/>
          <w:sz w:val="30"/>
        </w:rPr>
        <w:t>Stakeholder &amp; Policy Analysis - Power, Benefits and Accountability</w:t>
      </w:r>
    </w:p>
    <w:p>
      <w:pPr>
        <w:spacing w:line="480" w:lineRule="auto" w:after="120"/>
        <w:ind w:firstLine="432"/>
        <w:jc w:val="both"/>
      </w:pPr>
      <w:r>
        <w:rPr>
          <w:rFonts w:ascii="Times New Roman" w:hAnsi="Times New Roman"/>
          <w:sz w:val="24"/>
        </w:rPr>
        <w:t>Stakeholder analysis begins by distinguishing authority from interest. Public agencies typically control planning, conservation or licensing; businesses influence product design and visitor flows; residents or communities experience both benefits and externalities; visitors respond to prices, information and restrictions; and researchers or civil-society groups can provide monitoring evidence. In Venice, Italy, the policy challenge is Venice requires coordinated action across municipal planning, transport, heritage protection, accommodation regulation and visitor information. Existing access-management debates show that price signals alone cannot solve spatial concentration unless they are tied to timed entry, real-time congestion data, district dispersal and resident-protection measures. The critical question is therefore not only who is consulted, but who has decision rights, who receives information and who can challenge decisions.</w:t>
      </w:r>
    </w:p>
    <w:p>
      <w:pPr>
        <w:spacing w:line="480" w:lineRule="auto" w:after="120"/>
        <w:ind w:firstLine="432"/>
        <w:jc w:val="both"/>
      </w:pPr>
      <w:r>
        <w:rPr>
          <w:rFonts w:ascii="Times New Roman" w:hAnsi="Times New Roman"/>
          <w:sz w:val="24"/>
        </w:rPr>
        <w:t>Power asymmetry matters because tourism plans can appear participatory while leaving the most consequential choices unchanged. The project proposes a stakeholder board or assembly with a published mandate, meeting minutes, conflict-of-interest declarations and a requirement that major capacity, zoning or concession changes be supported by evidence. Representation should be designed around affected groups rather than only around organisations with existing institutional access.</w:t>
      </w:r>
    </w:p>
    <w:p>
      <w:pPr>
        <w:spacing w:line="480" w:lineRule="auto" w:after="120"/>
        <w:ind w:firstLine="432"/>
        <w:jc w:val="both"/>
      </w:pPr>
      <w:r>
        <w:rPr>
          <w:rFonts w:ascii="Times New Roman" w:hAnsi="Times New Roman"/>
          <w:sz w:val="24"/>
        </w:rPr>
        <w:t>Policy instruments fall into five categories: regulatory controls, economic instruments, spatial design, information/behaviour measures and investment. Regulatory tools include access conditions, licensing, operating standards and closures. Economic tools include differentiated fees or incentives. Spatial tools shape where activities occur. Information tools influence choices before and during visits. Investment improves infrastructure and monitoring. Effective management uses a package because each instrument has weaknesses when used alone (Seraphin et al., 2018; UNEP &amp; UNWTO, 2005).</w:t>
      </w:r>
    </w:p>
    <w:p>
      <w:pPr>
        <w:spacing w:line="480" w:lineRule="auto" w:after="120"/>
        <w:ind w:firstLine="432"/>
        <w:jc w:val="both"/>
      </w:pPr>
      <w:r>
        <w:rPr>
          <w:rFonts w:ascii="Times New Roman" w:hAnsi="Times New Roman"/>
          <w:sz w:val="24"/>
        </w:rPr>
        <w:t>Equity assessment is required for every major measure. A fee can reduce demand but exclude low-income visitors; a closure can protect ecology but remove local income; a new route can disperse visitors but transfer nuisance to another neighbourhood or community. Before implementation, managers should identify who pays, who benefits, whether compensation or transition support is needed, and whether alternatives exist. This prevents sustainability from becoming a mechanism for shifting costs onto groups with less bargaining power.</w:t>
      </w:r>
    </w:p>
    <w:p>
      <w:pPr>
        <w:spacing w:line="480" w:lineRule="auto" w:after="120"/>
        <w:ind w:firstLine="432"/>
        <w:jc w:val="both"/>
      </w:pPr>
      <w:r>
        <w:rPr>
          <w:rFonts w:ascii="Times New Roman" w:hAnsi="Times New Roman"/>
          <w:sz w:val="24"/>
        </w:rPr>
        <w:t>Accountability should be built into the policy cycle. The managing body should publish key indicators, explain why a restriction was introduced, state the review date and report whether the measure worked. When evidence changes, management should be able to adapt without losing legitimacy. This is particularly important where restrictions affect livelihoods or everyday access. Transparent thresholds make rules more predictable for operators and more defensible to communities and visitors.</w:t>
      </w:r>
    </w:p>
    <w:p>
      <w:pPr>
        <w:pStyle w:val="Heading1"/>
        <w:keepNext/>
        <w:spacing w:before="240" w:after="120"/>
        <w:jc w:val="left"/>
      </w:pPr>
      <w:r>
        <w:rPr>
          <w:rFonts w:ascii="Times New Roman" w:hAnsi="Times New Roman"/>
          <w:b/>
          <w:color w:val="1F4E79"/>
          <w:sz w:val="30"/>
        </w:rPr>
        <w:t>Strategic Sustainable Planning Proposal - Venice Liveability and Flow Management System (V-LFMS)</w:t>
      </w:r>
    </w:p>
    <w:p>
      <w:pPr>
        <w:spacing w:line="480" w:lineRule="auto" w:after="120"/>
        <w:ind w:firstLine="432"/>
        <w:jc w:val="both"/>
      </w:pPr>
      <w:r>
        <w:rPr>
          <w:rFonts w:ascii="Times New Roman" w:hAnsi="Times New Roman"/>
          <w:sz w:val="24"/>
        </w:rPr>
        <w:t>The Venice Liveability and Flow Management System (V-LFMS) translates the diagnostic and framework into five mutually reinforcing pillars. Pillar 1 is Dynamic visitor thresholds linked to hourly density and resident-service capacity. This measure targets the most important pressure mechanism rather than treating every visitor as identical. Operationally, it requires a defined baseline, a threshold, a data source and an authorised response. The benefit is precision: managers can intervene at the place and time where pressure is actually generated.</w:t>
      </w:r>
    </w:p>
    <w:p>
      <w:pPr>
        <w:spacing w:line="480" w:lineRule="auto" w:after="120"/>
        <w:ind w:firstLine="432"/>
        <w:jc w:val="both"/>
      </w:pPr>
      <w:r>
        <w:rPr>
          <w:rFonts w:ascii="Times New Roman" w:hAnsi="Times New Roman"/>
          <w:sz w:val="24"/>
        </w:rPr>
        <w:t>Pillar 2 is Timed reservation and differentiated pricing for excursionists, with exemptions protecting residents and essential access. Access and pricing tools should be designed to support, not replace, spatial planning. Booking systems can smooth peaks, but they should also communicate why limits exist, display alternative times or routes and protect legitimate local access. Where differential fees are used, revenue should be visibly reinvested in the resource or community so that the instrument is understood as stewardship rather than simple revenue extraction.</w:t>
      </w:r>
    </w:p>
    <w:p>
      <w:pPr>
        <w:spacing w:line="480" w:lineRule="auto" w:after="120"/>
        <w:ind w:firstLine="432"/>
        <w:jc w:val="both"/>
      </w:pPr>
      <w:r>
        <w:rPr>
          <w:rFonts w:ascii="Times New Roman" w:hAnsi="Times New Roman"/>
          <w:sz w:val="24"/>
        </w:rPr>
        <w:t>Pillar 3 is Dispersal through district-based itineraries, digital wayfinding and event scheduling. Dispersal is only sustainable when receiving areas have suitable infrastructure and when ecological or social pressures are not simply exported. The plan therefore recommends capacity screening before marketing secondary sites, investment in interpretation and transport, and monitoring of new hotspots. The aim is a network of experiences with different intensities rather than one dominant icon absorbing the full visitor load.</w:t>
      </w:r>
    </w:p>
    <w:p>
      <w:pPr>
        <w:spacing w:line="480" w:lineRule="auto" w:after="120"/>
        <w:ind w:firstLine="432"/>
        <w:jc w:val="both"/>
      </w:pPr>
      <w:r>
        <w:rPr>
          <w:rFonts w:ascii="Times New Roman" w:hAnsi="Times New Roman"/>
          <w:sz w:val="24"/>
        </w:rPr>
        <w:t>Pillar 4 is Housing and neighbourhood safeguards that preserve resident-serving uses. This pillar addresses the distribution of tourism outcomes. Sustainable destinations need rules that preserve the social and economic functions that make the place viable, not just the attraction that tourists consume. Measures should therefore protect community access, local enterprise opportunity and essential services while preventing tourism development from crowding out the very conditions that support resident wellbeing or traditional livelihoods.</w:t>
      </w:r>
    </w:p>
    <w:p>
      <w:pPr>
        <w:spacing w:line="480" w:lineRule="auto" w:after="120"/>
        <w:ind w:firstLine="432"/>
        <w:jc w:val="both"/>
      </w:pPr>
      <w:r>
        <w:rPr>
          <w:rFonts w:ascii="Times New Roman" w:hAnsi="Times New Roman"/>
          <w:sz w:val="24"/>
        </w:rPr>
        <w:t>Pillar 5 is Open-data monitoring dashboard combining footfall, transport loading, waste, resident sentiment and visitor experience. A common dashboard creates a shared evidence base across agencies and stakeholders. It should not be an oversized collection of metrics. The dashboard should feature a concise set of indicators tied to decisions, with metadata explaining collection methods, limitations and trigger points. Public reporting improves trust and allows operators to plan around predictable rules.</w:t>
      </w:r>
    </w:p>
    <w:p>
      <w:pPr>
        <w:spacing w:line="480" w:lineRule="auto" w:after="120"/>
        <w:ind w:firstLine="432"/>
        <w:jc w:val="both"/>
      </w:pPr>
      <w:r>
        <w:rPr>
          <w:rFonts w:ascii="Times New Roman" w:hAnsi="Times New Roman"/>
          <w:sz w:val="24"/>
        </w:rPr>
        <w:t>Spatially, the proposal gives different roles to each zone. In Zone A: Heritage Core, the management objective is protection of the most sensitive asset and reduction of peak intensity. In Zone B: Transition Districts, the objective is absorption and redistribution through well-managed alternatives. In Zone C: Lagoon Network, the objective is to widen local or regional benefit while controlling cumulative impacts. Infrastructure, signage, staffing and pricing should follow those objectives instead of being uniform across the destination.</w:t>
      </w:r>
    </w:p>
    <w:p>
      <w:pPr>
        <w:spacing w:line="480" w:lineRule="auto" w:after="120"/>
        <w:ind w:firstLine="432"/>
        <w:jc w:val="both"/>
      </w:pPr>
      <w:r>
        <w:rPr>
          <w:rFonts w:ascii="Times New Roman" w:hAnsi="Times New Roman"/>
          <w:sz w:val="24"/>
        </w:rPr>
        <w:t>The first implementation phase is a twelve-month baseline and pilot. Managers should establish data protocols, agree thresholds, test booking or scheduling tools, map stakeholder impacts and run one or two geographically limited pilots. The second phase, months 13-30, scales measures that demonstrate environmental and operational effectiveness. The third phase, months 31-60, embeds successful measures in regulation, budgets and concession agreements. Staging reduces the risk of expensive destination-wide interventions before evidence is available.</w:t>
      </w:r>
    </w:p>
    <w:p>
      <w:pPr>
        <w:spacing w:line="480" w:lineRule="auto" w:after="120"/>
        <w:ind w:firstLine="432"/>
        <w:jc w:val="both"/>
      </w:pPr>
      <w:r>
        <w:rPr>
          <w:rFonts w:ascii="Times New Roman" w:hAnsi="Times New Roman"/>
          <w:sz w:val="24"/>
        </w:rPr>
        <w:t>Financially, the project should combine existing public budgets with destination-generated revenue and partnership funding. The principle is additionality: new fees or levies should finance monitoring, conservation, community benefit or infrastructure that directly supports the plan. Transparent earmarking is essential. If revenue disappears into a general account, stakeholders may see sustainability charges as taxation without service improvement.</w:t>
      </w:r>
    </w:p>
    <w:p>
      <w:pPr>
        <w:spacing w:line="480" w:lineRule="auto" w:after="120"/>
        <w:ind w:firstLine="432"/>
        <w:jc w:val="both"/>
      </w:pPr>
      <w:r>
        <w:rPr>
          <w:rFonts w:ascii="Times New Roman" w:hAnsi="Times New Roman"/>
          <w:sz w:val="24"/>
        </w:rPr>
        <w:t>Communication is treated as infrastructure. Visitors need clear rules before arrival, operators need implementation guidance, and communities need access to monitoring results and complaint mechanisms. Messaging should explain the protected value and the behaviour required, not rely on moralising slogans. Good interpretation can convert a restriction into part of the visitor experience by showing how responsible behaviour protects the destination.</w:t>
      </w:r>
    </w:p>
    <w:p>
      <w:pPr>
        <w:spacing w:line="480" w:lineRule="auto" w:after="120"/>
        <w:ind w:firstLine="432"/>
        <w:jc w:val="both"/>
      </w:pPr>
      <w:r>
        <w:rPr>
          <w:rFonts w:ascii="Times New Roman" w:hAnsi="Times New Roman"/>
          <w:sz w:val="24"/>
        </w:rPr>
        <w:t>Enforcement should follow a graduated model: education and warning for minor first breaches, meaningful penalties for commercial non-compliance, and suspension or licence action for repeated serious violations. Enforcement data should be analysed to identify rules that are confusing or impossible to follow. A high violation rate may indicate poor compliance behaviour, but it can also indicate a badly designed rule. Adaptive governance requires managers to distinguish between these causes.</w:t>
      </w:r>
    </w:p>
    <w:p>
      <w:pPr>
        <w:spacing w:line="480" w:lineRule="auto" w:after="120"/>
        <w:ind w:firstLine="432"/>
        <w:jc w:val="both"/>
      </w:pPr>
      <w:r>
        <w:rPr>
          <w:rFonts w:ascii="Times New Roman" w:hAnsi="Times New Roman"/>
          <w:sz w:val="24"/>
        </w:rPr>
        <w:t>The proposal is strategically viable because it aligns protection with economic quality rather than demanding an abrupt end to tourism. It creates incentives for less congested, higher-value and better-managed visitation; provides businesses with predictable operating conditions; and gives communities a formal role in defining acceptable change. That combination is more durable than emergency restrictions introduced only after visible degradation has occurred (Bertocchi et al., 2020; Seraphin et al., 2018).</w:t>
      </w:r>
    </w:p>
    <w:p>
      <w:pPr>
        <w:pStyle w:val="Heading1"/>
        <w:keepNext/>
        <w:spacing w:before="240" w:after="120"/>
        <w:jc w:val="left"/>
      </w:pPr>
      <w:r>
        <w:rPr>
          <w:rFonts w:ascii="Times New Roman" w:hAnsi="Times New Roman"/>
          <w:b/>
          <w:color w:val="1F4E79"/>
          <w:sz w:val="30"/>
        </w:rPr>
        <w:t>Action Plan, Monitoring &amp; KPIs - Turning Strategy into Delivery</w:t>
      </w:r>
    </w:p>
    <w:p>
      <w:pPr>
        <w:spacing w:line="480" w:lineRule="auto" w:after="120"/>
        <w:ind w:firstLine="432"/>
        <w:jc w:val="both"/>
      </w:pPr>
      <w:r>
        <w:rPr>
          <w:rFonts w:ascii="Times New Roman" w:hAnsi="Times New Roman"/>
          <w:sz w:val="24"/>
        </w:rPr>
        <w:t>Implementation begins with governance. Within the first three months, the lead authority should establish a cross-sector steering group for the Venice Liveability and Flow Management System (V-LFMS), define decision rights, confirm the three management zones and approve a monitoring protocol. By month six, baseline data collection should be active and a public dashboard prototype should be available. By month twelve, the first capacity or access pilot should have been evaluated against environmental, social, economic and operational indicators.</w:t>
      </w:r>
    </w:p>
    <w:p>
      <w:pPr>
        <w:spacing w:line="480" w:lineRule="auto" w:after="120"/>
        <w:ind w:firstLine="432"/>
        <w:jc w:val="both"/>
      </w:pPr>
      <w:r>
        <w:rPr>
          <w:rFonts w:ascii="Times New Roman" w:hAnsi="Times New Roman"/>
          <w:sz w:val="24"/>
        </w:rPr>
        <w:t>The KPI system uses a balanced scorecard. No single metric is sufficient because improving one dimension can worsen another. The plan therefore tracks resource condition, pressure or crowding, community/resident outcome, economic distribution and compliance. Each KPI has a review frequency and an accountable data owner. The steering group should review quarterly operational indicators and conduct an annual strategic review that can revise thresholds and budgets.</w:t>
      </w:r>
    </w:p>
    <w:p>
      <w:pPr>
        <w:spacing w:line="480" w:lineRule="auto" w:after="120"/>
        <w:ind w:firstLine="432"/>
        <w:jc w:val="both"/>
      </w:pPr>
      <w:r>
        <w:rPr>
          <w:rFonts w:ascii="Times New Roman" w:hAnsi="Times New Roman"/>
          <w:sz w:val="24"/>
        </w:rPr>
        <w:t>Trigger rules convert monitoring into action. A yellow status signals movement toward the threshold and requires investigation or preventive action. An orange status means the threshold has been exceeded in repeated monitoring periods and activates a pre-agreed measure such as reduced capacity, route diversion or intensified enforcement. A red status indicates significant risk to resource integrity or safety and can trigger temporary closure or emergency restrictions. Return to normal should also require evidence, preventing premature reopening driven only by commercial pressure.</w:t>
      </w:r>
    </w:p>
    <w:p>
      <w:pPr>
        <w:spacing w:line="480" w:lineRule="auto" w:after="120"/>
        <w:ind w:firstLine="432"/>
        <w:jc w:val="both"/>
      </w:pPr>
      <w:r>
        <w:rPr>
          <w:rFonts w:ascii="Times New Roman" w:hAnsi="Times New Roman"/>
          <w:sz w:val="24"/>
        </w:rPr>
        <w:t>Evaluation should distinguish outputs from outcomes. Installing counters, publishing a code of conduct or training staff are outputs. The outcomes are lower harmful pressure, improved condition, fairer benefit distribution and higher compliance. Annual reporting should therefore ask whether the intervention changed the problem, not just whether planned activities were completed. Where outcomes do not improve, the measure should be redesigned or discontinued.</w:t>
      </w:r>
    </w:p>
    <w:p>
      <w:pPr>
        <w:spacing w:line="480" w:lineRule="auto" w:after="120"/>
        <w:ind w:firstLine="432"/>
        <w:jc w:val="both"/>
      </w:pPr>
      <w:r>
        <w:rPr>
          <w:rFonts w:ascii="Times New Roman" w:hAnsi="Times New Roman"/>
          <w:sz w:val="24"/>
        </w:rPr>
        <w:t>A five-year review should assess whether the destination has moved toward a more resilient tourism model. The review should combine trend data with independent evaluation and stakeholder testimony. It should examine unintended effects, including displacement of pressure to other places, exclusion caused by pricing, informal activity created by restrictions or new infrastructure impacts. Sustainable management is credible when it is willing to measure and correct its own side effects.</w:t>
      </w:r>
    </w:p>
    <w:p>
      <w:pPr>
        <w:spacing w:line="480" w:lineRule="auto" w:after="120"/>
        <w:ind w:firstLine="432"/>
        <w:jc w:val="both"/>
      </w:pPr>
      <w:r>
        <w:rPr>
          <w:rFonts w:ascii="Times New Roman" w:hAnsi="Times New Roman"/>
          <w:sz w:val="24"/>
        </w:rPr>
        <w:t>Data governance is another implementation priority. Counts, surveys and ecological or heritage observations should use documented methods so trends remain comparable across years. Where automated data are used, managers should audit coverage and error instead of assuming digital systems are complete. Community or resident feedback should be analysed alongside technical indicators because a destination can meet a physical target while still producing unacceptable social outcomes. An annual public data note should explain method changes, missing observations and uncertainty. This strengthens academic credibility, reduces selective reporting and makes it easier for stakeholders to understand why a management response has been activated or withdrawn.</w:t>
      </w:r>
    </w:p>
    <w:p>
      <w:pPr>
        <w:pStyle w:val="Heading1"/>
        <w:keepNext/>
        <w:spacing w:before="240" w:after="120"/>
        <w:jc w:val="left"/>
      </w:pPr>
      <w:r>
        <w:rPr>
          <w:rFonts w:ascii="Times New Roman" w:hAnsi="Times New Roman"/>
          <w:b/>
          <w:color w:val="1F4E79"/>
          <w:sz w:val="30"/>
        </w:rPr>
        <w:t>Conclusion &amp; Recommendations - A Managed Future for Venice, Italy</w:t>
      </w:r>
    </w:p>
    <w:p>
      <w:pPr>
        <w:spacing w:line="480" w:lineRule="auto" w:after="120"/>
        <w:ind w:firstLine="432"/>
        <w:jc w:val="both"/>
      </w:pPr>
      <w:r>
        <w:rPr>
          <w:rFonts w:ascii="Times New Roman" w:hAnsi="Times New Roman"/>
          <w:sz w:val="24"/>
        </w:rPr>
        <w:t>The analysis shows that the sustainability challenge in Venice, Italy is not adequately described by visitor numbers alone. The core issue is extreme spatial concentration of day visitors in the historic core, pressure on public space and services, conversion of residential functions to visitor-oriented uses, and a persistent imbalance between high-volume excursionism and local liveability. A sustainable response must therefore align spatial design, stakeholder governance, economic incentives and measurable resource standards. The Venice Liveability and Flow Management System (V-LFMS) provides that integrated structure by combining three management zones with adaptive thresholds and a transparent monitoring cycle.</w:t>
      </w:r>
    </w:p>
    <w:p>
      <w:pPr>
        <w:spacing w:line="480" w:lineRule="auto" w:after="120"/>
        <w:ind w:firstLine="432"/>
        <w:jc w:val="both"/>
      </w:pPr>
      <w:r>
        <w:rPr>
          <w:rFonts w:ascii="Times New Roman" w:hAnsi="Times New Roman"/>
          <w:sz w:val="24"/>
        </w:rPr>
        <w:t>The first recommendation is to manage conditions, not headline volume. Managers should define what environmental, heritage, social and operational conditions must be maintained and link those conditions to measurable indicators. The second recommendation is to make spatial differentiation explicit: the most sensitive zone should receive the strongest controls, transition zones should absorb and redistribute pressure, and wider community or destination areas should receive investment only within their own capacity.</w:t>
      </w:r>
    </w:p>
    <w:p>
      <w:pPr>
        <w:spacing w:line="480" w:lineRule="auto" w:after="120"/>
        <w:ind w:firstLine="432"/>
        <w:jc w:val="both"/>
      </w:pPr>
      <w:r>
        <w:rPr>
          <w:rFonts w:ascii="Times New Roman" w:hAnsi="Times New Roman"/>
          <w:sz w:val="24"/>
        </w:rPr>
        <w:t>The third recommendation is to institutionalise stakeholder power rather than rely on ad hoc consultation. Major rule changes should be reviewed through a representative governance mechanism with published evidence and clear conflict-of-interest safeguards. The fourth is to earmark tourism-generated revenue for conservation, monitoring, community benefit and low-impact infrastructure. The fifth is to review the plan annually and adjust it when indicators show that assumptions were wrong.</w:t>
      </w:r>
    </w:p>
    <w:p>
      <w:pPr>
        <w:spacing w:line="480" w:lineRule="auto" w:after="120"/>
        <w:ind w:firstLine="432"/>
        <w:jc w:val="both"/>
      </w:pPr>
      <w:r>
        <w:rPr>
          <w:rFonts w:ascii="Times New Roman" w:hAnsi="Times New Roman"/>
          <w:sz w:val="24"/>
        </w:rPr>
        <w:t>Ultimately, sustainable tourism planning is successful when the destination remains worth living in, conserving and visiting. The objective is not to freeze Venice, Italy at one level of use but to create a management system capable of learning and responding before unacceptable change becomes permanent. That is the shift from reactive tourism management to stewardship-based destination planning.</w:t>
      </w:r>
    </w:p>
    <w:p>
      <w:pPr>
        <w:pStyle w:val="Heading2"/>
        <w:keepNext/>
        <w:spacing w:before="160" w:after="120"/>
        <w:jc w:val="left"/>
      </w:pPr>
      <w:r>
        <w:rPr>
          <w:rFonts w:ascii="Times New Roman" w:hAnsi="Times New Roman"/>
          <w:b/>
          <w:color w:val="373737"/>
          <w:sz w:val="26"/>
        </w:rPr>
        <w:t>KPI Scorecard</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3096"/>
            <w:shd w:fill="D9EAF7"/>
            <w:tcMar>
              <w:top w:w="100" w:type="dxa"/>
              <w:start w:w="100" w:type="dxa"/>
              <w:bottom w:w="100" w:type="dxa"/>
              <w:end w:w="100" w:type="dxa"/>
            </w:tcMar>
            <w:vAlign w:val="center"/>
          </w:tcPr>
          <w:p>
            <w:pPr>
              <w:spacing w:line="252" w:lineRule="auto"/>
            </w:pPr>
            <w:r>
              <w:rPr>
                <w:rFonts w:ascii="Times New Roman" w:hAnsi="Times New Roman"/>
                <w:b/>
                <w:sz w:val="18"/>
              </w:rPr>
              <w:t>Indicator</w:t>
            </w:r>
          </w:p>
        </w:tc>
        <w:tc>
          <w:tcPr>
            <w:tcW w:type="dxa" w:w="3528"/>
            <w:shd w:fill="D9EAF7"/>
            <w:tcMar>
              <w:top w:w="100" w:type="dxa"/>
              <w:start w:w="100" w:type="dxa"/>
              <w:bottom w:w="100" w:type="dxa"/>
              <w:end w:w="100" w:type="dxa"/>
            </w:tcMar>
            <w:vAlign w:val="center"/>
          </w:tcPr>
          <w:p>
            <w:pPr>
              <w:spacing w:line="252" w:lineRule="auto"/>
            </w:pPr>
            <w:r>
              <w:rPr>
                <w:rFonts w:ascii="Times New Roman" w:hAnsi="Times New Roman"/>
                <w:b/>
                <w:sz w:val="18"/>
              </w:rPr>
              <w:t>Target / Direction</w:t>
            </w:r>
          </w:p>
        </w:tc>
        <w:tc>
          <w:tcPr>
            <w:tcW w:type="dxa" w:w="2088"/>
            <w:shd w:fill="D9EAF7"/>
            <w:tcMar>
              <w:top w:w="100" w:type="dxa"/>
              <w:start w:w="100" w:type="dxa"/>
              <w:bottom w:w="100" w:type="dxa"/>
              <w:end w:w="100" w:type="dxa"/>
            </w:tcMar>
            <w:vAlign w:val="center"/>
          </w:tcPr>
          <w:p>
            <w:pPr>
              <w:spacing w:line="252" w:lineRule="auto"/>
            </w:pPr>
            <w:r>
              <w:rPr>
                <w:rFonts w:ascii="Times New Roman" w:hAnsi="Times New Roman"/>
                <w:b/>
                <w:sz w:val="18"/>
              </w:rPr>
              <w:t>Data Source</w:t>
            </w:r>
          </w:p>
        </w:tc>
        <w:tc>
          <w:tcPr>
            <w:tcW w:type="dxa" w:w="1152"/>
            <w:shd w:fill="D9EAF7"/>
            <w:tcMar>
              <w:top w:w="100" w:type="dxa"/>
              <w:start w:w="100" w:type="dxa"/>
              <w:bottom w:w="100" w:type="dxa"/>
              <w:end w:w="100" w:type="dxa"/>
            </w:tcMar>
            <w:vAlign w:val="center"/>
          </w:tcPr>
          <w:p>
            <w:pPr>
              <w:spacing w:line="252" w:lineRule="auto"/>
            </w:pPr>
            <w:r>
              <w:rPr>
                <w:rFonts w:ascii="Times New Roman" w:hAnsi="Times New Roman"/>
                <w:b/>
                <w:sz w:val="18"/>
              </w:rPr>
              <w:t>Review</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Peak footfall density in Zone A</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Reduce peak-hour density by 20% from baseline within 24 months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Sensor/transport counts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Monthly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Excursionist-to-overnight ratio</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Shift toward higher proportion of overnight stays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Accommodation and access data</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Quarterly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Resident liveability index</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Year-on-year improvement</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Resident panel survey</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Biannual</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Waste per visitor-day</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10% reduction by year 3</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Municipal sanitation data</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Quarterly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Spend dispersion</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Increase visitor spend outside core districts by 15%</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Merchant sample and card-data proxy</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Annual</w:t>
            </w:r>
          </w:p>
        </w:tc>
      </w:tr>
    </w:tbl>
    <w:p>
      <w:pPr>
        <w:pStyle w:val="Heading2"/>
        <w:keepNext/>
        <w:spacing w:before="160" w:after="120"/>
        <w:jc w:val="left"/>
      </w:pPr>
      <w:r>
        <w:rPr>
          <w:rFonts w:ascii="Times New Roman" w:hAnsi="Times New Roman"/>
          <w:b/>
          <w:color w:val="373737"/>
          <w:sz w:val="26"/>
        </w:rPr>
        <w:t>Five-Year Action Plan</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Phase</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Priority actions</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Lead responsibility</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Evidence of completion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0-12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mapping; stakeholder governance body; data standards; pilot access/flow control</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Lead destination/park authority with research and community partners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report; governance charter; pilot evaluation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13-30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Scale zoning controls; invest in monitoring and low-impact infrastructure; operator/community transition support</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Authority + operators + local/community representatives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Zone rules operational; compliance audit; funded transition measures</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31-60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Embed standards in regulation/licensing; evaluate distributional impacts; refine thresholds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Government/regional authority + independent evaluator</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Five-year evaluation; revised thresholds; long-term budget line</w:t>
            </w:r>
          </w:p>
        </w:tc>
      </w:tr>
    </w:tbl>
    <w:p>
      <w:r>
        <w:br w:type="page"/>
      </w:r>
    </w:p>
    <w:p>
      <w:pPr>
        <w:pStyle w:val="Heading1"/>
        <w:keepNext/>
        <w:spacing w:before="240" w:after="120"/>
        <w:jc w:val="left"/>
      </w:pPr>
      <w:r>
        <w:rPr>
          <w:rFonts w:ascii="Times New Roman" w:hAnsi="Times New Roman"/>
          <w:b/>
          <w:color w:val="1F4E79"/>
          <w:sz w:val="30"/>
        </w:rPr>
        <w:t>References</w:t>
      </w:r>
    </w:p>
    <w:p>
      <w:pPr>
        <w:spacing w:line="480" w:lineRule="auto" w:after="80"/>
        <w:ind w:left="720" w:hanging="720"/>
      </w:pPr>
      <w:r>
        <w:rPr>
          <w:rFonts w:ascii="Times New Roman" w:hAnsi="Times New Roman"/>
          <w:sz w:val="23"/>
        </w:rPr>
        <w:t>Bang, D., &amp; Jang, S. (2025). Reframing carrying capacity: A visitor-oriented approach. Annals of Tourism Research, 115, 104022. https://doi.org/10.1016/j.annals.2025.104022</w:t>
      </w:r>
    </w:p>
    <w:p>
      <w:pPr>
        <w:spacing w:line="480" w:lineRule="auto" w:after="80"/>
        <w:ind w:left="720" w:hanging="720"/>
      </w:pPr>
      <w:r>
        <w:rPr>
          <w:rFonts w:ascii="Times New Roman" w:hAnsi="Times New Roman"/>
          <w:sz w:val="23"/>
        </w:rPr>
        <w:t>Bertocchi, D., Camatti, N., Giove, S., &amp; van der Borg, J. (2020). Venice and overtourism: Simulating sustainable development scenarios through a tourism carrying capacity model. Sustainability, 12(2), 512. https://doi.org/10.3390/su12020512</w:t>
      </w:r>
    </w:p>
    <w:p>
      <w:pPr>
        <w:spacing w:line="480" w:lineRule="auto" w:after="80"/>
        <w:ind w:left="720" w:hanging="720"/>
      </w:pPr>
      <w:r>
        <w:rPr>
          <w:rFonts w:ascii="Times New Roman" w:hAnsi="Times New Roman"/>
          <w:sz w:val="23"/>
        </w:rPr>
        <w:t>Bertocchi, D., &amp; Visentin, F. (2019). The overwhelmed city: Physical and social over-capacities of global tourism in Venice. Sustainability, 11(24), 6937. https://doi.org/10.3390/su11246937</w:t>
      </w:r>
    </w:p>
    <w:p>
      <w:pPr>
        <w:spacing w:line="480" w:lineRule="auto" w:after="80"/>
        <w:ind w:left="720" w:hanging="720"/>
      </w:pPr>
      <w:r>
        <w:rPr>
          <w:rFonts w:ascii="Times New Roman" w:hAnsi="Times New Roman"/>
          <w:sz w:val="23"/>
        </w:rPr>
        <w:t>Butler, R. W. (1980). The concept of a tourist area cycle of evolution: Implications for management of resources. The Canadian Geographer, 24(1), 5-12. https://doi.org/10.1111/j.1541-0064.1980.tb00970.x</w:t>
      </w:r>
    </w:p>
    <w:p>
      <w:pPr>
        <w:spacing w:line="480" w:lineRule="auto" w:after="80"/>
        <w:ind w:left="720" w:hanging="720"/>
      </w:pPr>
      <w:r>
        <w:rPr>
          <w:rFonts w:ascii="Times New Roman" w:hAnsi="Times New Roman"/>
          <w:sz w:val="23"/>
        </w:rPr>
        <w:t>Canestrelli, E., &amp; Costa, P. (1991). Tourist carrying capacity: A fuzzy approach. Annals of Tourism Research, 18(2), 295-311. https://doi.org/10.1016/0160-7383(91)90010-9</w:t>
      </w:r>
    </w:p>
    <w:p>
      <w:pPr>
        <w:spacing w:line="480" w:lineRule="auto" w:after="80"/>
        <w:ind w:left="720" w:hanging="720"/>
      </w:pPr>
      <w:r>
        <w:rPr>
          <w:rFonts w:ascii="Times New Roman" w:hAnsi="Times New Roman"/>
          <w:sz w:val="23"/>
        </w:rPr>
        <w:t>Seraphin, H., Sheeran, P., &amp; Pilato, M. (2018). Over-tourism and the fall of Venice as a destination. Journal of Destination Marketing &amp; Management, 9, 374-376. https://doi.org/10.1016/j.jdmm.2018.01.011</w:t>
      </w:r>
    </w:p>
    <w:p>
      <w:pPr>
        <w:spacing w:line="480" w:lineRule="auto" w:after="80"/>
        <w:ind w:left="720" w:hanging="720"/>
      </w:pPr>
      <w:r>
        <w:rPr>
          <w:rFonts w:ascii="Times New Roman" w:hAnsi="Times New Roman"/>
          <w:sz w:val="23"/>
        </w:rPr>
        <w:t>United Nations Environment Programme, &amp; World Tourism Organization. (2005). Making tourism more sustainable: A guide for policy makers. UNEP.</w:t>
      </w:r>
    </w:p>
    <w:p>
      <w:r>
        <w:br w:type="page"/>
      </w:r>
    </w:p>
    <w:p>
      <w:pPr>
        <w:pStyle w:val="Heading1"/>
        <w:keepNext/>
        <w:spacing w:before="240" w:after="120"/>
        <w:jc w:val="left"/>
      </w:pPr>
      <w:r>
        <w:rPr>
          <w:rFonts w:ascii="Times New Roman" w:hAnsi="Times New Roman"/>
          <w:b/>
          <w:color w:val="1F4E79"/>
          <w:sz w:val="30"/>
        </w:rPr>
        <w:t>Appendix A - Spatial Zoning and Governance Notes</w:t>
      </w:r>
    </w:p>
    <w:p>
      <w:pPr>
        <w:spacing w:line="480" w:lineRule="auto" w:after="120"/>
        <w:ind w:firstLine="432"/>
        <w:jc w:val="both"/>
      </w:pPr>
      <w:r>
        <w:rPr>
          <w:rFonts w:ascii="Times New Roman" w:hAnsi="Times New Roman"/>
          <w:sz w:val="24"/>
        </w:rPr>
        <w:t>The following zoning notes operationalise the Venice Liveability and Flow Management System (V-LFMS). They are conceptual planning recommendations and should be refined through site survey, legal review, stakeholder consultation and baseline monitoring before formal adoption.</w:t>
      </w:r>
    </w:p>
    <w:tbl>
      <w:tblPr>
        <w:tblStyle w:val="TableGrid"/>
        <w:tblW w:type="auto" w:w="0"/>
        <w:jc w:val="center"/>
        <w:tblLook w:firstColumn="1" w:firstRow="1" w:lastColumn="0" w:lastRow="0" w:noHBand="0" w:noVBand="1" w:val="04A0"/>
      </w:tblPr>
      <w:tblGrid>
        <w:gridCol w:w="3120"/>
        <w:gridCol w:w="3120"/>
        <w:gridCol w:w="3120"/>
      </w:tblGrid>
      <w:tr>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Zone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Management objective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Illustrative controls</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A: Heritage Core</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San Marco-Rialto and highest-density corridors. Timed access, group-size controls, dynamic pricing and pedestrian-flow management.</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B: Transition Districts</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Cannaregio, Castello and Dorsoduro gateways. Incentivised itineraries, local commerce protection and distributed cultural programming.</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C: Lagoon Network</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Outer islands and lagoon-linked attractions. Advance booking, transport coordination, ecological thresholds and community-led interpretation.</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bl>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37373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b/>
      <w:color w:val="000000"/>
      <w:sz w:val="28"/>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8856" w:val="right" w:leader="dot"/>
      </w:tabs>
      <w:spacing w:line="480" w:lineRule="auto" w:before="0" w:after="0"/>
      <w:ind w:left="0" w:right="0" w:firstLine="0"/>
    </w:pPr>
    <w:rPr>
      <w:rFonts w:ascii="Times New Roman" w:hAnsi="Times New Roman"/>
      <w:b w:val="0"/>
      <w:sz w:val="24"/>
    </w:rPr>
  </w:style>
  <w:style w:type="paragraph" w:customStyle="1" w:styleId="TOC2">
    <w:name w:val="TOC 2"/>
    <w:basedOn w:val="Normal"/>
    <w:pPr>
      <w:tabs>
        <w:tab w:pos="8856" w:val="right" w:leader="dot"/>
      </w:tabs>
      <w:spacing w:line="240" w:lineRule="auto" w:before="0" w:after="40"/>
      <w:ind w:left="360" w:right="0" w:firstLine="0"/>
    </w:pPr>
    <w:rPr>
      <w:rFonts w:ascii="Times New Roman" w:hAnsi="Times New Roman"/>
      <w:sz w:val="24"/>
    </w:rPr>
  </w:style>
  <w:style w:type="paragraph" w:customStyle="1" w:styleId="TOC3">
    <w:name w:val="TOC 3"/>
    <w:basedOn w:val="Normal"/>
    <w:pPr>
      <w:tabs>
        <w:tab w:pos="8856" w:val="right" w:leader="dot"/>
      </w:tabs>
      <w:spacing w:line="240" w:lineRule="auto" w:before="0" w:after="40"/>
      <w:ind w:left="720" w:right="0" w:firstLine="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