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BCA4" w14:textId="77777777" w:rsidR="00426865" w:rsidRPr="00215386" w:rsidRDefault="00672345" w:rsidP="009969E1">
      <w:pPr>
        <w:spacing w:line="480" w:lineRule="auto"/>
        <w:rPr>
          <w:rFonts w:asciiTheme="majorBidi" w:hAnsiTheme="majorBidi" w:cstheme="majorBidi"/>
        </w:rPr>
      </w:pPr>
      <w:r w:rsidRPr="00215386">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63A02A" w14:textId="77777777" w:rsidR="00672345" w:rsidRPr="00215386" w:rsidRDefault="003C5D74"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Structure of Tourism Markets</w:t>
      </w:r>
    </w:p>
    <w:p w14:paraId="4F045B20" w14:textId="77777777" w:rsidR="00672345" w:rsidRPr="00215386" w:rsidRDefault="00672345"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Assignment </w:t>
      </w:r>
      <w:r w:rsidR="00762633" w:rsidRPr="00215386">
        <w:rPr>
          <w:rFonts w:asciiTheme="majorBidi" w:hAnsiTheme="majorBidi" w:cstheme="majorBidi"/>
          <w:lang w:val="en-US"/>
        </w:rPr>
        <w:t>3</w:t>
      </w:r>
    </w:p>
    <w:p w14:paraId="7528BBCE" w14:textId="77777777" w:rsidR="00672345" w:rsidRPr="00215386" w:rsidRDefault="00762633" w:rsidP="009969E1">
      <w:pPr>
        <w:spacing w:line="480" w:lineRule="auto"/>
        <w:rPr>
          <w:rFonts w:asciiTheme="majorBidi" w:hAnsiTheme="majorBidi" w:cstheme="majorBidi"/>
          <w:lang w:val="en-US"/>
        </w:rPr>
      </w:pPr>
      <w:r w:rsidRPr="00215386">
        <w:rPr>
          <w:rFonts w:asciiTheme="majorBidi" w:hAnsiTheme="majorBidi" w:cstheme="majorBidi"/>
          <w:lang w:val="en-US"/>
        </w:rPr>
        <w:t>26</w:t>
      </w:r>
      <w:r w:rsidR="00672345" w:rsidRPr="00215386">
        <w:rPr>
          <w:rFonts w:asciiTheme="majorBidi" w:hAnsiTheme="majorBidi" w:cstheme="majorBidi"/>
          <w:lang w:val="en-US"/>
        </w:rPr>
        <w:t>.0</w:t>
      </w:r>
      <w:r w:rsidRPr="00215386">
        <w:rPr>
          <w:rFonts w:asciiTheme="majorBidi" w:hAnsiTheme="majorBidi" w:cstheme="majorBidi"/>
          <w:lang w:val="en-US"/>
        </w:rPr>
        <w:t>8</w:t>
      </w:r>
      <w:r w:rsidR="00672345" w:rsidRPr="00215386">
        <w:rPr>
          <w:rFonts w:asciiTheme="majorBidi" w:hAnsiTheme="majorBidi" w:cstheme="majorBidi"/>
          <w:lang w:val="en-US"/>
        </w:rPr>
        <w:t>.2026</w:t>
      </w:r>
    </w:p>
    <w:p w14:paraId="36B9BE3B" w14:textId="77777777" w:rsidR="00672345" w:rsidRPr="00215386" w:rsidRDefault="00672345" w:rsidP="009969E1">
      <w:pPr>
        <w:spacing w:line="480" w:lineRule="auto"/>
        <w:rPr>
          <w:rFonts w:asciiTheme="majorBidi" w:hAnsiTheme="majorBidi" w:cstheme="majorBidi"/>
        </w:rPr>
      </w:pPr>
    </w:p>
    <w:p w14:paraId="0EC3A299" w14:textId="77777777" w:rsidR="00672345" w:rsidRPr="00215386" w:rsidRDefault="00672345" w:rsidP="009969E1">
      <w:pPr>
        <w:spacing w:line="480" w:lineRule="auto"/>
        <w:rPr>
          <w:rFonts w:asciiTheme="majorBidi" w:hAnsiTheme="majorBidi" w:cstheme="majorBidi"/>
        </w:rPr>
      </w:pPr>
    </w:p>
    <w:p w14:paraId="02416DCD" w14:textId="77777777" w:rsidR="00672345" w:rsidRPr="00215386" w:rsidRDefault="00672345" w:rsidP="009969E1">
      <w:pPr>
        <w:spacing w:line="480" w:lineRule="auto"/>
        <w:rPr>
          <w:rFonts w:asciiTheme="majorBidi" w:hAnsiTheme="majorBidi" w:cstheme="majorBidi"/>
        </w:rPr>
      </w:pPr>
    </w:p>
    <w:p w14:paraId="231DF704" w14:textId="77777777" w:rsidR="00672345" w:rsidRPr="00215386" w:rsidRDefault="00672345" w:rsidP="009969E1">
      <w:pPr>
        <w:spacing w:line="480" w:lineRule="auto"/>
        <w:rPr>
          <w:rFonts w:asciiTheme="majorBidi" w:hAnsiTheme="majorBidi" w:cstheme="majorBidi"/>
        </w:rPr>
      </w:pPr>
    </w:p>
    <w:p w14:paraId="4F9A0801" w14:textId="77777777" w:rsidR="00672345" w:rsidRPr="00215386" w:rsidRDefault="00672345" w:rsidP="009969E1">
      <w:pPr>
        <w:spacing w:line="480" w:lineRule="auto"/>
        <w:rPr>
          <w:rFonts w:asciiTheme="majorBidi" w:hAnsiTheme="majorBidi" w:cstheme="majorBidi"/>
        </w:rPr>
      </w:pPr>
    </w:p>
    <w:p w14:paraId="6331FE01" w14:textId="77777777" w:rsidR="00672345" w:rsidRPr="00215386" w:rsidRDefault="00672345" w:rsidP="009969E1">
      <w:pPr>
        <w:spacing w:line="480" w:lineRule="auto"/>
        <w:rPr>
          <w:rFonts w:asciiTheme="majorBidi" w:hAnsiTheme="majorBidi" w:cstheme="majorBidi"/>
        </w:rPr>
      </w:pPr>
    </w:p>
    <w:p w14:paraId="0FEA5EEF" w14:textId="77777777" w:rsidR="00672345" w:rsidRPr="00215386" w:rsidRDefault="00672345" w:rsidP="009969E1">
      <w:pPr>
        <w:spacing w:line="480" w:lineRule="auto"/>
        <w:rPr>
          <w:rFonts w:asciiTheme="majorBidi" w:hAnsiTheme="majorBidi" w:cstheme="majorBidi"/>
        </w:rPr>
      </w:pPr>
    </w:p>
    <w:p w14:paraId="2D489FE3" w14:textId="77777777" w:rsidR="00672345" w:rsidRPr="00215386" w:rsidRDefault="00672345" w:rsidP="009969E1">
      <w:pPr>
        <w:spacing w:line="480" w:lineRule="auto"/>
        <w:rPr>
          <w:rFonts w:asciiTheme="majorBidi" w:hAnsiTheme="majorBidi" w:cstheme="majorBidi"/>
        </w:rPr>
      </w:pPr>
    </w:p>
    <w:p w14:paraId="562A8F9F" w14:textId="77777777" w:rsidR="00672345" w:rsidRPr="00215386" w:rsidRDefault="00672345" w:rsidP="009969E1">
      <w:pPr>
        <w:spacing w:line="480" w:lineRule="auto"/>
        <w:rPr>
          <w:rFonts w:asciiTheme="majorBidi" w:hAnsiTheme="majorBidi" w:cstheme="majorBidi"/>
        </w:rPr>
      </w:pPr>
    </w:p>
    <w:p w14:paraId="39D49D88" w14:textId="77777777" w:rsidR="00672345" w:rsidRPr="00215386" w:rsidRDefault="00672345" w:rsidP="009969E1">
      <w:pPr>
        <w:spacing w:line="480" w:lineRule="auto"/>
        <w:rPr>
          <w:rFonts w:asciiTheme="majorBidi" w:hAnsiTheme="majorBidi" w:cstheme="majorBidi"/>
        </w:rPr>
      </w:pPr>
    </w:p>
    <w:p w14:paraId="2CAC2AEC" w14:textId="77777777" w:rsidR="00672345" w:rsidRPr="00215386" w:rsidRDefault="00672345" w:rsidP="009969E1">
      <w:pPr>
        <w:spacing w:line="480" w:lineRule="auto"/>
        <w:rPr>
          <w:rFonts w:asciiTheme="majorBidi" w:hAnsiTheme="majorBidi" w:cstheme="majorBidi"/>
        </w:rPr>
      </w:pPr>
    </w:p>
    <w:p w14:paraId="63F76245" w14:textId="77777777" w:rsidR="00672345" w:rsidRPr="00215386" w:rsidRDefault="00672345" w:rsidP="009969E1">
      <w:pPr>
        <w:spacing w:line="480" w:lineRule="auto"/>
        <w:rPr>
          <w:rFonts w:asciiTheme="majorBidi" w:hAnsiTheme="majorBidi" w:cstheme="majorBidi"/>
        </w:rPr>
      </w:pPr>
    </w:p>
    <w:p w14:paraId="2481D64C" w14:textId="77777777" w:rsidR="00672345" w:rsidRPr="00215386" w:rsidRDefault="00672345" w:rsidP="009969E1">
      <w:pPr>
        <w:spacing w:line="480" w:lineRule="auto"/>
        <w:rPr>
          <w:rFonts w:asciiTheme="majorBidi" w:hAnsiTheme="majorBidi" w:cstheme="majorBidi"/>
        </w:rPr>
      </w:pPr>
    </w:p>
    <w:p w14:paraId="2406E44C" w14:textId="77777777" w:rsidR="00672345" w:rsidRPr="00215386" w:rsidRDefault="00672345"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In no more than 500 words, each explain and 2-4 references:</w:t>
      </w:r>
    </w:p>
    <w:p w14:paraId="37710469" w14:textId="77777777" w:rsidR="00672345" w:rsidRPr="00215386" w:rsidRDefault="00672345" w:rsidP="009969E1">
      <w:pPr>
        <w:spacing w:line="480" w:lineRule="auto"/>
        <w:rPr>
          <w:rFonts w:asciiTheme="majorBidi" w:hAnsiTheme="majorBidi" w:cstheme="majorBidi"/>
          <w:b/>
          <w:bCs/>
          <w:lang w:val="en-US"/>
        </w:rPr>
      </w:pPr>
    </w:p>
    <w:p w14:paraId="05C310F5" w14:textId="77777777" w:rsidR="00672345" w:rsidRPr="00215386" w:rsidRDefault="00672345" w:rsidP="009969E1">
      <w:pPr>
        <w:spacing w:line="480" w:lineRule="auto"/>
        <w:rPr>
          <w:rFonts w:asciiTheme="majorBidi" w:hAnsiTheme="majorBidi" w:cstheme="majorBidi"/>
          <w:b/>
          <w:bCs/>
          <w:lang w:val="en-US"/>
        </w:rPr>
      </w:pPr>
    </w:p>
    <w:p w14:paraId="276E2E31" w14:textId="77777777" w:rsidR="00672345" w:rsidRPr="00215386" w:rsidRDefault="00672345" w:rsidP="009969E1">
      <w:pPr>
        <w:spacing w:line="480" w:lineRule="auto"/>
        <w:rPr>
          <w:rFonts w:asciiTheme="majorBidi" w:hAnsiTheme="majorBidi" w:cstheme="majorBidi"/>
          <w:lang w:val="en-US"/>
        </w:rPr>
      </w:pPr>
    </w:p>
    <w:p w14:paraId="48EEE791" w14:textId="77777777" w:rsidR="006E036E" w:rsidRPr="00215386" w:rsidRDefault="003C5D74"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1- </w:t>
      </w:r>
      <w:r w:rsidR="006E036E" w:rsidRPr="00215386">
        <w:rPr>
          <w:rFonts w:asciiTheme="majorBidi" w:hAnsiTheme="majorBidi" w:cstheme="majorBidi"/>
          <w:lang w:val="en-US"/>
        </w:rPr>
        <w:t xml:space="preserve">Explain the concept of tourist consumer </w:t>
      </w:r>
      <w:proofErr w:type="spellStart"/>
      <w:r w:rsidR="006E036E" w:rsidRPr="00215386">
        <w:rPr>
          <w:rFonts w:asciiTheme="majorBidi" w:hAnsiTheme="majorBidi" w:cstheme="majorBidi"/>
          <w:lang w:val="en-US"/>
        </w:rPr>
        <w:t>behaviour</w:t>
      </w:r>
      <w:proofErr w:type="spellEnd"/>
      <w:r w:rsidR="006E036E" w:rsidRPr="00215386">
        <w:rPr>
          <w:rFonts w:asciiTheme="majorBidi" w:hAnsiTheme="majorBidi" w:cstheme="majorBidi"/>
          <w:lang w:val="en-US"/>
        </w:rPr>
        <w:t>.</w:t>
      </w:r>
    </w:p>
    <w:p w14:paraId="10367062" w14:textId="77777777" w:rsidR="006E036E" w:rsidRPr="00215386" w:rsidRDefault="006E036E" w:rsidP="009969E1">
      <w:pPr>
        <w:spacing w:line="480" w:lineRule="auto"/>
        <w:rPr>
          <w:rFonts w:asciiTheme="majorBidi" w:hAnsiTheme="majorBidi" w:cstheme="majorBidi"/>
          <w:lang w:val="en-US"/>
        </w:rPr>
      </w:pPr>
    </w:p>
    <w:p w14:paraId="138216C0" w14:textId="77777777" w:rsidR="006E036E" w:rsidRPr="00215386"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2- Explain the difference between institutionalized and non-institutionalized tourists.</w:t>
      </w:r>
    </w:p>
    <w:p w14:paraId="5B78863B" w14:textId="39C275C0" w:rsidR="008C4360"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Give one example of each type.</w:t>
      </w:r>
    </w:p>
    <w:p w14:paraId="0F57A43F"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lastRenderedPageBreak/>
        <w:t>1. Explain the Concept of Tourist Consumer Behaviour</w:t>
      </w:r>
    </w:p>
    <w:p w14:paraId="3044CBFF"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Tourist consumer behaviour is concerned with understanding how and why travellers make decisions regarding destinations and tourism services. It includes the psychological and practical processes occurring before a trip, behaviour while travelling and evaluations made after the tourism experience.</w:t>
      </w:r>
    </w:p>
    <w:p w14:paraId="5A52B793"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Before travelling, consumers normally experience some form of need or motivation. A person may want to relax, spend time with family, experience another culture, seek adventure or simply escape everyday routine. This initial motivation leads to a search for possible destinations and tourism products. Ramkissoon (2022) explains that tourist decision-making involves numerous influences and forms an important part of understanding tourism consumption.</w:t>
      </w:r>
    </w:p>
    <w:p w14:paraId="32595640"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 xml:space="preserve">Travellers then obtain and process information. They may use tourism websites, price comparison platforms, social media, travel agencies, recommendations from friends or previous experience. However, tourists rarely possess complete information. They therefore make choices under conditions of uncertainty. For example, someone selecting between Bali and Phuket may compare accommodation prices, beaches, weather, safety, transport links and activities but still </w:t>
      </w:r>
      <w:proofErr w:type="gramStart"/>
      <w:r w:rsidRPr="00143B0E">
        <w:rPr>
          <w:rFonts w:asciiTheme="majorBidi" w:hAnsiTheme="majorBidi" w:cstheme="majorBidi"/>
        </w:rPr>
        <w:t>have to</w:t>
      </w:r>
      <w:proofErr w:type="gramEnd"/>
      <w:r w:rsidRPr="00143B0E">
        <w:rPr>
          <w:rFonts w:asciiTheme="majorBidi" w:hAnsiTheme="majorBidi" w:cstheme="majorBidi"/>
        </w:rPr>
        <w:t xml:space="preserve"> estimate which destination will provide the better experience.</w:t>
      </w:r>
    </w:p>
    <w:p w14:paraId="284E928B"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 xml:space="preserve">Tourist behaviour is also affected by perception and cognitive judgement. A destination that appears highly attractive in online content can create stronger purchase intentions even when other destinations provide similar objective benefits. </w:t>
      </w:r>
      <w:proofErr w:type="spellStart"/>
      <w:r w:rsidRPr="00143B0E">
        <w:rPr>
          <w:rFonts w:asciiTheme="majorBidi" w:hAnsiTheme="majorBidi" w:cstheme="majorBidi"/>
        </w:rPr>
        <w:t>Wattanacharoensil</w:t>
      </w:r>
      <w:proofErr w:type="spellEnd"/>
      <w:r w:rsidRPr="00143B0E">
        <w:rPr>
          <w:rFonts w:asciiTheme="majorBidi" w:hAnsiTheme="majorBidi" w:cstheme="majorBidi"/>
        </w:rPr>
        <w:t xml:space="preserve"> and La-</w:t>
      </w:r>
      <w:proofErr w:type="spellStart"/>
      <w:r w:rsidRPr="00143B0E">
        <w:rPr>
          <w:rFonts w:asciiTheme="majorBidi" w:hAnsiTheme="majorBidi" w:cstheme="majorBidi"/>
        </w:rPr>
        <w:t>ornual</w:t>
      </w:r>
      <w:proofErr w:type="spellEnd"/>
      <w:r w:rsidRPr="00143B0E">
        <w:rPr>
          <w:rFonts w:asciiTheme="majorBidi" w:hAnsiTheme="majorBidi" w:cstheme="majorBidi"/>
        </w:rPr>
        <w:t xml:space="preserve"> (2019) note that tourists can demonstrate cognitive biases, including heuristics, social bias and framing effects, throughout the travel process.</w:t>
      </w:r>
    </w:p>
    <w:p w14:paraId="6958A84C"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 xml:space="preserve">Another important characteristic is that tourist decisions are not necessarily final once travel begins. McCabe et al. (2012) found that visitors can adjust their choices according to time, </w:t>
      </w:r>
      <w:r w:rsidRPr="00143B0E">
        <w:rPr>
          <w:rFonts w:asciiTheme="majorBidi" w:hAnsiTheme="majorBidi" w:cstheme="majorBidi"/>
        </w:rPr>
        <w:lastRenderedPageBreak/>
        <w:t>location, social companions and circumstances during the trip. A tourist may therefore cancel a planned attraction and instead follow a recommendation received from another traveller.</w:t>
      </w:r>
    </w:p>
    <w:p w14:paraId="093D6898"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After the trip, tourists compare the actual experience with their expectations. Positive evaluations can encourage repeat visitation, loyalty and favourable word-of-mouth, whereas poor experiences can discourage future travel.</w:t>
      </w:r>
    </w:p>
    <w:p w14:paraId="13E241CC"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Understanding tourist consumer behaviour is therefore valuable for tourism companies because it enables them to understand consumer expectations, segment visitors, provide appropriate services and communicate tourism benefits more effectively.</w:t>
      </w:r>
    </w:p>
    <w:p w14:paraId="6A02F9E3"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2. Explain the Difference Between Institutionalized and Non-Institutionalized Tourists</w:t>
      </w:r>
    </w:p>
    <w:p w14:paraId="0F395DF2"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Institutionalized tourists are travellers whose journeys are closely connected with formal and organised tourism services, whereas non-institutionalized tourists demonstrate greater independence from those systems.</w:t>
      </w:r>
    </w:p>
    <w:p w14:paraId="26D5D6A5"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Institutionalized tourism normally involves services such as package holidays, travel agencies, major hotels, cruise companies and guided tours. Travellers benefit from knowing much of the itinerary in advance, which can reduce perceived risk and make travel more convenient.</w:t>
      </w:r>
    </w:p>
    <w:p w14:paraId="74984796"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For example, a retired couple purchasing a fully organised ten-day tour of Turkey, including flights, hotels, meals, transportation and daily guided excursions, represents institutionalized tourism. Most important travel decisions have already been incorporated into the package.</w:t>
      </w:r>
    </w:p>
    <w:p w14:paraId="10FF48EB"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Non-institutionalized tourists operate more independently. They may arrange transportation themselves, choose small locally operated accommodation and adjust their itinerary throughout the journey.</w:t>
      </w:r>
    </w:p>
    <w:p w14:paraId="2C9D29ED"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 xml:space="preserve">A backpacker travelling through South America without a detailed schedule is an example. The traveller may use buses between cities, reserve inexpensive hostels individually and decide where to travel next based on recommendations received during the trip. </w:t>
      </w:r>
      <w:proofErr w:type="spellStart"/>
      <w:r w:rsidRPr="00143B0E">
        <w:rPr>
          <w:rFonts w:asciiTheme="majorBidi" w:hAnsiTheme="majorBidi" w:cstheme="majorBidi"/>
        </w:rPr>
        <w:t>Uriely</w:t>
      </w:r>
      <w:proofErr w:type="spellEnd"/>
      <w:r w:rsidRPr="00143B0E">
        <w:rPr>
          <w:rFonts w:asciiTheme="majorBidi" w:hAnsiTheme="majorBidi" w:cstheme="majorBidi"/>
        </w:rPr>
        <w:t xml:space="preserve"> et al. </w:t>
      </w:r>
      <w:r w:rsidRPr="00143B0E">
        <w:rPr>
          <w:rFonts w:asciiTheme="majorBidi" w:hAnsiTheme="majorBidi" w:cstheme="majorBidi"/>
        </w:rPr>
        <w:lastRenderedPageBreak/>
        <w:t>(2002) demonstrate that backpackers often display characteristics associated with non-institutionalized tourism, although their experiences remain diverse rather than identical.</w:t>
      </w:r>
    </w:p>
    <w:p w14:paraId="245E38AC"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This distinction is increasingly complex because digital technology enables independent travellers to access services that were previously associated with organised tourism. For example, an independent traveller can book airline tickets, accommodation and attractions online while still designing the entire journey personally.</w:t>
      </w:r>
    </w:p>
    <w:p w14:paraId="4DB0F494"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Tourist decision-making is also dynamic rather than completely predetermined (McCabe et al., 2012). Consequently, an individual can display both institutionalized and non-institutionalized behaviour during the same holiday.</w:t>
      </w:r>
    </w:p>
    <w:p w14:paraId="18A3A04B" w14:textId="77777777" w:rsidR="00143B0E" w:rsidRPr="00143B0E" w:rsidRDefault="00143B0E" w:rsidP="00143B0E">
      <w:pPr>
        <w:spacing w:line="480" w:lineRule="auto"/>
        <w:rPr>
          <w:rFonts w:asciiTheme="majorBidi" w:hAnsiTheme="majorBidi" w:cstheme="majorBidi"/>
        </w:rPr>
      </w:pPr>
      <w:r w:rsidRPr="00143B0E">
        <w:rPr>
          <w:rFonts w:asciiTheme="majorBidi" w:hAnsiTheme="majorBidi" w:cstheme="majorBidi"/>
        </w:rPr>
        <w:t>The broad distinction is that institutionalized tourists generally seek convenience, structure, familiarity and security, while non-institutionalized tourists tend to seek freedom, flexibility and independent engagement with destinations.</w:t>
      </w:r>
    </w:p>
    <w:p w14:paraId="58491E82" w14:textId="4F577BA0" w:rsidR="00143B0E" w:rsidRPr="00143B0E" w:rsidRDefault="00143B0E" w:rsidP="00143B0E">
      <w:pPr>
        <w:spacing w:line="480" w:lineRule="auto"/>
        <w:rPr>
          <w:rFonts w:asciiTheme="majorBidi" w:hAnsiTheme="majorBidi" w:cstheme="majorBidi"/>
          <w:b/>
          <w:bCs/>
        </w:rPr>
      </w:pPr>
      <w:r w:rsidRPr="00143B0E">
        <w:rPr>
          <w:rFonts w:asciiTheme="majorBidi" w:hAnsiTheme="majorBidi" w:cstheme="majorBidi"/>
          <w:b/>
          <w:bCs/>
        </w:rPr>
        <w:t xml:space="preserve">References </w:t>
      </w:r>
    </w:p>
    <w:p w14:paraId="08244316" w14:textId="77777777" w:rsidR="00143B0E" w:rsidRPr="00143B0E" w:rsidRDefault="00143B0E" w:rsidP="00143B0E">
      <w:pPr>
        <w:spacing w:line="480" w:lineRule="auto"/>
        <w:rPr>
          <w:rFonts w:asciiTheme="majorBidi" w:hAnsiTheme="majorBidi" w:cstheme="majorBidi"/>
          <w:b/>
          <w:bCs/>
        </w:rPr>
      </w:pPr>
      <w:r w:rsidRPr="00143B0E">
        <w:rPr>
          <w:rFonts w:asciiTheme="majorBidi" w:hAnsiTheme="majorBidi" w:cstheme="majorBidi"/>
          <w:b/>
          <w:bCs/>
        </w:rPr>
        <w:t xml:space="preserve">McCabe, S., Li, C., &amp; Chen, Z. (2012). Dynamic in-destination decision-making: An adjustment model. </w:t>
      </w:r>
      <w:r w:rsidRPr="00143B0E">
        <w:rPr>
          <w:rFonts w:asciiTheme="majorBidi" w:hAnsiTheme="majorBidi" w:cstheme="majorBidi"/>
          <w:b/>
          <w:bCs/>
          <w:i/>
          <w:iCs/>
        </w:rPr>
        <w:t>Tourism Management, 33</w:t>
      </w:r>
      <w:r w:rsidRPr="00143B0E">
        <w:rPr>
          <w:rFonts w:asciiTheme="majorBidi" w:hAnsiTheme="majorBidi" w:cstheme="majorBidi"/>
          <w:b/>
          <w:bCs/>
        </w:rPr>
        <w:t xml:space="preserve">(3), 635–645. </w:t>
      </w:r>
      <w:hyperlink r:id="rId6" w:tgtFrame="_new" w:history="1">
        <w:r w:rsidRPr="00143B0E">
          <w:rPr>
            <w:rStyle w:val="Hyperlink"/>
            <w:rFonts w:asciiTheme="majorBidi" w:hAnsiTheme="majorBidi" w:cstheme="majorBidi"/>
            <w:b/>
            <w:bCs/>
          </w:rPr>
          <w:t>https://doi.org/10.1016/j.tourman.2011.07.005</w:t>
        </w:r>
      </w:hyperlink>
      <w:r w:rsidRPr="00143B0E">
        <w:rPr>
          <w:rFonts w:asciiTheme="majorBidi" w:hAnsiTheme="majorBidi" w:cstheme="majorBidi"/>
          <w:b/>
          <w:bCs/>
        </w:rPr>
        <w:t xml:space="preserve"> </w:t>
      </w:r>
    </w:p>
    <w:p w14:paraId="722E5F02" w14:textId="77777777" w:rsidR="00143B0E" w:rsidRPr="00143B0E" w:rsidRDefault="00143B0E" w:rsidP="00143B0E">
      <w:pPr>
        <w:spacing w:line="480" w:lineRule="auto"/>
        <w:rPr>
          <w:rFonts w:asciiTheme="majorBidi" w:hAnsiTheme="majorBidi" w:cstheme="majorBidi"/>
          <w:b/>
          <w:bCs/>
        </w:rPr>
      </w:pPr>
      <w:r w:rsidRPr="00143B0E">
        <w:rPr>
          <w:rFonts w:asciiTheme="majorBidi" w:hAnsiTheme="majorBidi" w:cstheme="majorBidi"/>
          <w:b/>
          <w:bCs/>
        </w:rPr>
        <w:t xml:space="preserve">Ramkissoon, H. (2022). Tourist decision making. In D. </w:t>
      </w:r>
      <w:proofErr w:type="spellStart"/>
      <w:r w:rsidRPr="00143B0E">
        <w:rPr>
          <w:rFonts w:asciiTheme="majorBidi" w:hAnsiTheme="majorBidi" w:cstheme="majorBidi"/>
          <w:b/>
          <w:bCs/>
        </w:rPr>
        <w:t>Buhalis</w:t>
      </w:r>
      <w:proofErr w:type="spellEnd"/>
      <w:r w:rsidRPr="00143B0E">
        <w:rPr>
          <w:rFonts w:asciiTheme="majorBidi" w:hAnsiTheme="majorBidi" w:cstheme="majorBidi"/>
          <w:b/>
          <w:bCs/>
        </w:rPr>
        <w:t xml:space="preserve"> (Ed.), </w:t>
      </w:r>
      <w:proofErr w:type="spellStart"/>
      <w:r w:rsidRPr="00143B0E">
        <w:rPr>
          <w:rFonts w:asciiTheme="majorBidi" w:hAnsiTheme="majorBidi" w:cstheme="majorBidi"/>
          <w:b/>
          <w:bCs/>
          <w:i/>
          <w:iCs/>
        </w:rPr>
        <w:t>Encyclopedia</w:t>
      </w:r>
      <w:proofErr w:type="spellEnd"/>
      <w:r w:rsidRPr="00143B0E">
        <w:rPr>
          <w:rFonts w:asciiTheme="majorBidi" w:hAnsiTheme="majorBidi" w:cstheme="majorBidi"/>
          <w:b/>
          <w:bCs/>
          <w:i/>
          <w:iCs/>
        </w:rPr>
        <w:t xml:space="preserve"> of tourism management and marketing</w:t>
      </w:r>
      <w:r w:rsidRPr="00143B0E">
        <w:rPr>
          <w:rFonts w:asciiTheme="majorBidi" w:hAnsiTheme="majorBidi" w:cstheme="majorBidi"/>
          <w:b/>
          <w:bCs/>
        </w:rPr>
        <w:t xml:space="preserve">. Edward Elgar Publishing. https://doi.org/10.4337/9781800377486.tourist.decision.making </w:t>
      </w:r>
    </w:p>
    <w:p w14:paraId="77FFBC85" w14:textId="77777777" w:rsidR="00143B0E" w:rsidRPr="00143B0E" w:rsidRDefault="00143B0E" w:rsidP="00143B0E">
      <w:pPr>
        <w:spacing w:line="480" w:lineRule="auto"/>
        <w:rPr>
          <w:rFonts w:asciiTheme="majorBidi" w:hAnsiTheme="majorBidi" w:cstheme="majorBidi"/>
          <w:b/>
          <w:bCs/>
        </w:rPr>
      </w:pPr>
      <w:proofErr w:type="spellStart"/>
      <w:r w:rsidRPr="00143B0E">
        <w:rPr>
          <w:rFonts w:asciiTheme="majorBidi" w:hAnsiTheme="majorBidi" w:cstheme="majorBidi"/>
          <w:b/>
          <w:bCs/>
        </w:rPr>
        <w:t>Uriely</w:t>
      </w:r>
      <w:proofErr w:type="spellEnd"/>
      <w:r w:rsidRPr="00143B0E">
        <w:rPr>
          <w:rFonts w:asciiTheme="majorBidi" w:hAnsiTheme="majorBidi" w:cstheme="majorBidi"/>
          <w:b/>
          <w:bCs/>
        </w:rPr>
        <w:t xml:space="preserve">, N., </w:t>
      </w:r>
      <w:proofErr w:type="spellStart"/>
      <w:r w:rsidRPr="00143B0E">
        <w:rPr>
          <w:rFonts w:asciiTheme="majorBidi" w:hAnsiTheme="majorBidi" w:cstheme="majorBidi"/>
          <w:b/>
          <w:bCs/>
        </w:rPr>
        <w:t>Yonay</w:t>
      </w:r>
      <w:proofErr w:type="spellEnd"/>
      <w:r w:rsidRPr="00143B0E">
        <w:rPr>
          <w:rFonts w:asciiTheme="majorBidi" w:hAnsiTheme="majorBidi" w:cstheme="majorBidi"/>
          <w:b/>
          <w:bCs/>
        </w:rPr>
        <w:t xml:space="preserve">, Y., &amp; </w:t>
      </w:r>
      <w:proofErr w:type="spellStart"/>
      <w:r w:rsidRPr="00143B0E">
        <w:rPr>
          <w:rFonts w:asciiTheme="majorBidi" w:hAnsiTheme="majorBidi" w:cstheme="majorBidi"/>
          <w:b/>
          <w:bCs/>
        </w:rPr>
        <w:t>Simchai</w:t>
      </w:r>
      <w:proofErr w:type="spellEnd"/>
      <w:r w:rsidRPr="00143B0E">
        <w:rPr>
          <w:rFonts w:asciiTheme="majorBidi" w:hAnsiTheme="majorBidi" w:cstheme="majorBidi"/>
          <w:b/>
          <w:bCs/>
        </w:rPr>
        <w:t xml:space="preserve">, D. (2002). Backpacking experiences: A type and form analysis. </w:t>
      </w:r>
      <w:r w:rsidRPr="00143B0E">
        <w:rPr>
          <w:rFonts w:asciiTheme="majorBidi" w:hAnsiTheme="majorBidi" w:cstheme="majorBidi"/>
          <w:b/>
          <w:bCs/>
          <w:i/>
          <w:iCs/>
        </w:rPr>
        <w:t>Annals of Tourism Research, 29</w:t>
      </w:r>
      <w:r w:rsidRPr="00143B0E">
        <w:rPr>
          <w:rFonts w:asciiTheme="majorBidi" w:hAnsiTheme="majorBidi" w:cstheme="majorBidi"/>
          <w:b/>
          <w:bCs/>
        </w:rPr>
        <w:t xml:space="preserve">(2), 520–538. https://doi.org/10.1016/S0160-7383(01)00075-5 </w:t>
      </w:r>
    </w:p>
    <w:p w14:paraId="28F030A1" w14:textId="77777777" w:rsidR="00143B0E" w:rsidRPr="00143B0E" w:rsidRDefault="00143B0E" w:rsidP="00143B0E">
      <w:pPr>
        <w:spacing w:line="480" w:lineRule="auto"/>
        <w:rPr>
          <w:rFonts w:asciiTheme="majorBidi" w:hAnsiTheme="majorBidi" w:cstheme="majorBidi"/>
          <w:b/>
          <w:bCs/>
        </w:rPr>
      </w:pPr>
      <w:proofErr w:type="spellStart"/>
      <w:r w:rsidRPr="00143B0E">
        <w:rPr>
          <w:rFonts w:asciiTheme="majorBidi" w:hAnsiTheme="majorBidi" w:cstheme="majorBidi"/>
          <w:b/>
          <w:bCs/>
        </w:rPr>
        <w:t>Wattanacharoensil</w:t>
      </w:r>
      <w:proofErr w:type="spellEnd"/>
      <w:r w:rsidRPr="00143B0E">
        <w:rPr>
          <w:rFonts w:asciiTheme="majorBidi" w:hAnsiTheme="majorBidi" w:cstheme="majorBidi"/>
          <w:b/>
          <w:bCs/>
        </w:rPr>
        <w:t>, W., &amp; La-</w:t>
      </w:r>
      <w:proofErr w:type="spellStart"/>
      <w:r w:rsidRPr="00143B0E">
        <w:rPr>
          <w:rFonts w:asciiTheme="majorBidi" w:hAnsiTheme="majorBidi" w:cstheme="majorBidi"/>
          <w:b/>
          <w:bCs/>
        </w:rPr>
        <w:t>ornual</w:t>
      </w:r>
      <w:proofErr w:type="spellEnd"/>
      <w:r w:rsidRPr="00143B0E">
        <w:rPr>
          <w:rFonts w:asciiTheme="majorBidi" w:hAnsiTheme="majorBidi" w:cstheme="majorBidi"/>
          <w:b/>
          <w:bCs/>
        </w:rPr>
        <w:t xml:space="preserve">, D. (2019). A systematic review of cognitive biases in tourist decisions. </w:t>
      </w:r>
      <w:r w:rsidRPr="00143B0E">
        <w:rPr>
          <w:rFonts w:asciiTheme="majorBidi" w:hAnsiTheme="majorBidi" w:cstheme="majorBidi"/>
          <w:b/>
          <w:bCs/>
          <w:i/>
          <w:iCs/>
        </w:rPr>
        <w:t>Tourism Management, 75</w:t>
      </w:r>
      <w:r w:rsidRPr="00143B0E">
        <w:rPr>
          <w:rFonts w:asciiTheme="majorBidi" w:hAnsiTheme="majorBidi" w:cstheme="majorBidi"/>
          <w:b/>
          <w:bCs/>
        </w:rPr>
        <w:t xml:space="preserve">, 353–369. https://doi.org/10.1016/j.tourman.2019.06.006 </w:t>
      </w:r>
    </w:p>
    <w:p w14:paraId="78BDBEC6" w14:textId="77777777" w:rsidR="00420BFB" w:rsidRPr="00420BFB" w:rsidRDefault="00420BFB" w:rsidP="00420BFB">
      <w:pPr>
        <w:spacing w:line="480" w:lineRule="auto"/>
        <w:rPr>
          <w:rFonts w:asciiTheme="majorBidi" w:hAnsiTheme="majorBidi" w:cstheme="majorBidi"/>
        </w:rPr>
      </w:pPr>
      <w:proofErr w:type="spellStart"/>
      <w:r w:rsidRPr="00420BFB">
        <w:rPr>
          <w:rFonts w:asciiTheme="majorBidi" w:hAnsiTheme="majorBidi" w:cstheme="majorBidi"/>
        </w:rPr>
        <w:lastRenderedPageBreak/>
        <w:t>Wattanacharoensil</w:t>
      </w:r>
      <w:proofErr w:type="spellEnd"/>
      <w:r w:rsidRPr="00420BFB">
        <w:rPr>
          <w:rFonts w:asciiTheme="majorBidi" w:hAnsiTheme="majorBidi" w:cstheme="majorBidi"/>
        </w:rPr>
        <w:t>, W., &amp; La-</w:t>
      </w:r>
      <w:proofErr w:type="spellStart"/>
      <w:r w:rsidRPr="00420BFB">
        <w:rPr>
          <w:rFonts w:asciiTheme="majorBidi" w:hAnsiTheme="majorBidi" w:cstheme="majorBidi"/>
        </w:rPr>
        <w:t>ornual</w:t>
      </w:r>
      <w:proofErr w:type="spellEnd"/>
      <w:r w:rsidRPr="00420BFB">
        <w:rPr>
          <w:rFonts w:asciiTheme="majorBidi" w:hAnsiTheme="majorBidi" w:cstheme="majorBidi"/>
        </w:rPr>
        <w:t xml:space="preserve">, D. (2019). A systematic review of cognitive biases in tourist decisions. </w:t>
      </w:r>
      <w:r w:rsidRPr="00420BFB">
        <w:rPr>
          <w:rFonts w:asciiTheme="majorBidi" w:hAnsiTheme="majorBidi" w:cstheme="majorBidi"/>
          <w:i/>
          <w:iCs/>
        </w:rPr>
        <w:t>Tourism Management, 75</w:t>
      </w:r>
      <w:r w:rsidRPr="00420BFB">
        <w:rPr>
          <w:rFonts w:asciiTheme="majorBidi" w:hAnsiTheme="majorBidi" w:cstheme="majorBidi"/>
        </w:rPr>
        <w:t xml:space="preserve">, 353–369. https://doi.org/10.1016/j.tourman.2019.06.006 </w:t>
      </w:r>
    </w:p>
    <w:p w14:paraId="0736C7C9" w14:textId="77777777" w:rsidR="00420BFB" w:rsidRPr="00215386" w:rsidRDefault="00420BFB" w:rsidP="009969E1">
      <w:pPr>
        <w:spacing w:line="480" w:lineRule="auto"/>
        <w:rPr>
          <w:rFonts w:asciiTheme="majorBidi" w:hAnsiTheme="majorBidi" w:cstheme="majorBidi"/>
        </w:rPr>
      </w:pPr>
    </w:p>
    <w:sectPr w:rsidR="00420BFB" w:rsidRPr="002153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FDDD053-3F6D-4E94-960E-DCFC590C9BF5}"/>
    <w:embedBold r:id="rId2" w:fontKey="{2DA4AB6E-F2BF-4BCB-B87C-13C1B2F9EA39}"/>
    <w:embedItalic r:id="rId3" w:fontKey="{DBF1B252-AB8E-469B-8570-D593A75F465D}"/>
    <w:embedBoldItalic r:id="rId4" w:fontKey="{F6FC799C-7653-4A8C-8922-C09A7DD618A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944DB71B-18BC-4A0A-864F-A53AEC87BA69}"/>
  </w:font>
  <w:font w:name="Calibri Light">
    <w:panose1 w:val="020F0302020204030204"/>
    <w:charset w:val="00"/>
    <w:family w:val="swiss"/>
    <w:pitch w:val="variable"/>
    <w:sig w:usb0="E4002EFF" w:usb1="C000247B" w:usb2="00000009" w:usb3="00000000" w:csb0="000001FF" w:csb1="00000000"/>
    <w:embedRegular r:id="rId6" w:fontKey="{90F7E486-54BB-4418-BD90-D7742346A43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43B0E"/>
    <w:rsid w:val="001700EC"/>
    <w:rsid w:val="00174BB1"/>
    <w:rsid w:val="00215386"/>
    <w:rsid w:val="00224FD9"/>
    <w:rsid w:val="002A679D"/>
    <w:rsid w:val="002F4AE0"/>
    <w:rsid w:val="00372BBE"/>
    <w:rsid w:val="00384E8A"/>
    <w:rsid w:val="003C5D74"/>
    <w:rsid w:val="003D1074"/>
    <w:rsid w:val="00420BFB"/>
    <w:rsid w:val="00426865"/>
    <w:rsid w:val="00477CAA"/>
    <w:rsid w:val="00502E29"/>
    <w:rsid w:val="00507879"/>
    <w:rsid w:val="005E458B"/>
    <w:rsid w:val="00672345"/>
    <w:rsid w:val="006E036E"/>
    <w:rsid w:val="00762633"/>
    <w:rsid w:val="00795910"/>
    <w:rsid w:val="00844EC2"/>
    <w:rsid w:val="008516FE"/>
    <w:rsid w:val="008C4360"/>
    <w:rsid w:val="00965EED"/>
    <w:rsid w:val="0099651A"/>
    <w:rsid w:val="009969E1"/>
    <w:rsid w:val="009C1D0A"/>
    <w:rsid w:val="00A044F7"/>
    <w:rsid w:val="00A505F4"/>
    <w:rsid w:val="00A8150E"/>
    <w:rsid w:val="00B20343"/>
    <w:rsid w:val="00B85EA7"/>
    <w:rsid w:val="00BE65DD"/>
    <w:rsid w:val="00C612A4"/>
    <w:rsid w:val="00CC6AD1"/>
    <w:rsid w:val="00DB7416"/>
    <w:rsid w:val="00E6778A"/>
    <w:rsid w:val="00F25F5B"/>
    <w:rsid w:val="00F837B1"/>
    <w:rsid w:val="00FE71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AF24E"/>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8C4360"/>
    <w:rPr>
      <w:color w:val="0563C1" w:themeColor="hyperlink"/>
      <w:u w:val="single"/>
    </w:rPr>
  </w:style>
  <w:style w:type="character" w:styleId="UnresolvedMention">
    <w:name w:val="Unresolved Mention"/>
    <w:basedOn w:val="DefaultParagraphFont"/>
    <w:uiPriority w:val="99"/>
    <w:semiHidden/>
    <w:unhideWhenUsed/>
    <w:rsid w:val="008C43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11.07.005"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931</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2026-09-04T15:51:00Z</dcterms:created>
  <dcterms:modified xsi:type="dcterms:W3CDTF">2026-09-04T15:51:00Z</dcterms:modified>
</cp:coreProperties>
</file>