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A8BB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30754A" wp14:editId="3A105FA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8EA5B3"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977A30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4DB67665"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6BE8F0A2" w14:textId="77777777" w:rsidR="0019504D" w:rsidRDefault="0019504D"/>
    <w:p w14:paraId="62645EED" w14:textId="77777777" w:rsidR="0019504D" w:rsidRDefault="0019504D"/>
    <w:p w14:paraId="3F9A8F7A" w14:textId="77777777" w:rsidR="0019504D" w:rsidRDefault="0019504D"/>
    <w:p w14:paraId="277F0BF2" w14:textId="77777777" w:rsidR="0019504D" w:rsidRDefault="0019504D"/>
    <w:p w14:paraId="4FFA0779" w14:textId="77777777" w:rsidR="0019504D" w:rsidRDefault="0019504D"/>
    <w:p w14:paraId="45FD8E83" w14:textId="77777777" w:rsidR="00CD620A" w:rsidRDefault="00CD620A"/>
    <w:p w14:paraId="2B512476" w14:textId="77777777" w:rsidR="00CD620A" w:rsidRDefault="00CD620A"/>
    <w:p w14:paraId="62F099C8" w14:textId="77777777" w:rsidR="00CD620A" w:rsidRDefault="00CD620A"/>
    <w:p w14:paraId="43488278" w14:textId="77777777" w:rsidR="00CD620A" w:rsidRDefault="00CD620A"/>
    <w:p w14:paraId="4FC21640" w14:textId="77777777" w:rsidR="00CD620A" w:rsidRDefault="00CD620A"/>
    <w:p w14:paraId="63DC7B3A" w14:textId="77777777" w:rsidR="00EA737F" w:rsidRDefault="00EA737F"/>
    <w:p w14:paraId="1C704214" w14:textId="77777777" w:rsidR="0019504D" w:rsidRDefault="0019504D"/>
    <w:p w14:paraId="19A3C339" w14:textId="77777777" w:rsidR="0019504D" w:rsidRDefault="0019504D"/>
    <w:p w14:paraId="3A851FE6"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0258B41" w14:textId="77777777" w:rsidR="00CA2604" w:rsidRDefault="00CA2604" w:rsidP="00EA737F">
      <w:pPr>
        <w:spacing w:line="276" w:lineRule="auto"/>
        <w:rPr>
          <w:b/>
          <w:bCs/>
          <w:lang w:val="en-US"/>
        </w:rPr>
      </w:pPr>
    </w:p>
    <w:p w14:paraId="5B5C0824" w14:textId="77777777" w:rsidR="00CA2604" w:rsidRPr="00EA737F" w:rsidRDefault="00CA2604" w:rsidP="00EA737F">
      <w:pPr>
        <w:spacing w:line="276" w:lineRule="auto"/>
        <w:rPr>
          <w:b/>
          <w:bCs/>
          <w:lang w:val="en-US"/>
        </w:rPr>
      </w:pPr>
    </w:p>
    <w:p w14:paraId="74B12A83" w14:textId="77777777" w:rsidR="00EA737F" w:rsidRDefault="00EA737F" w:rsidP="00EA737F">
      <w:pPr>
        <w:spacing w:line="276" w:lineRule="auto"/>
        <w:rPr>
          <w:lang w:val="en-US"/>
        </w:rPr>
      </w:pPr>
    </w:p>
    <w:p w14:paraId="5D399B6F" w14:textId="77777777" w:rsidR="00335E8C" w:rsidRDefault="00335E8C" w:rsidP="00EA737F">
      <w:pPr>
        <w:spacing w:line="276" w:lineRule="auto"/>
        <w:rPr>
          <w:lang w:val="en-US"/>
        </w:rPr>
      </w:pPr>
    </w:p>
    <w:p w14:paraId="3719968E" w14:textId="77777777" w:rsidR="00335E8C" w:rsidRDefault="00335E8C" w:rsidP="00EA737F">
      <w:pPr>
        <w:spacing w:line="276" w:lineRule="auto"/>
        <w:rPr>
          <w:lang w:val="en-US"/>
        </w:rPr>
      </w:pPr>
    </w:p>
    <w:p w14:paraId="17EA8E06" w14:textId="77777777" w:rsidR="00335E8C" w:rsidRDefault="00335E8C" w:rsidP="00EA737F">
      <w:pPr>
        <w:spacing w:line="276" w:lineRule="auto"/>
        <w:rPr>
          <w:lang w:val="en-US"/>
        </w:rPr>
      </w:pPr>
    </w:p>
    <w:p w14:paraId="58674AB8" w14:textId="77777777" w:rsidR="00335E8C" w:rsidRDefault="00335E8C" w:rsidP="00EA737F">
      <w:pPr>
        <w:spacing w:line="276" w:lineRule="auto"/>
        <w:rPr>
          <w:lang w:val="en-US"/>
        </w:rPr>
      </w:pPr>
    </w:p>
    <w:p w14:paraId="5AAD54D4" w14:textId="77777777" w:rsidR="00335E8C" w:rsidRDefault="00335E8C" w:rsidP="00EA737F">
      <w:pPr>
        <w:spacing w:line="276" w:lineRule="auto"/>
        <w:rPr>
          <w:lang w:val="en-US"/>
        </w:rPr>
      </w:pPr>
    </w:p>
    <w:p w14:paraId="72D4907B" w14:textId="77777777" w:rsidR="00335E8C" w:rsidRDefault="00335E8C" w:rsidP="00EA737F">
      <w:pPr>
        <w:spacing w:line="276" w:lineRule="auto"/>
        <w:rPr>
          <w:lang w:val="en-US"/>
        </w:rPr>
      </w:pPr>
    </w:p>
    <w:p w14:paraId="261A681D" w14:textId="77777777" w:rsidR="00335E8C" w:rsidRDefault="00335E8C" w:rsidP="00EA737F">
      <w:pPr>
        <w:spacing w:line="276" w:lineRule="auto"/>
        <w:rPr>
          <w:lang w:val="en-US"/>
        </w:rPr>
      </w:pPr>
    </w:p>
    <w:p w14:paraId="79D7E544" w14:textId="77777777" w:rsidR="00335E8C" w:rsidRDefault="00335E8C" w:rsidP="00EA737F">
      <w:pPr>
        <w:spacing w:line="276" w:lineRule="auto"/>
        <w:rPr>
          <w:lang w:val="en-US"/>
        </w:rPr>
      </w:pPr>
    </w:p>
    <w:p w14:paraId="4DD12D22" w14:textId="77777777" w:rsidR="00335E8C" w:rsidRDefault="00335E8C" w:rsidP="00EA737F">
      <w:pPr>
        <w:spacing w:line="276" w:lineRule="auto"/>
        <w:rPr>
          <w:lang w:val="en-US"/>
        </w:rPr>
      </w:pPr>
    </w:p>
    <w:p w14:paraId="35DD7E42" w14:textId="77777777" w:rsidR="00335E8C" w:rsidRDefault="00335E8C" w:rsidP="00EA737F">
      <w:pPr>
        <w:spacing w:line="276" w:lineRule="auto"/>
        <w:rPr>
          <w:lang w:val="en-US"/>
        </w:rPr>
      </w:pPr>
    </w:p>
    <w:p w14:paraId="22909B73" w14:textId="77777777" w:rsidR="00335E8C" w:rsidRDefault="00335E8C" w:rsidP="00EA737F">
      <w:pPr>
        <w:spacing w:line="276" w:lineRule="auto"/>
        <w:rPr>
          <w:lang w:val="en-US"/>
        </w:rPr>
      </w:pPr>
    </w:p>
    <w:p w14:paraId="72FB832D" w14:textId="77777777" w:rsidR="00335E8C" w:rsidRDefault="00335E8C" w:rsidP="00EA737F">
      <w:pPr>
        <w:spacing w:line="276" w:lineRule="auto"/>
        <w:rPr>
          <w:lang w:val="en-US"/>
        </w:rPr>
      </w:pPr>
    </w:p>
    <w:p w14:paraId="13681756" w14:textId="77777777" w:rsidR="00335E8C" w:rsidRDefault="00335E8C" w:rsidP="00EA737F">
      <w:pPr>
        <w:spacing w:line="276" w:lineRule="auto"/>
        <w:rPr>
          <w:lang w:val="en-US"/>
        </w:rPr>
      </w:pPr>
    </w:p>
    <w:p w14:paraId="7E3653F8" w14:textId="77777777" w:rsidR="00335E8C" w:rsidRDefault="00335E8C" w:rsidP="00EA737F">
      <w:pPr>
        <w:spacing w:line="276" w:lineRule="auto"/>
        <w:rPr>
          <w:lang w:val="en-US"/>
        </w:rPr>
      </w:pPr>
    </w:p>
    <w:p w14:paraId="0FA6C07F" w14:textId="77777777" w:rsidR="00335E8C" w:rsidRDefault="00335E8C" w:rsidP="00EA737F">
      <w:pPr>
        <w:spacing w:line="276" w:lineRule="auto"/>
        <w:rPr>
          <w:lang w:val="en-US"/>
        </w:rPr>
      </w:pPr>
    </w:p>
    <w:p w14:paraId="4F9BB8E8" w14:textId="77777777" w:rsidR="00335E8C" w:rsidRDefault="00335E8C" w:rsidP="00EA737F">
      <w:pPr>
        <w:spacing w:line="276" w:lineRule="auto"/>
        <w:rPr>
          <w:lang w:val="en-US"/>
        </w:rPr>
      </w:pPr>
    </w:p>
    <w:p w14:paraId="4E82A2B3" w14:textId="77777777" w:rsidR="00335E8C" w:rsidRDefault="00335E8C" w:rsidP="00EA737F">
      <w:pPr>
        <w:spacing w:line="276" w:lineRule="auto"/>
        <w:rPr>
          <w:lang w:val="en-US"/>
        </w:rPr>
      </w:pPr>
    </w:p>
    <w:p w14:paraId="4F61EECC" w14:textId="77777777" w:rsidR="00335E8C" w:rsidRDefault="00335E8C" w:rsidP="00EA737F">
      <w:pPr>
        <w:spacing w:line="276" w:lineRule="auto"/>
        <w:rPr>
          <w:lang w:val="en-US"/>
        </w:rPr>
      </w:pPr>
    </w:p>
    <w:p w14:paraId="1CA9ED84" w14:textId="77777777" w:rsidR="00335E8C" w:rsidRDefault="00335E8C" w:rsidP="00EA737F">
      <w:pPr>
        <w:spacing w:line="276" w:lineRule="auto"/>
        <w:rPr>
          <w:lang w:val="en-US"/>
        </w:rPr>
      </w:pPr>
    </w:p>
    <w:p w14:paraId="10F78CFB" w14:textId="77777777" w:rsidR="00335E8C" w:rsidRDefault="00335E8C" w:rsidP="00EA737F">
      <w:pPr>
        <w:spacing w:line="276" w:lineRule="auto"/>
        <w:rPr>
          <w:lang w:val="en-US"/>
        </w:rPr>
      </w:pPr>
    </w:p>
    <w:p w14:paraId="7DB8590B" w14:textId="77777777" w:rsidR="00335E8C" w:rsidRDefault="00335E8C" w:rsidP="00EA737F">
      <w:pPr>
        <w:spacing w:line="276" w:lineRule="auto"/>
        <w:rPr>
          <w:lang w:val="en-US"/>
        </w:rPr>
      </w:pPr>
    </w:p>
    <w:p w14:paraId="54608F8C" w14:textId="77777777" w:rsidR="00335E8C" w:rsidRDefault="00335E8C" w:rsidP="00EA737F">
      <w:pPr>
        <w:spacing w:line="276" w:lineRule="auto"/>
        <w:rPr>
          <w:lang w:val="en-US"/>
        </w:rPr>
      </w:pPr>
    </w:p>
    <w:p w14:paraId="4BB8D0D6" w14:textId="77777777" w:rsidR="00EA737F" w:rsidRDefault="00EA737F" w:rsidP="003E6F9A">
      <w:pPr>
        <w:spacing w:line="276" w:lineRule="auto"/>
        <w:rPr>
          <w:b/>
          <w:bCs/>
          <w:lang w:val="en-US"/>
        </w:rPr>
      </w:pPr>
      <w:r w:rsidRPr="003E6F9A">
        <w:rPr>
          <w:b/>
          <w:bCs/>
          <w:lang w:val="en-US"/>
        </w:rPr>
        <w:lastRenderedPageBreak/>
        <w:t xml:space="preserve">1- </w:t>
      </w:r>
      <w:r w:rsidR="003E6F9A" w:rsidRPr="003E6F9A">
        <w:rPr>
          <w:b/>
          <w:bCs/>
          <w:lang w:val="en-US"/>
        </w:rPr>
        <w:t>What are the Challenges in Harmonizing Consumer Protection Standards Globally?</w:t>
      </w:r>
    </w:p>
    <w:p w14:paraId="3F6461A3" w14:textId="77777777" w:rsidR="0037691A" w:rsidRPr="0037691A" w:rsidRDefault="0037691A" w:rsidP="0037691A">
      <w:pPr>
        <w:spacing w:line="276" w:lineRule="auto"/>
        <w:rPr>
          <w:lang w:val="en-US"/>
        </w:rPr>
      </w:pPr>
      <w:r w:rsidRPr="0037691A">
        <w:rPr>
          <w:lang w:val="en-US"/>
        </w:rPr>
        <w:t>The global harmonization of consumer protection standards is a formidable challenge that is entrenched in legal diversity, enforcement gaps, institutional weaknesses, technological evolution, and sovereignty concerns. The establishment of a cohesive international framework is impeded by these obstacles, which render consumers susceptible to cross-border transactions.</w:t>
      </w:r>
    </w:p>
    <w:p w14:paraId="09029118" w14:textId="77777777" w:rsidR="0037691A" w:rsidRPr="0037691A" w:rsidRDefault="0037691A" w:rsidP="0037691A">
      <w:pPr>
        <w:spacing w:line="276" w:lineRule="auto"/>
        <w:rPr>
          <w:lang w:val="en-US"/>
        </w:rPr>
      </w:pPr>
      <w:r w:rsidRPr="0037691A">
        <w:rPr>
          <w:lang w:val="en-US"/>
        </w:rPr>
        <w:t>The significant disparity in national consumer protection laws is a primary impediment. The scope of coverage, enforcement mechanisms, and substantive standards of countries are frequently influenced by their economic development levels and various legal traditions. For example, while advanced economies implement rigorous product safety and liability regulations, numerous developing nations prioritize basic market access over comprehensive protections, rendering uniform standards politically contentious (Amelia et al., 2023). Efforts to harmonize may result in the dilution of robust domestic regimes to accommodate weakened ones, which could lead to resistance among policymakers.</w:t>
      </w:r>
    </w:p>
    <w:p w14:paraId="42850841" w14:textId="77777777" w:rsidR="0037691A" w:rsidRPr="0037691A" w:rsidRDefault="0037691A" w:rsidP="0037691A">
      <w:pPr>
        <w:spacing w:line="276" w:lineRule="auto"/>
        <w:rPr>
          <w:lang w:val="en-US"/>
        </w:rPr>
      </w:pPr>
      <w:r w:rsidRPr="0037691A">
        <w:rPr>
          <w:lang w:val="en-US"/>
        </w:rPr>
        <w:t>This issue is further complicated by the enforcement of laws across borders. Effective action against foreign violators is impeded by jurisdictional conflicts, procedural incompatibilities, and restricted extraterritorial powers. The translation of shared principles into practical cooperation, such as mutual legal assistance or data sharing, remains inconsistent, despite the existence of international guidelines like the UNGCP (</w:t>
      </w:r>
      <w:proofErr w:type="spellStart"/>
      <w:r w:rsidRPr="0037691A">
        <w:rPr>
          <w:lang w:val="en-US"/>
        </w:rPr>
        <w:t>Benöhr</w:t>
      </w:r>
      <w:proofErr w:type="spellEnd"/>
      <w:r w:rsidRPr="0037691A">
        <w:rPr>
          <w:lang w:val="en-US"/>
        </w:rPr>
        <w:t>, 2020). This allows for regulatory arbitrage, in which companies leverage permissive jurisdictions to target stricter markets through e-commerce.</w:t>
      </w:r>
    </w:p>
    <w:p w14:paraId="049A8AD8" w14:textId="77777777" w:rsidR="0037691A" w:rsidRPr="0037691A" w:rsidRDefault="0037691A" w:rsidP="0037691A">
      <w:pPr>
        <w:spacing w:line="276" w:lineRule="auto"/>
        <w:rPr>
          <w:lang w:val="en-US"/>
        </w:rPr>
      </w:pPr>
      <w:r w:rsidRPr="0037691A">
        <w:rPr>
          <w:lang w:val="en-US"/>
        </w:rPr>
        <w:t>Progress is additionally impeded by institutional capacity deficits. The inconsistent implementation of digital surveillance, technical expertise, and participation in global networks is exacerbated by the struggles of under-resourced agencies in low-income countries (UNCTAD, 2024). Fragmentation is further exacerbated by technological disruptions, such as AI-driven personalization and platform economies, as nations implement varying regulatory responses.</w:t>
      </w:r>
    </w:p>
    <w:p w14:paraId="37CD4328" w14:textId="77777777" w:rsidR="0037691A" w:rsidRPr="0037691A" w:rsidRDefault="0037691A" w:rsidP="0037691A">
      <w:pPr>
        <w:spacing w:line="276" w:lineRule="auto"/>
        <w:rPr>
          <w:lang w:val="en-US"/>
        </w:rPr>
      </w:pPr>
      <w:r w:rsidRPr="0037691A">
        <w:rPr>
          <w:lang w:val="en-US"/>
        </w:rPr>
        <w:t>Supranational alignment is also impeded by sovereignty and cultural distinctions. States maintain autonomy in culturally sensitive domains, such as moral standards and risk tolerance, by restricting the scope of binding treaties (OECD, 2024).</w:t>
      </w:r>
    </w:p>
    <w:p w14:paraId="2AE800EC" w14:textId="58962255" w:rsidR="00335E8C" w:rsidRPr="00335E8C" w:rsidRDefault="0037691A" w:rsidP="0037691A">
      <w:pPr>
        <w:spacing w:line="276" w:lineRule="auto"/>
        <w:rPr>
          <w:lang w:val="en-GB"/>
        </w:rPr>
      </w:pPr>
      <w:r w:rsidRPr="0037691A">
        <w:rPr>
          <w:lang w:val="en-US"/>
        </w:rPr>
        <w:t>In conclusion, soft-law frameworks demonstrate potential; however, they necessitate targeted capacity-building, innovative cooperation tools, and gradual convergence to address these multifaceted challenges.</w:t>
      </w:r>
    </w:p>
    <w:p w14:paraId="0DF7E1DC" w14:textId="77777777" w:rsidR="00335E8C" w:rsidRDefault="00335E8C" w:rsidP="003E6F9A">
      <w:pPr>
        <w:spacing w:line="276" w:lineRule="auto"/>
        <w:rPr>
          <w:b/>
          <w:bCs/>
          <w:lang w:val="en-US"/>
        </w:rPr>
      </w:pPr>
    </w:p>
    <w:p w14:paraId="5C102E5A" w14:textId="185F0EA8" w:rsidR="00335E8C" w:rsidRDefault="00335E8C" w:rsidP="003E6F9A">
      <w:pPr>
        <w:spacing w:line="276" w:lineRule="auto"/>
        <w:rPr>
          <w:b/>
          <w:bCs/>
          <w:lang w:val="en-US"/>
        </w:rPr>
      </w:pPr>
      <w:r>
        <w:rPr>
          <w:b/>
          <w:bCs/>
          <w:lang w:val="en-US"/>
        </w:rPr>
        <w:t xml:space="preserve">References </w:t>
      </w:r>
    </w:p>
    <w:p w14:paraId="0B2D2BFE" w14:textId="77777777" w:rsidR="00335E8C" w:rsidRPr="00335E8C" w:rsidRDefault="00335E8C" w:rsidP="00335E8C">
      <w:pPr>
        <w:spacing w:line="276" w:lineRule="auto"/>
        <w:rPr>
          <w:b/>
          <w:bCs/>
          <w:lang w:val="en-GB"/>
        </w:rPr>
      </w:pPr>
      <w:r w:rsidRPr="00335E8C">
        <w:rPr>
          <w:b/>
          <w:bCs/>
          <w:lang w:val="en-GB"/>
        </w:rPr>
        <w:t>Amelia, R., et al. (2023). Harmonizing Consumer Protection Laws: E-commerce as Catalyst. </w:t>
      </w:r>
      <w:r w:rsidRPr="00335E8C">
        <w:rPr>
          <w:b/>
          <w:bCs/>
          <w:i/>
          <w:iCs/>
          <w:lang w:val="en-GB"/>
        </w:rPr>
        <w:t>Advances in Social Science, Education and Humanities Research</w:t>
      </w:r>
      <w:r w:rsidRPr="00335E8C">
        <w:rPr>
          <w:b/>
          <w:bCs/>
          <w:lang w:val="en-GB"/>
        </w:rPr>
        <w:t>, 851, 1198-1204. </w:t>
      </w:r>
      <w:hyperlink r:id="rId5" w:tgtFrame="_blank" w:history="1">
        <w:r w:rsidRPr="00335E8C">
          <w:rPr>
            <w:rStyle w:val="Hyperlink"/>
            <w:b/>
            <w:bCs/>
            <w:lang w:val="en-GB"/>
          </w:rPr>
          <w:t>https://doi.org/10.2991/978-2-38476-180-7_155</w:t>
        </w:r>
      </w:hyperlink>
      <w:r w:rsidRPr="00335E8C">
        <w:rPr>
          <w:b/>
          <w:bCs/>
          <w:lang w:val="en-GB"/>
        </w:rPr>
        <w:t>​</w:t>
      </w:r>
    </w:p>
    <w:p w14:paraId="5EFD53FD" w14:textId="77777777" w:rsidR="00335E8C" w:rsidRPr="00335E8C" w:rsidRDefault="00335E8C" w:rsidP="00335E8C">
      <w:pPr>
        <w:spacing w:line="276" w:lineRule="auto"/>
        <w:rPr>
          <w:b/>
          <w:bCs/>
          <w:lang w:val="en-GB"/>
        </w:rPr>
      </w:pPr>
      <w:proofErr w:type="spellStart"/>
      <w:r w:rsidRPr="00335E8C">
        <w:rPr>
          <w:b/>
          <w:bCs/>
          <w:lang w:val="en-GB"/>
        </w:rPr>
        <w:t>Benöhr</w:t>
      </w:r>
      <w:proofErr w:type="spellEnd"/>
      <w:r w:rsidRPr="00335E8C">
        <w:rPr>
          <w:b/>
          <w:bCs/>
          <w:lang w:val="en-GB"/>
        </w:rPr>
        <w:t>, I. (2020). The United Nations Guidelines for Consumer Protection: Legal and institutional aspects. </w:t>
      </w:r>
      <w:r w:rsidRPr="00335E8C">
        <w:rPr>
          <w:b/>
          <w:bCs/>
          <w:i/>
          <w:iCs/>
          <w:lang w:val="en-GB"/>
        </w:rPr>
        <w:t>Journal of Consumer Policy</w:t>
      </w:r>
      <w:r w:rsidRPr="00335E8C">
        <w:rPr>
          <w:b/>
          <w:bCs/>
          <w:lang w:val="en-GB"/>
        </w:rPr>
        <w:t>, 43(1), 85-113. </w:t>
      </w:r>
      <w:hyperlink r:id="rId6" w:tgtFrame="_blank" w:history="1">
        <w:r w:rsidRPr="00335E8C">
          <w:rPr>
            <w:rStyle w:val="Hyperlink"/>
            <w:b/>
            <w:bCs/>
            <w:lang w:val="en-GB"/>
          </w:rPr>
          <w:t>https://doi.org/10.1007/s10603-019-09443-y</w:t>
        </w:r>
      </w:hyperlink>
      <w:r w:rsidRPr="00335E8C">
        <w:rPr>
          <w:b/>
          <w:bCs/>
          <w:lang w:val="en-GB"/>
        </w:rPr>
        <w:t>​</w:t>
      </w:r>
    </w:p>
    <w:p w14:paraId="378BEAE6" w14:textId="77777777" w:rsidR="00335E8C" w:rsidRPr="00335E8C" w:rsidRDefault="00335E8C" w:rsidP="00335E8C">
      <w:pPr>
        <w:spacing w:line="276" w:lineRule="auto"/>
        <w:rPr>
          <w:b/>
          <w:bCs/>
          <w:lang w:val="en-GB"/>
        </w:rPr>
      </w:pPr>
      <w:r w:rsidRPr="00335E8C">
        <w:rPr>
          <w:b/>
          <w:bCs/>
          <w:lang w:val="en-GB"/>
        </w:rPr>
        <w:lastRenderedPageBreak/>
        <w:t>UNCTAD. (2024). </w:t>
      </w:r>
      <w:r w:rsidRPr="00335E8C">
        <w:rPr>
          <w:b/>
          <w:bCs/>
          <w:i/>
          <w:iCs/>
          <w:lang w:val="en-GB"/>
        </w:rPr>
        <w:t>Emerging trends and challenges in consumer product safety</w:t>
      </w:r>
      <w:r w:rsidRPr="00335E8C">
        <w:rPr>
          <w:b/>
          <w:bCs/>
          <w:lang w:val="en-GB"/>
        </w:rPr>
        <w:t>. United Nations Conference on Trade and Development. </w:t>
      </w:r>
      <w:hyperlink r:id="rId7" w:tgtFrame="_blank" w:history="1">
        <w:r w:rsidRPr="00335E8C">
          <w:rPr>
            <w:rStyle w:val="Hyperlink"/>
            <w:b/>
            <w:bCs/>
            <w:lang w:val="en-GB"/>
          </w:rPr>
          <w:t>https://unctad.org/system/files/official-document/ditccplp2024d1_en.pdf</w:t>
        </w:r>
      </w:hyperlink>
      <w:r w:rsidRPr="00335E8C">
        <w:rPr>
          <w:b/>
          <w:bCs/>
          <w:lang w:val="en-GB"/>
        </w:rPr>
        <w:t>​</w:t>
      </w:r>
    </w:p>
    <w:p w14:paraId="6A73E62E" w14:textId="77777777" w:rsidR="00335E8C" w:rsidRPr="00335E8C" w:rsidRDefault="00335E8C" w:rsidP="003E6F9A">
      <w:pPr>
        <w:spacing w:line="276" w:lineRule="auto"/>
        <w:rPr>
          <w:b/>
          <w:bCs/>
          <w:lang w:val="en-US"/>
        </w:rPr>
      </w:pPr>
    </w:p>
    <w:sectPr w:rsidR="00335E8C" w:rsidRPr="00335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F4BCCD9F-F93B-4C26-8FD2-ED1EC765713A}"/>
    <w:embedBold r:id="rId2" w:fontKey="{F3522BB2-B1FB-402B-A463-3D3AF2B28F9D}"/>
    <w:embedBoldItalic r:id="rId3" w:fontKey="{DD1FCE52-9DB0-49E3-B839-2769E8B9796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52D934E-3518-42BA-A3A9-78FDE566FA4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16B761B2-5C33-471D-A34F-F1630CBAC7E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35E8C"/>
    <w:rsid w:val="0037691A"/>
    <w:rsid w:val="00384E8A"/>
    <w:rsid w:val="003D1074"/>
    <w:rsid w:val="003E6F9A"/>
    <w:rsid w:val="00424B85"/>
    <w:rsid w:val="00426865"/>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D26BAB"/>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7D5C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35E8C"/>
    <w:rPr>
      <w:color w:val="0563C1" w:themeColor="hyperlink"/>
      <w:u w:val="single"/>
    </w:rPr>
  </w:style>
  <w:style w:type="character" w:styleId="UnresolvedMention">
    <w:name w:val="Unresolved Mention"/>
    <w:basedOn w:val="DefaultParagraphFont"/>
    <w:uiPriority w:val="99"/>
    <w:semiHidden/>
    <w:unhideWhenUsed/>
    <w:rsid w:val="00335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nctad.org/system/files/official-document/ditccplp2024d1_e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10603-019-09443-y" TargetMode="External"/><Relationship Id="rId5" Type="http://schemas.openxmlformats.org/officeDocument/2006/relationships/hyperlink" Target="https://doi.org/10.2991/978-2-38476-180-7_155" TargetMode="External"/><Relationship Id="rId4" Type="http://schemas.openxmlformats.org/officeDocument/2006/relationships/image" Target="media/image1.png"/><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3108</Characters>
  <Application>Microsoft Office Word</Application>
  <DocSecurity>0</DocSecurity>
  <Lines>25</Lines>
  <Paragraphs>7</Paragraphs>
  <ScaleCrop>false</ScaleCrop>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2026-02-04T13:19:00Z</dcterms:created>
  <dcterms:modified xsi:type="dcterms:W3CDTF">2026-02-04T13:19:00Z</dcterms:modified>
</cp:coreProperties>
</file>