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345836" w:rsidRDefault="000D12EF" w:rsidP="00B02D87">
      <w:pPr>
        <w:spacing w:line="360" w:lineRule="auto"/>
        <w:rPr>
          <w:rFonts w:ascii="Times New Roman" w:hAnsi="Times New Roman" w:cs="Times New Roman"/>
          <w:color w:val="000000" w:themeColor="text1"/>
          <w:szCs w:val="24"/>
          <w:lang w:val="en-US"/>
        </w:rPr>
      </w:pPr>
    </w:p>
    <w:p w14:paraId="06EC50D5" w14:textId="24BDAEE4" w:rsidR="00D33052" w:rsidRPr="00345836" w:rsidRDefault="004A1F6F" w:rsidP="00B02D87">
      <w:pPr>
        <w:spacing w:line="360" w:lineRule="auto"/>
        <w:rPr>
          <w:rFonts w:ascii="Times New Roman" w:hAnsi="Times New Roman" w:cs="Times New Roman"/>
          <w:color w:val="000000" w:themeColor="text1"/>
          <w:szCs w:val="24"/>
          <w:lang w:val="en-US"/>
        </w:rPr>
      </w:pPr>
      <w:r w:rsidRPr="00345836">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345836" w:rsidRDefault="004A1F6F" w:rsidP="00B02D87">
      <w:pPr>
        <w:spacing w:line="360" w:lineRule="auto"/>
        <w:jc w:val="center"/>
        <w:rPr>
          <w:rFonts w:ascii="Times New Roman" w:hAnsi="Times New Roman" w:cs="Times New Roman"/>
          <w:color w:val="000000" w:themeColor="text1"/>
          <w:szCs w:val="24"/>
        </w:rPr>
      </w:pPr>
    </w:p>
    <w:p w14:paraId="463B55AB" w14:textId="77777777" w:rsidR="004A1F6F" w:rsidRPr="00345836" w:rsidRDefault="004A1F6F" w:rsidP="00B02D87">
      <w:pPr>
        <w:spacing w:line="360" w:lineRule="auto"/>
        <w:jc w:val="center"/>
        <w:rPr>
          <w:rFonts w:ascii="Times New Roman" w:hAnsi="Times New Roman" w:cs="Times New Roman"/>
          <w:color w:val="000000" w:themeColor="text1"/>
          <w:szCs w:val="24"/>
        </w:rPr>
      </w:pPr>
    </w:p>
    <w:p w14:paraId="0C7555A9" w14:textId="77777777" w:rsidR="004A1F6F" w:rsidRPr="00345836" w:rsidRDefault="004A1F6F" w:rsidP="00B02D87">
      <w:pPr>
        <w:spacing w:line="360" w:lineRule="auto"/>
        <w:jc w:val="center"/>
        <w:rPr>
          <w:rFonts w:ascii="Times New Roman" w:hAnsi="Times New Roman" w:cs="Times New Roman"/>
          <w:color w:val="000000" w:themeColor="text1"/>
          <w:szCs w:val="24"/>
        </w:rPr>
      </w:pPr>
    </w:p>
    <w:p w14:paraId="3E48C347" w14:textId="5CAC9E09" w:rsidR="00F72ED2" w:rsidRPr="00345836" w:rsidRDefault="006C6E7E" w:rsidP="00B02D87">
      <w:pPr>
        <w:spacing w:line="360" w:lineRule="auto"/>
        <w:jc w:val="center"/>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 xml:space="preserve">Masters </w:t>
      </w:r>
      <w:r w:rsidRPr="00345836">
        <w:rPr>
          <w:rFonts w:ascii="Times New Roman" w:hAnsi="Times New Roman" w:cs="Times New Roman"/>
          <w:b/>
          <w:bCs/>
          <w:color w:val="000000" w:themeColor="text1"/>
          <w:szCs w:val="24"/>
        </w:rPr>
        <w:t>in</w:t>
      </w:r>
      <w:r w:rsidR="00F72ED2" w:rsidRPr="00345836">
        <w:rPr>
          <w:rFonts w:ascii="Times New Roman" w:hAnsi="Times New Roman" w:cs="Times New Roman"/>
          <w:b/>
          <w:bCs/>
          <w:color w:val="000000" w:themeColor="text1"/>
          <w:szCs w:val="24"/>
        </w:rPr>
        <w:t xml:space="preserve"> Tourism and Recreation</w:t>
      </w:r>
    </w:p>
    <w:p w14:paraId="762FE3A0" w14:textId="7620272F" w:rsidR="00987C16" w:rsidRDefault="00987C16" w:rsidP="00B02D87">
      <w:pPr>
        <w:spacing w:line="360" w:lineRule="auto"/>
        <w:jc w:val="center"/>
        <w:rPr>
          <w:rFonts w:ascii="Times New Roman" w:hAnsi="Times New Roman" w:cs="Times New Roman"/>
          <w:b/>
          <w:bCs/>
          <w:color w:val="000000" w:themeColor="text1"/>
          <w:szCs w:val="24"/>
        </w:rPr>
      </w:pPr>
      <w:r w:rsidRPr="00987C16">
        <w:rPr>
          <w:rFonts w:ascii="Times New Roman" w:hAnsi="Times New Roman" w:cs="Times New Roman"/>
          <w:b/>
          <w:bCs/>
          <w:color w:val="000000" w:themeColor="text1"/>
          <w:szCs w:val="24"/>
        </w:rPr>
        <w:t xml:space="preserve">Quality &amp; Sustainability in Tourism &amp; Hospitality Assignment </w:t>
      </w:r>
    </w:p>
    <w:p w14:paraId="0BBC0118" w14:textId="5E26CE81" w:rsidR="00A84485" w:rsidRPr="00345836" w:rsidRDefault="006C6E7E" w:rsidP="00B02D87">
      <w:pPr>
        <w:spacing w:line="360" w:lineRule="auto"/>
        <w:jc w:val="center"/>
        <w:rPr>
          <w:rFonts w:ascii="Times New Roman" w:hAnsi="Times New Roman" w:cs="Times New Roman"/>
          <w:b/>
          <w:bCs/>
          <w:color w:val="000000" w:themeColor="text1"/>
          <w:szCs w:val="24"/>
        </w:rPr>
      </w:pPr>
      <w:bookmarkStart w:id="0" w:name="_Toc216766358"/>
      <w:r w:rsidRPr="006C6E7E">
        <w:rPr>
          <w:rFonts w:ascii="Times New Roman" w:hAnsi="Times New Roman" w:cs="Times New Roman"/>
          <w:b/>
          <w:bCs/>
          <w:color w:val="000000" w:themeColor="text1"/>
          <w:szCs w:val="24"/>
        </w:rPr>
        <w:t>Option 1: Quality Assurance and Service Excellence in Hospitality During Christmas</w:t>
      </w:r>
    </w:p>
    <w:p w14:paraId="2092D2F4" w14:textId="77777777" w:rsidR="00A84485" w:rsidRPr="00345836" w:rsidRDefault="00A84485" w:rsidP="00B02D87">
      <w:pPr>
        <w:spacing w:line="360" w:lineRule="auto"/>
        <w:jc w:val="center"/>
        <w:rPr>
          <w:rFonts w:ascii="Times New Roman" w:hAnsi="Times New Roman" w:cs="Times New Roman"/>
          <w:b/>
          <w:bCs/>
          <w:color w:val="000000" w:themeColor="text1"/>
          <w:szCs w:val="24"/>
        </w:rPr>
      </w:pPr>
    </w:p>
    <w:p w14:paraId="1C3E0F83"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75B6D21D"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0031A68B"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168F3EAE"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2CED1A9D" w14:textId="77777777" w:rsidR="005F39DA" w:rsidRDefault="005F39DA" w:rsidP="00B02D87">
      <w:pPr>
        <w:spacing w:line="360" w:lineRule="auto"/>
        <w:rPr>
          <w:rFonts w:ascii="Times New Roman" w:hAnsi="Times New Roman" w:cs="Times New Roman"/>
          <w:b/>
          <w:bCs/>
          <w:color w:val="000000" w:themeColor="text1"/>
          <w:szCs w:val="24"/>
        </w:rPr>
      </w:pPr>
    </w:p>
    <w:p w14:paraId="4E840DD6" w14:textId="77777777" w:rsidR="00645360" w:rsidRPr="00345836" w:rsidRDefault="00645360" w:rsidP="00B02D87">
      <w:pPr>
        <w:spacing w:line="360" w:lineRule="auto"/>
        <w:rPr>
          <w:rFonts w:ascii="Times New Roman" w:hAnsi="Times New Roman" w:cs="Times New Roman"/>
          <w:b/>
          <w:bCs/>
          <w:color w:val="000000" w:themeColor="text1"/>
          <w:szCs w:val="24"/>
        </w:rPr>
      </w:pPr>
    </w:p>
    <w:p w14:paraId="70EA330F" w14:textId="77777777" w:rsidR="0002754F" w:rsidRPr="00345836" w:rsidRDefault="0002754F" w:rsidP="00B02D87">
      <w:pPr>
        <w:spacing w:line="360" w:lineRule="auto"/>
        <w:rPr>
          <w:rFonts w:ascii="Times New Roman" w:hAnsi="Times New Roman" w:cs="Times New Roman"/>
          <w:b/>
          <w:bCs/>
          <w:color w:val="000000" w:themeColor="text1"/>
          <w:szCs w:val="24"/>
        </w:rPr>
      </w:pPr>
    </w:p>
    <w:p w14:paraId="4E597496" w14:textId="77777777" w:rsidR="0002754F" w:rsidRPr="00345836" w:rsidRDefault="0002754F" w:rsidP="00B02D87">
      <w:pPr>
        <w:spacing w:line="360" w:lineRule="auto"/>
        <w:rPr>
          <w:rFonts w:ascii="Times New Roman" w:hAnsi="Times New Roman" w:cs="Times New Roman"/>
          <w:b/>
          <w:bCs/>
          <w:color w:val="000000" w:themeColor="text1"/>
          <w:szCs w:val="24"/>
        </w:rPr>
      </w:pPr>
    </w:p>
    <w:p w14:paraId="7445C177"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52BEA7B5"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3947D0A4"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09434169" w14:textId="77777777" w:rsidR="00921E93" w:rsidRPr="00345836" w:rsidRDefault="00921E93" w:rsidP="00B02D87">
      <w:pPr>
        <w:spacing w:line="360" w:lineRule="auto"/>
        <w:rPr>
          <w:rStyle w:val="Heading1Char"/>
          <w:rFonts w:ascii="Times New Roman" w:hAnsi="Times New Roman" w:cs="Times New Roman"/>
          <w:b/>
          <w:bCs/>
          <w:color w:val="000000" w:themeColor="text1"/>
          <w:sz w:val="24"/>
          <w:szCs w:val="24"/>
        </w:rPr>
      </w:pPr>
    </w:p>
    <w:p w14:paraId="797800B9" w14:textId="77777777" w:rsidR="00593CA3" w:rsidRPr="00345836" w:rsidRDefault="00593CA3" w:rsidP="00B02D87">
      <w:pPr>
        <w:spacing w:line="360" w:lineRule="auto"/>
        <w:rPr>
          <w:rStyle w:val="Heading1Char"/>
          <w:rFonts w:ascii="Times New Roman" w:hAnsi="Times New Roman" w:cs="Times New Roman"/>
          <w:b/>
          <w:bCs/>
          <w:color w:val="000000" w:themeColor="text1"/>
          <w:sz w:val="24"/>
          <w:szCs w:val="24"/>
        </w:rPr>
      </w:pPr>
    </w:p>
    <w:p w14:paraId="549B17DB" w14:textId="77777777" w:rsidR="00A84485" w:rsidRPr="00345836" w:rsidRDefault="00D33052" w:rsidP="00B02D87">
      <w:pPr>
        <w:spacing w:line="360" w:lineRule="auto"/>
        <w:rPr>
          <w:rStyle w:val="Heading1Char"/>
          <w:rFonts w:ascii="Times New Roman" w:hAnsi="Times New Roman" w:cs="Times New Roman"/>
          <w:b/>
          <w:bCs/>
          <w:color w:val="000000" w:themeColor="text1"/>
          <w:sz w:val="24"/>
          <w:szCs w:val="24"/>
        </w:rPr>
      </w:pPr>
      <w:r w:rsidRPr="00345836">
        <w:rPr>
          <w:rStyle w:val="Heading1Char"/>
          <w:rFonts w:ascii="Times New Roman" w:hAnsi="Times New Roman" w:cs="Times New Roman"/>
          <w:b/>
          <w:bCs/>
          <w:color w:val="000000" w:themeColor="text1"/>
          <w:sz w:val="24"/>
          <w:szCs w:val="24"/>
        </w:rPr>
        <w:t>Abstract</w:t>
      </w:r>
      <w:bookmarkEnd w:id="0"/>
    </w:p>
    <w:p w14:paraId="6D37A29C" w14:textId="77777777" w:rsidR="00C65F2E" w:rsidRPr="00C65F2E" w:rsidRDefault="00C65F2E" w:rsidP="00C65F2E">
      <w:pPr>
        <w:spacing w:line="360" w:lineRule="auto"/>
        <w:rPr>
          <w:rFonts w:ascii="Times New Roman" w:hAnsi="Times New Roman" w:cs="Times New Roman"/>
          <w:color w:val="000000" w:themeColor="text1"/>
          <w:szCs w:val="24"/>
        </w:rPr>
      </w:pPr>
      <w:r w:rsidRPr="00C65F2E">
        <w:rPr>
          <w:rFonts w:ascii="Times New Roman" w:hAnsi="Times New Roman" w:cs="Times New Roman"/>
          <w:color w:val="000000" w:themeColor="text1"/>
          <w:szCs w:val="24"/>
        </w:rPr>
        <w:lastRenderedPageBreak/>
        <w:t>The Christmas season represents one of the most demanding periods for the hospitality industry, characterised by peak occupancy rates, increased customer expectations, and heightened operational pressure. Hotels, resorts, and restaurants must deliver consistent service quality despite workforce constraints, time pressure, and increased service complexity. This study examines how hospitality organisations maintain quality assurance and service excellence during the Christmas season, with particular focus on staff training, quality control systems, and customer feedback mechanisms.</w:t>
      </w:r>
    </w:p>
    <w:p w14:paraId="0A6633FC" w14:textId="77777777" w:rsidR="00C65F2E" w:rsidRPr="00C65F2E" w:rsidRDefault="00C65F2E" w:rsidP="00C65F2E">
      <w:pPr>
        <w:spacing w:line="360" w:lineRule="auto"/>
        <w:rPr>
          <w:rFonts w:ascii="Times New Roman" w:hAnsi="Times New Roman" w:cs="Times New Roman"/>
          <w:color w:val="000000" w:themeColor="text1"/>
          <w:szCs w:val="24"/>
        </w:rPr>
      </w:pPr>
      <w:r w:rsidRPr="00C65F2E">
        <w:rPr>
          <w:rFonts w:ascii="Times New Roman" w:hAnsi="Times New Roman" w:cs="Times New Roman"/>
          <w:color w:val="000000" w:themeColor="text1"/>
          <w:szCs w:val="24"/>
        </w:rPr>
        <w:t>Using a qualitative secondary research approach, this study synthesises academic literature and industry insights to explore strategies employed by hospitality businesses to manage service quality during periods of peak demand. The analysis highlights that structured training programmes, standardised service procedures, and continuous quality monitoring systems play a critical role in sustaining service excellence during Christmas. In addition, customer feedback mechanisms such as online reviews, surveys, and real-time service recovery systems enable hospitality firms to identify service gaps and implement corrective actions promptly.</w:t>
      </w:r>
    </w:p>
    <w:p w14:paraId="0DE50106" w14:textId="77777777" w:rsidR="00C65F2E" w:rsidRPr="00C65F2E" w:rsidRDefault="00C65F2E" w:rsidP="00C65F2E">
      <w:pPr>
        <w:spacing w:line="360" w:lineRule="auto"/>
        <w:rPr>
          <w:rFonts w:ascii="Times New Roman" w:hAnsi="Times New Roman" w:cs="Times New Roman"/>
          <w:color w:val="000000" w:themeColor="text1"/>
          <w:szCs w:val="24"/>
        </w:rPr>
      </w:pPr>
      <w:r w:rsidRPr="00C65F2E">
        <w:rPr>
          <w:rFonts w:ascii="Times New Roman" w:hAnsi="Times New Roman" w:cs="Times New Roman"/>
          <w:color w:val="000000" w:themeColor="text1"/>
          <w:szCs w:val="24"/>
        </w:rPr>
        <w:t>The findings suggest that service excellence during the Christmas season is not solely dependent on operational efficiency but also on employee engagement, organisational culture, and responsiveness to customer needs. By integrating quality assurance frameworks with customer-centric practices, hospitality organisations can enhance guest satisfaction, protect brand reputation, and foster long-term loyalty. This study contributes to hospitality management literature by offering insights into managing service quality under peak-season pressures and provides practical implications for hospitality managers seeking to achieve service excellence during the festive period</w:t>
      </w:r>
    </w:p>
    <w:p w14:paraId="306FF8BA" w14:textId="77777777" w:rsidR="00645360" w:rsidRDefault="00645360" w:rsidP="00B02D87">
      <w:pPr>
        <w:spacing w:line="360" w:lineRule="auto"/>
        <w:rPr>
          <w:rFonts w:ascii="Times New Roman" w:hAnsi="Times New Roman" w:cs="Times New Roman"/>
          <w:color w:val="000000" w:themeColor="text1"/>
          <w:szCs w:val="24"/>
        </w:rPr>
      </w:pPr>
    </w:p>
    <w:p w14:paraId="1D516302" w14:textId="77777777" w:rsidR="00C65F2E" w:rsidRDefault="00C65F2E" w:rsidP="00B02D87">
      <w:pPr>
        <w:spacing w:line="360" w:lineRule="auto"/>
        <w:rPr>
          <w:rFonts w:ascii="Times New Roman" w:hAnsi="Times New Roman" w:cs="Times New Roman"/>
          <w:color w:val="000000" w:themeColor="text1"/>
          <w:szCs w:val="24"/>
        </w:rPr>
      </w:pPr>
    </w:p>
    <w:p w14:paraId="3AB3851B" w14:textId="77777777" w:rsidR="00645360" w:rsidRDefault="00645360" w:rsidP="00B02D87">
      <w:pPr>
        <w:spacing w:line="360" w:lineRule="auto"/>
        <w:rPr>
          <w:rFonts w:ascii="Times New Roman" w:hAnsi="Times New Roman" w:cs="Times New Roman"/>
          <w:color w:val="000000" w:themeColor="text1"/>
          <w:szCs w:val="24"/>
        </w:rPr>
      </w:pPr>
    </w:p>
    <w:p w14:paraId="4E14E859" w14:textId="77777777" w:rsidR="00645360" w:rsidRDefault="00645360" w:rsidP="00B02D87">
      <w:pPr>
        <w:spacing w:line="360" w:lineRule="auto"/>
        <w:rPr>
          <w:rFonts w:ascii="Times New Roman" w:hAnsi="Times New Roman" w:cs="Times New Roman"/>
          <w:color w:val="000000" w:themeColor="text1"/>
          <w:szCs w:val="24"/>
        </w:rPr>
      </w:pPr>
    </w:p>
    <w:p w14:paraId="2A6678CF" w14:textId="77777777" w:rsidR="00645360" w:rsidRPr="00345836" w:rsidRDefault="00645360" w:rsidP="00B02D87">
      <w:pPr>
        <w:spacing w:line="36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noProof/>
        </w:rPr>
      </w:sdtEndPr>
      <w:sdtContent>
        <w:p w14:paraId="3C74B5CB" w14:textId="457DDA59" w:rsidR="004D7D13" w:rsidRPr="00345836" w:rsidRDefault="004D7D13" w:rsidP="00B02D87">
          <w:pPr>
            <w:spacing w:line="360" w:lineRule="auto"/>
            <w:rPr>
              <w:rFonts w:ascii="Times New Roman" w:hAnsi="Times New Roman" w:cs="Times New Roman"/>
              <w:b/>
              <w:bCs/>
              <w:color w:val="000000" w:themeColor="text1"/>
              <w:szCs w:val="24"/>
            </w:rPr>
          </w:pPr>
          <w:r w:rsidRPr="00345836">
            <w:rPr>
              <w:rFonts w:ascii="Times New Roman" w:hAnsi="Times New Roman" w:cs="Times New Roman"/>
              <w:b/>
              <w:bCs/>
              <w:color w:val="000000" w:themeColor="text1"/>
              <w:szCs w:val="24"/>
            </w:rPr>
            <w:t>Contents</w:t>
          </w:r>
        </w:p>
        <w:p w14:paraId="1DFDE9E3" w14:textId="3C653531" w:rsidR="00496E55" w:rsidRPr="00345836" w:rsidRDefault="004D7D13"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r w:rsidRPr="00345836">
            <w:rPr>
              <w:rFonts w:ascii="Times New Roman" w:hAnsi="Times New Roman"/>
              <w:color w:val="000000" w:themeColor="text1"/>
              <w:sz w:val="24"/>
              <w:szCs w:val="24"/>
            </w:rPr>
            <w:lastRenderedPageBreak/>
            <w:fldChar w:fldCharType="begin"/>
          </w:r>
          <w:r w:rsidRPr="00345836">
            <w:rPr>
              <w:rFonts w:ascii="Times New Roman" w:hAnsi="Times New Roman"/>
              <w:color w:val="000000" w:themeColor="text1"/>
              <w:sz w:val="24"/>
              <w:szCs w:val="24"/>
            </w:rPr>
            <w:instrText xml:space="preserve"> TOC \o "1-3" \h \z \u </w:instrText>
          </w:r>
          <w:r w:rsidRPr="00345836">
            <w:rPr>
              <w:rFonts w:ascii="Times New Roman" w:hAnsi="Times New Roman"/>
              <w:color w:val="000000" w:themeColor="text1"/>
              <w:sz w:val="24"/>
              <w:szCs w:val="24"/>
            </w:rPr>
            <w:fldChar w:fldCharType="separate"/>
          </w:r>
          <w:hyperlink w:anchor="_Toc216766358" w:history="1">
            <w:r w:rsidR="00496E55" w:rsidRPr="00345836">
              <w:rPr>
                <w:rStyle w:val="Hyperlink"/>
                <w:rFonts w:ascii="Times New Roman" w:hAnsi="Times New Roman"/>
                <w:noProof/>
                <w:sz w:val="24"/>
                <w:szCs w:val="24"/>
              </w:rPr>
              <w:t>Abstract</w:t>
            </w:r>
            <w:r w:rsidR="00496E55" w:rsidRPr="00345836">
              <w:rPr>
                <w:rFonts w:ascii="Times New Roman" w:hAnsi="Times New Roman"/>
                <w:noProof/>
                <w:webHidden/>
                <w:sz w:val="24"/>
                <w:szCs w:val="24"/>
              </w:rPr>
              <w:tab/>
            </w:r>
            <w:r w:rsidR="00496E55" w:rsidRPr="00345836">
              <w:rPr>
                <w:rFonts w:ascii="Times New Roman" w:hAnsi="Times New Roman"/>
                <w:noProof/>
                <w:webHidden/>
                <w:sz w:val="24"/>
                <w:szCs w:val="24"/>
              </w:rPr>
              <w:fldChar w:fldCharType="begin"/>
            </w:r>
            <w:r w:rsidR="00496E55" w:rsidRPr="00345836">
              <w:rPr>
                <w:rFonts w:ascii="Times New Roman" w:hAnsi="Times New Roman"/>
                <w:noProof/>
                <w:webHidden/>
                <w:sz w:val="24"/>
                <w:szCs w:val="24"/>
              </w:rPr>
              <w:instrText xml:space="preserve"> PAGEREF _Toc216766358 \h </w:instrText>
            </w:r>
            <w:r w:rsidR="00496E55" w:rsidRPr="00345836">
              <w:rPr>
                <w:rFonts w:ascii="Times New Roman" w:hAnsi="Times New Roman"/>
                <w:noProof/>
                <w:webHidden/>
                <w:sz w:val="24"/>
                <w:szCs w:val="24"/>
              </w:rPr>
            </w:r>
            <w:r w:rsidR="00496E55" w:rsidRPr="00345836">
              <w:rPr>
                <w:rFonts w:ascii="Times New Roman" w:hAnsi="Times New Roman"/>
                <w:noProof/>
                <w:webHidden/>
                <w:sz w:val="24"/>
                <w:szCs w:val="24"/>
              </w:rPr>
              <w:fldChar w:fldCharType="separate"/>
            </w:r>
            <w:r w:rsidR="00496E55" w:rsidRPr="00345836">
              <w:rPr>
                <w:rFonts w:ascii="Times New Roman" w:hAnsi="Times New Roman"/>
                <w:noProof/>
                <w:webHidden/>
                <w:sz w:val="24"/>
                <w:szCs w:val="24"/>
              </w:rPr>
              <w:t>2</w:t>
            </w:r>
            <w:r w:rsidR="00496E55" w:rsidRPr="00345836">
              <w:rPr>
                <w:rFonts w:ascii="Times New Roman" w:hAnsi="Times New Roman"/>
                <w:noProof/>
                <w:webHidden/>
                <w:sz w:val="24"/>
                <w:szCs w:val="24"/>
              </w:rPr>
              <w:fldChar w:fldCharType="end"/>
            </w:r>
          </w:hyperlink>
        </w:p>
        <w:p w14:paraId="31027465" w14:textId="1D592646"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59" w:history="1">
            <w:r w:rsidRPr="00345836">
              <w:rPr>
                <w:rStyle w:val="Hyperlink"/>
                <w:rFonts w:ascii="Times New Roman" w:hAnsi="Times New Roman"/>
                <w:noProof/>
                <w:sz w:val="24"/>
                <w:szCs w:val="24"/>
              </w:rPr>
              <w:t>1.Introduction</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_Toc216766359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4</w:t>
            </w:r>
            <w:r w:rsidRPr="00345836">
              <w:rPr>
                <w:rFonts w:ascii="Times New Roman" w:hAnsi="Times New Roman"/>
                <w:noProof/>
                <w:webHidden/>
                <w:sz w:val="24"/>
                <w:szCs w:val="24"/>
              </w:rPr>
              <w:fldChar w:fldCharType="end"/>
            </w:r>
          </w:hyperlink>
        </w:p>
        <w:p w14:paraId="463812BE" w14:textId="1A69D4B7"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0" w:history="1">
            <w:r w:rsidRPr="00345836">
              <w:rPr>
                <w:rStyle w:val="Hyperlink"/>
                <w:rFonts w:ascii="Times New Roman" w:hAnsi="Times New Roman"/>
                <w:noProof/>
                <w:sz w:val="24"/>
                <w:szCs w:val="24"/>
              </w:rPr>
              <w:t>2. Literature Review</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_Toc216766360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6</w:t>
            </w:r>
            <w:r w:rsidRPr="00345836">
              <w:rPr>
                <w:rFonts w:ascii="Times New Roman" w:hAnsi="Times New Roman"/>
                <w:noProof/>
                <w:webHidden/>
                <w:sz w:val="24"/>
                <w:szCs w:val="24"/>
              </w:rPr>
              <w:fldChar w:fldCharType="end"/>
            </w:r>
          </w:hyperlink>
        </w:p>
        <w:p w14:paraId="7033EADF" w14:textId="77D20FDA"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1" w:history="1">
            <w:r w:rsidRPr="00345836">
              <w:rPr>
                <w:rStyle w:val="Hyperlink"/>
                <w:rFonts w:ascii="Times New Roman" w:hAnsi="Times New Roman"/>
                <w:noProof/>
                <w:sz w:val="24"/>
                <w:szCs w:val="24"/>
              </w:rPr>
              <w:t>3 Methodology</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_Toc216766361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11</w:t>
            </w:r>
            <w:r w:rsidRPr="00345836">
              <w:rPr>
                <w:rFonts w:ascii="Times New Roman" w:hAnsi="Times New Roman"/>
                <w:noProof/>
                <w:webHidden/>
                <w:sz w:val="24"/>
                <w:szCs w:val="24"/>
              </w:rPr>
              <w:fldChar w:fldCharType="end"/>
            </w:r>
          </w:hyperlink>
        </w:p>
        <w:p w14:paraId="12C663C7" w14:textId="19A07D0D"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2" w:history="1">
            <w:r w:rsidRPr="00345836">
              <w:rPr>
                <w:rStyle w:val="Hyperlink"/>
                <w:rFonts w:ascii="Times New Roman" w:hAnsi="Times New Roman"/>
                <w:noProof/>
                <w:sz w:val="24"/>
                <w:szCs w:val="24"/>
              </w:rPr>
              <w:t>4 Finding</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_Toc216766362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13</w:t>
            </w:r>
            <w:r w:rsidRPr="00345836">
              <w:rPr>
                <w:rFonts w:ascii="Times New Roman" w:hAnsi="Times New Roman"/>
                <w:noProof/>
                <w:webHidden/>
                <w:sz w:val="24"/>
                <w:szCs w:val="24"/>
              </w:rPr>
              <w:fldChar w:fldCharType="end"/>
            </w:r>
          </w:hyperlink>
        </w:p>
        <w:p w14:paraId="5FEE7905" w14:textId="7D49E72F"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3" w:history="1">
            <w:r w:rsidRPr="00345836">
              <w:rPr>
                <w:rStyle w:val="Hyperlink"/>
                <w:rFonts w:ascii="Times New Roman" w:hAnsi="Times New Roman"/>
                <w:noProof/>
                <w:sz w:val="24"/>
                <w:szCs w:val="24"/>
              </w:rPr>
              <w:t>5. Discussion</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_Toc216766363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17</w:t>
            </w:r>
            <w:r w:rsidRPr="00345836">
              <w:rPr>
                <w:rFonts w:ascii="Times New Roman" w:hAnsi="Times New Roman"/>
                <w:noProof/>
                <w:webHidden/>
                <w:sz w:val="24"/>
                <w:szCs w:val="24"/>
              </w:rPr>
              <w:fldChar w:fldCharType="end"/>
            </w:r>
          </w:hyperlink>
        </w:p>
        <w:p w14:paraId="206C4605" w14:textId="722A16A1" w:rsidR="00496E55" w:rsidRPr="00345836" w:rsidRDefault="00AA1294"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5" w:history="1">
            <w:r>
              <w:rPr>
                <w:rStyle w:val="Hyperlink"/>
                <w:rFonts w:ascii="Times New Roman" w:hAnsi="Times New Roman"/>
                <w:noProof/>
                <w:sz w:val="24"/>
                <w:szCs w:val="24"/>
              </w:rPr>
              <w:t>6</w:t>
            </w:r>
            <w:r w:rsidR="00496E55" w:rsidRPr="00345836">
              <w:rPr>
                <w:rStyle w:val="Hyperlink"/>
                <w:rFonts w:ascii="Times New Roman" w:hAnsi="Times New Roman"/>
                <w:noProof/>
                <w:sz w:val="24"/>
                <w:szCs w:val="24"/>
              </w:rPr>
              <w:t>. Conclusion</w:t>
            </w:r>
            <w:r w:rsidR="00496E55" w:rsidRPr="00345836">
              <w:rPr>
                <w:rFonts w:ascii="Times New Roman" w:hAnsi="Times New Roman"/>
                <w:noProof/>
                <w:webHidden/>
                <w:sz w:val="24"/>
                <w:szCs w:val="24"/>
              </w:rPr>
              <w:tab/>
            </w:r>
            <w:r w:rsidR="00496E55" w:rsidRPr="00345836">
              <w:rPr>
                <w:rFonts w:ascii="Times New Roman" w:hAnsi="Times New Roman"/>
                <w:noProof/>
                <w:webHidden/>
                <w:sz w:val="24"/>
                <w:szCs w:val="24"/>
              </w:rPr>
              <w:fldChar w:fldCharType="begin"/>
            </w:r>
            <w:r w:rsidR="00496E55" w:rsidRPr="00345836">
              <w:rPr>
                <w:rFonts w:ascii="Times New Roman" w:hAnsi="Times New Roman"/>
                <w:noProof/>
                <w:webHidden/>
                <w:sz w:val="24"/>
                <w:szCs w:val="24"/>
              </w:rPr>
              <w:instrText xml:space="preserve"> PAGEREF _Toc216766365 \h </w:instrText>
            </w:r>
            <w:r w:rsidR="00496E55" w:rsidRPr="00345836">
              <w:rPr>
                <w:rFonts w:ascii="Times New Roman" w:hAnsi="Times New Roman"/>
                <w:noProof/>
                <w:webHidden/>
                <w:sz w:val="24"/>
                <w:szCs w:val="24"/>
              </w:rPr>
            </w:r>
            <w:r w:rsidR="00496E55" w:rsidRPr="00345836">
              <w:rPr>
                <w:rFonts w:ascii="Times New Roman" w:hAnsi="Times New Roman"/>
                <w:noProof/>
                <w:webHidden/>
                <w:sz w:val="24"/>
                <w:szCs w:val="24"/>
              </w:rPr>
              <w:fldChar w:fldCharType="separate"/>
            </w:r>
            <w:r w:rsidR="00496E55" w:rsidRPr="00345836">
              <w:rPr>
                <w:rFonts w:ascii="Times New Roman" w:hAnsi="Times New Roman"/>
                <w:noProof/>
                <w:webHidden/>
                <w:sz w:val="24"/>
                <w:szCs w:val="24"/>
              </w:rPr>
              <w:t>22</w:t>
            </w:r>
            <w:r w:rsidR="00496E55" w:rsidRPr="00345836">
              <w:rPr>
                <w:rFonts w:ascii="Times New Roman" w:hAnsi="Times New Roman"/>
                <w:noProof/>
                <w:webHidden/>
                <w:sz w:val="24"/>
                <w:szCs w:val="24"/>
              </w:rPr>
              <w:fldChar w:fldCharType="end"/>
            </w:r>
          </w:hyperlink>
        </w:p>
        <w:p w14:paraId="74C6E94E" w14:textId="756ED05D"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6" w:history="1">
            <w:r w:rsidRPr="00345836">
              <w:rPr>
                <w:rStyle w:val="Hyperlink"/>
                <w:rFonts w:ascii="Times New Roman" w:hAnsi="Times New Roman"/>
                <w:noProof/>
                <w:sz w:val="24"/>
                <w:szCs w:val="24"/>
              </w:rPr>
              <w:t>Reference List</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_Toc216766366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24</w:t>
            </w:r>
            <w:r w:rsidRPr="00345836">
              <w:rPr>
                <w:rFonts w:ascii="Times New Roman" w:hAnsi="Times New Roman"/>
                <w:noProof/>
                <w:webHidden/>
                <w:sz w:val="24"/>
                <w:szCs w:val="24"/>
              </w:rPr>
              <w:fldChar w:fldCharType="end"/>
            </w:r>
          </w:hyperlink>
        </w:p>
        <w:p w14:paraId="646EF9D8" w14:textId="0DF15E15" w:rsidR="004D7D13" w:rsidRPr="00345836" w:rsidRDefault="004D7D13" w:rsidP="00B02D87">
          <w:pPr>
            <w:spacing w:line="360" w:lineRule="auto"/>
            <w:rPr>
              <w:rFonts w:ascii="Times New Roman" w:hAnsi="Times New Roman" w:cs="Times New Roman"/>
              <w:color w:val="000000" w:themeColor="text1"/>
              <w:szCs w:val="24"/>
            </w:rPr>
          </w:pPr>
          <w:r w:rsidRPr="00345836">
            <w:rPr>
              <w:rFonts w:ascii="Times New Roman" w:hAnsi="Times New Roman" w:cs="Times New Roman"/>
              <w:noProof/>
              <w:color w:val="000000" w:themeColor="text1"/>
              <w:szCs w:val="24"/>
            </w:rPr>
            <w:fldChar w:fldCharType="end"/>
          </w:r>
        </w:p>
      </w:sdtContent>
    </w:sdt>
    <w:p w14:paraId="1EDA022C" w14:textId="77777777" w:rsidR="004D7D13" w:rsidRPr="00345836" w:rsidRDefault="004D7D13" w:rsidP="00B02D87">
      <w:pPr>
        <w:spacing w:line="360" w:lineRule="auto"/>
        <w:rPr>
          <w:rFonts w:ascii="Times New Roman" w:hAnsi="Times New Roman" w:cs="Times New Roman"/>
          <w:color w:val="000000" w:themeColor="text1"/>
          <w:szCs w:val="24"/>
        </w:rPr>
      </w:pPr>
    </w:p>
    <w:p w14:paraId="19B15F5F" w14:textId="77777777" w:rsidR="0095171B" w:rsidRPr="00345836" w:rsidRDefault="0095171B" w:rsidP="00B02D87">
      <w:pPr>
        <w:spacing w:line="360" w:lineRule="auto"/>
        <w:rPr>
          <w:rFonts w:ascii="Times New Roman" w:hAnsi="Times New Roman" w:cs="Times New Roman"/>
          <w:color w:val="000000" w:themeColor="text1"/>
          <w:szCs w:val="24"/>
        </w:rPr>
      </w:pPr>
    </w:p>
    <w:p w14:paraId="73636B03" w14:textId="77777777" w:rsidR="0095171B" w:rsidRPr="00345836" w:rsidRDefault="0095171B" w:rsidP="00B02D87">
      <w:pPr>
        <w:spacing w:line="360" w:lineRule="auto"/>
        <w:rPr>
          <w:rFonts w:ascii="Times New Roman" w:hAnsi="Times New Roman" w:cs="Times New Roman"/>
          <w:color w:val="000000" w:themeColor="text1"/>
          <w:szCs w:val="24"/>
        </w:rPr>
      </w:pPr>
      <w:r w:rsidRPr="00345836">
        <w:rPr>
          <w:rFonts w:ascii="Times New Roman" w:hAnsi="Times New Roman" w:cs="Times New Roman"/>
          <w:color w:val="000000" w:themeColor="text1"/>
          <w:szCs w:val="24"/>
        </w:rPr>
        <w:br w:type="page"/>
      </w:r>
    </w:p>
    <w:p w14:paraId="6481512E" w14:textId="072866A3" w:rsidR="0086710E" w:rsidRPr="00345836" w:rsidRDefault="002B0CE3" w:rsidP="00B02D87">
      <w:pPr>
        <w:spacing w:line="360" w:lineRule="auto"/>
        <w:rPr>
          <w:rFonts w:ascii="Times New Roman" w:hAnsi="Times New Roman" w:cs="Times New Roman"/>
          <w:b/>
          <w:bCs/>
          <w:color w:val="000000" w:themeColor="text1"/>
          <w:szCs w:val="24"/>
        </w:rPr>
      </w:pPr>
      <w:bookmarkStart w:id="1" w:name="_Toc216766359"/>
      <w:r w:rsidRPr="00345836">
        <w:rPr>
          <w:rStyle w:val="Heading1Char"/>
          <w:rFonts w:ascii="Times New Roman" w:hAnsi="Times New Roman" w:cs="Times New Roman"/>
          <w:b/>
          <w:bCs/>
          <w:color w:val="000000" w:themeColor="text1"/>
          <w:sz w:val="24"/>
          <w:szCs w:val="24"/>
        </w:rPr>
        <w:lastRenderedPageBreak/>
        <w:t>1</w:t>
      </w:r>
      <w:r w:rsidR="004D7D13" w:rsidRPr="00345836">
        <w:rPr>
          <w:rStyle w:val="Heading1Char"/>
          <w:rFonts w:ascii="Times New Roman" w:hAnsi="Times New Roman" w:cs="Times New Roman"/>
          <w:b/>
          <w:bCs/>
          <w:color w:val="000000" w:themeColor="text1"/>
          <w:sz w:val="24"/>
          <w:szCs w:val="24"/>
        </w:rPr>
        <w:t>.</w:t>
      </w:r>
      <w:r w:rsidR="0095171B" w:rsidRPr="00345836">
        <w:rPr>
          <w:rStyle w:val="Heading1Char"/>
          <w:rFonts w:ascii="Times New Roman" w:hAnsi="Times New Roman" w:cs="Times New Roman"/>
          <w:b/>
          <w:bCs/>
          <w:color w:val="000000" w:themeColor="text1"/>
          <w:sz w:val="24"/>
          <w:szCs w:val="24"/>
        </w:rPr>
        <w:t>Introduction</w:t>
      </w:r>
      <w:bookmarkEnd w:id="1"/>
      <w:r w:rsidR="0095171B" w:rsidRPr="00345836">
        <w:rPr>
          <w:rStyle w:val="Heading1Char"/>
          <w:rFonts w:ascii="Times New Roman" w:hAnsi="Times New Roman" w:cs="Times New Roman"/>
          <w:b/>
          <w:bCs/>
          <w:color w:val="000000" w:themeColor="text1"/>
          <w:sz w:val="24"/>
          <w:szCs w:val="24"/>
        </w:rPr>
        <w:t xml:space="preserve"> </w:t>
      </w:r>
    </w:p>
    <w:p w14:paraId="332B22FE" w14:textId="77777777" w:rsidR="00C65F2E" w:rsidRPr="00C65F2E" w:rsidRDefault="00C65F2E" w:rsidP="00C65F2E">
      <w:pPr>
        <w:spacing w:line="360" w:lineRule="auto"/>
        <w:rPr>
          <w:rFonts w:ascii="Times New Roman" w:hAnsi="Times New Roman" w:cs="Times New Roman"/>
          <w:color w:val="000000" w:themeColor="text1"/>
          <w:szCs w:val="24"/>
        </w:rPr>
      </w:pPr>
      <w:bookmarkStart w:id="2" w:name="_Toc216766360"/>
      <w:r w:rsidRPr="00C65F2E">
        <w:rPr>
          <w:rFonts w:ascii="Times New Roman" w:hAnsi="Times New Roman" w:cs="Times New Roman"/>
          <w:color w:val="000000" w:themeColor="text1"/>
          <w:szCs w:val="24"/>
        </w:rPr>
        <w:t>The Christmas season is widely regarded as the most commercially significant period for the hospitality industry, marked by increased travel activity, festive dining, and celebratory events. Hotels, resorts, and restaurants experience substantial surges in demand as consumers seek leisure experiences, family gatherings, and holiday celebrations. While this period presents lucrative revenue opportunities, it also introduces considerable challenges related to maintaining consistent service quality and operational excellence. Heightened customer expectations, staff shortages, and increased service complexity make quality assurance a critical managerial priority during the festive season.</w:t>
      </w:r>
    </w:p>
    <w:p w14:paraId="18EA3CEC" w14:textId="77777777" w:rsidR="00C65F2E" w:rsidRPr="00C65F2E" w:rsidRDefault="00C65F2E" w:rsidP="00C65F2E">
      <w:pPr>
        <w:spacing w:line="360" w:lineRule="auto"/>
        <w:rPr>
          <w:rFonts w:ascii="Times New Roman" w:hAnsi="Times New Roman" w:cs="Times New Roman"/>
          <w:color w:val="000000" w:themeColor="text1"/>
          <w:szCs w:val="24"/>
        </w:rPr>
      </w:pPr>
      <w:r w:rsidRPr="00C65F2E">
        <w:rPr>
          <w:rFonts w:ascii="Times New Roman" w:hAnsi="Times New Roman" w:cs="Times New Roman"/>
          <w:color w:val="000000" w:themeColor="text1"/>
          <w:szCs w:val="24"/>
        </w:rPr>
        <w:t>Service quality is a central determinant of customer satisfaction, loyalty, and brand reputation in the hospitality industry. Unlike tangible products, hospitality services are intangible, perishable, and highly dependent on human interaction. During peak periods such as Christmas, service delivery becomes more vulnerable to errors due to increased workload, time pressure, and variability in employee performance. Research suggests that service failures during high-demand periods have a disproportionately negative impact on customer perceptions and post-consumption evaluations, particularly when services are associated with emotionally significant occasions such as Christmas (Parasuraman et al., 1988).</w:t>
      </w:r>
    </w:p>
    <w:p w14:paraId="6D2FEA9F" w14:textId="77777777" w:rsidR="00C65F2E" w:rsidRPr="00C65F2E" w:rsidRDefault="00C65F2E" w:rsidP="00C65F2E">
      <w:pPr>
        <w:spacing w:line="360" w:lineRule="auto"/>
        <w:rPr>
          <w:rFonts w:ascii="Times New Roman" w:hAnsi="Times New Roman" w:cs="Times New Roman"/>
          <w:color w:val="000000" w:themeColor="text1"/>
          <w:szCs w:val="24"/>
        </w:rPr>
      </w:pPr>
      <w:r w:rsidRPr="00C65F2E">
        <w:rPr>
          <w:rFonts w:ascii="Times New Roman" w:hAnsi="Times New Roman" w:cs="Times New Roman"/>
          <w:color w:val="000000" w:themeColor="text1"/>
          <w:szCs w:val="24"/>
        </w:rPr>
        <w:t>Quality assurance in hospitality refers to the systematic processes and standards used to ensure consistent service delivery that meets or exceeds customer expectations. These processes include staff training, standard operating procedures, performance monitoring, and service audits. During the Christmas season, quality assurance systems must be flexible enough to accommodate fluctuating demand while maintaining consistency across service encounters. Effective quality assurance enables hospitality organisations to deliver reliable, responsive, and empathetic service even under peak pressure.</w:t>
      </w:r>
    </w:p>
    <w:p w14:paraId="6248BB23" w14:textId="77777777" w:rsidR="00C65F2E" w:rsidRPr="00C65F2E" w:rsidRDefault="00C65F2E" w:rsidP="00C65F2E">
      <w:pPr>
        <w:spacing w:line="360" w:lineRule="auto"/>
        <w:rPr>
          <w:rFonts w:ascii="Times New Roman" w:hAnsi="Times New Roman" w:cs="Times New Roman"/>
          <w:color w:val="000000" w:themeColor="text1"/>
          <w:szCs w:val="24"/>
        </w:rPr>
      </w:pPr>
      <w:r w:rsidRPr="00C65F2E">
        <w:rPr>
          <w:rFonts w:ascii="Times New Roman" w:hAnsi="Times New Roman" w:cs="Times New Roman"/>
          <w:color w:val="000000" w:themeColor="text1"/>
          <w:szCs w:val="24"/>
        </w:rPr>
        <w:t xml:space="preserve">Employee training is widely recognised as a foundational element of service excellence. During Christmas, hospitality organisations often rely on seasonal or temporary staff, increasing the risk of service inconsistency. Training programmes focused on service standards, customer interaction, and service recovery are essential for equipping employees with the skills and confidence needed to perform effectively during busy periods. Moreover, empowered and </w:t>
      </w:r>
      <w:r w:rsidRPr="00C65F2E">
        <w:rPr>
          <w:rFonts w:ascii="Times New Roman" w:hAnsi="Times New Roman" w:cs="Times New Roman"/>
          <w:color w:val="000000" w:themeColor="text1"/>
          <w:szCs w:val="24"/>
        </w:rPr>
        <w:lastRenderedPageBreak/>
        <w:t>motivated employees are more likely to deliver personalised and emotionally engaging service, which is particularly valued during festive occasions.</w:t>
      </w:r>
    </w:p>
    <w:p w14:paraId="1B4024C7" w14:textId="77777777" w:rsidR="00C65F2E" w:rsidRPr="00C65F2E" w:rsidRDefault="00C65F2E" w:rsidP="00C65F2E">
      <w:pPr>
        <w:spacing w:line="360" w:lineRule="auto"/>
        <w:rPr>
          <w:rFonts w:ascii="Times New Roman" w:hAnsi="Times New Roman" w:cs="Times New Roman"/>
          <w:color w:val="000000" w:themeColor="text1"/>
          <w:szCs w:val="24"/>
        </w:rPr>
      </w:pPr>
      <w:r w:rsidRPr="00C65F2E">
        <w:rPr>
          <w:rFonts w:ascii="Times New Roman" w:hAnsi="Times New Roman" w:cs="Times New Roman"/>
          <w:color w:val="000000" w:themeColor="text1"/>
          <w:szCs w:val="24"/>
        </w:rPr>
        <w:t>Quality control systems and customer feedback mechanisms further support service excellence during peak seasons. Tools such as service quality audits, mystery shopping, guest satisfaction surveys, and online review monitoring provide valuable insights into service performance. Real-time feedback allows managers to identify service gaps quickly and implement corrective actions before negative experiences escalate. In the digital era, online reviews and social media feedback have become especially influential, amplifying the consequences of service failures during Christmas.</w:t>
      </w:r>
    </w:p>
    <w:p w14:paraId="06CFB1D3" w14:textId="77777777" w:rsidR="00C65F2E" w:rsidRPr="00C65F2E" w:rsidRDefault="00C65F2E" w:rsidP="00C65F2E">
      <w:pPr>
        <w:spacing w:line="360" w:lineRule="auto"/>
        <w:rPr>
          <w:rFonts w:ascii="Times New Roman" w:hAnsi="Times New Roman" w:cs="Times New Roman"/>
          <w:color w:val="000000" w:themeColor="text1"/>
          <w:szCs w:val="24"/>
        </w:rPr>
      </w:pPr>
      <w:r w:rsidRPr="00C65F2E">
        <w:rPr>
          <w:rFonts w:ascii="Times New Roman" w:hAnsi="Times New Roman" w:cs="Times New Roman"/>
          <w:color w:val="000000" w:themeColor="text1"/>
          <w:szCs w:val="24"/>
        </w:rPr>
        <w:t>The purpose of this report is to investigate how hotels, resorts, and restaurants maintain high-quality service standards during the Christmas season and to examine the role of staff training, quality control systems, and customer feedback mechanisms in ensuring service excellence during periods of peak demand. By analysing academic research and industry practices, this study aims to provide a comprehensive understanding of quality assurance strategies in festive hospitality operations and their implications for customer satisfaction and long-term business performance.</w:t>
      </w:r>
    </w:p>
    <w:p w14:paraId="486CE9FF" w14:textId="77777777" w:rsidR="00E1266E" w:rsidRDefault="00E1266E" w:rsidP="00B02D87">
      <w:pPr>
        <w:spacing w:line="360" w:lineRule="auto"/>
        <w:rPr>
          <w:rStyle w:val="Heading1Char"/>
          <w:rFonts w:ascii="Times New Roman" w:hAnsi="Times New Roman" w:cs="Times New Roman"/>
          <w:b/>
          <w:bCs/>
          <w:color w:val="000000" w:themeColor="text1"/>
          <w:sz w:val="24"/>
          <w:szCs w:val="24"/>
        </w:rPr>
      </w:pPr>
    </w:p>
    <w:p w14:paraId="6265A782"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2BC643FC"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3819EC3A"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6871262D"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40D1ACA4"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08BF13B9"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13758310"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72FFDBA8"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2CB964D3" w14:textId="77777777" w:rsidR="00E1266E" w:rsidRPr="00345836" w:rsidRDefault="00E1266E" w:rsidP="00B02D87">
      <w:pPr>
        <w:spacing w:line="360" w:lineRule="auto"/>
        <w:rPr>
          <w:rStyle w:val="Heading1Char"/>
          <w:rFonts w:ascii="Times New Roman" w:hAnsi="Times New Roman" w:cs="Times New Roman"/>
          <w:b/>
          <w:bCs/>
          <w:color w:val="000000" w:themeColor="text1"/>
          <w:sz w:val="24"/>
          <w:szCs w:val="24"/>
        </w:rPr>
      </w:pPr>
    </w:p>
    <w:p w14:paraId="0817F0B0" w14:textId="77777777" w:rsidR="00531D00" w:rsidRPr="00531D00" w:rsidRDefault="002B0CE3" w:rsidP="00531D00">
      <w:pPr>
        <w:spacing w:line="360" w:lineRule="auto"/>
        <w:rPr>
          <w:rFonts w:cs="Times New Roman"/>
          <w:color w:val="000000" w:themeColor="text1"/>
          <w:szCs w:val="24"/>
        </w:rPr>
      </w:pPr>
      <w:r w:rsidRPr="00345836">
        <w:rPr>
          <w:rStyle w:val="Heading1Char"/>
          <w:rFonts w:ascii="Times New Roman" w:hAnsi="Times New Roman" w:cs="Times New Roman"/>
          <w:b/>
          <w:bCs/>
          <w:color w:val="000000" w:themeColor="text1"/>
          <w:sz w:val="24"/>
          <w:szCs w:val="24"/>
        </w:rPr>
        <w:lastRenderedPageBreak/>
        <w:t>2</w:t>
      </w:r>
      <w:r w:rsidR="0095171B" w:rsidRPr="00345836">
        <w:rPr>
          <w:rStyle w:val="Heading1Char"/>
          <w:rFonts w:ascii="Times New Roman" w:hAnsi="Times New Roman" w:cs="Times New Roman"/>
          <w:b/>
          <w:bCs/>
          <w:color w:val="000000" w:themeColor="text1"/>
          <w:sz w:val="24"/>
          <w:szCs w:val="24"/>
        </w:rPr>
        <w:t>. Literature Review</w:t>
      </w:r>
      <w:bookmarkEnd w:id="2"/>
      <w:r w:rsidR="0095171B" w:rsidRPr="00345836">
        <w:rPr>
          <w:rFonts w:ascii="Times New Roman" w:hAnsi="Times New Roman" w:cs="Times New Roman"/>
          <w:color w:val="000000" w:themeColor="text1"/>
          <w:szCs w:val="24"/>
        </w:rPr>
        <w:t xml:space="preserve"> </w:t>
      </w:r>
      <w:r w:rsidR="0095171B" w:rsidRPr="00345836">
        <w:rPr>
          <w:rFonts w:ascii="Times New Roman" w:hAnsi="Times New Roman" w:cs="Times New Roman"/>
          <w:color w:val="000000" w:themeColor="text1"/>
          <w:szCs w:val="24"/>
        </w:rPr>
        <w:br/>
      </w:r>
      <w:bookmarkStart w:id="3" w:name="_Toc216766362"/>
      <w:r w:rsidR="00531D00" w:rsidRPr="00531D00">
        <w:rPr>
          <w:rFonts w:cs="Times New Roman"/>
          <w:b/>
          <w:bCs/>
          <w:color w:val="000000" w:themeColor="text1"/>
          <w:szCs w:val="24"/>
        </w:rPr>
        <w:t>Quality Assurance and Service Excellence in Hospitality During the Christmas Season</w:t>
      </w:r>
    </w:p>
    <w:p w14:paraId="19795057"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The hospitality industry’s dependence on human interaction and experiential value makes quality assurance and service excellence enduring themes in academic research. These themes become especially critical during peak periods such as the Christmas season, when demand surges, service encounters multiply, and customer expectations intensify. The literature consistently shows that maintaining service quality under peak pressure requires systematic planning, robust quality management systems, and a strong service culture rather than ad hoc problem-solving.</w:t>
      </w:r>
    </w:p>
    <w:p w14:paraId="5E0BE4DF" w14:textId="77777777" w:rsidR="00531D00" w:rsidRPr="00531D00" w:rsidRDefault="00531D00" w:rsidP="00531D00">
      <w:pPr>
        <w:spacing w:line="360" w:lineRule="auto"/>
        <w:rPr>
          <w:rFonts w:ascii="Times New Roman" w:hAnsi="Times New Roman" w:cs="Times New Roman"/>
          <w:b/>
          <w:bCs/>
          <w:color w:val="000000" w:themeColor="text1"/>
          <w:szCs w:val="24"/>
        </w:rPr>
      </w:pPr>
      <w:r w:rsidRPr="00531D00">
        <w:rPr>
          <w:rFonts w:ascii="Times New Roman" w:hAnsi="Times New Roman" w:cs="Times New Roman"/>
          <w:b/>
          <w:bCs/>
          <w:color w:val="000000" w:themeColor="text1"/>
          <w:szCs w:val="24"/>
        </w:rPr>
        <w:t>Service Quality Foundations in Hospitality</w:t>
      </w:r>
    </w:p>
    <w:p w14:paraId="0958173E"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Service quality is commonly defined as the comparison between customer expectations and perceived service performance. The SERVQUAL framework conceptualises service quality across dimensions of reliability, responsiveness, assurance, empathy, and tangibles, all of which are particularly salient during festive periods. Research indicates that during Christmas, expectations rise not only for efficiency but also for emotional warmth, personalised attention, and festive ambience. Failure to meet these elevated expectations can result in disproportionate dissatisfaction, as festive consumption is emotionally laden and socially visible.</w:t>
      </w:r>
    </w:p>
    <w:p w14:paraId="1380679D"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Beyond SERVQUAL, service-dominant logic emphasises co-creation of value through interactions between employees and guests. During Christmas, guests actively participate in shaping their experiences through preferences, feedback, and social interactions, placing additional pressure on frontline staff to adapt service delivery in real time. Studies suggest that service excellence in such contexts depends on the alignment of processes, people, and organisational culture.</w:t>
      </w:r>
    </w:p>
    <w:p w14:paraId="4013AD74" w14:textId="77777777" w:rsidR="00531D00" w:rsidRPr="00531D00" w:rsidRDefault="00531D00" w:rsidP="00531D00">
      <w:pPr>
        <w:spacing w:line="360" w:lineRule="auto"/>
        <w:rPr>
          <w:rFonts w:ascii="Times New Roman" w:hAnsi="Times New Roman" w:cs="Times New Roman"/>
          <w:b/>
          <w:bCs/>
          <w:color w:val="000000" w:themeColor="text1"/>
          <w:szCs w:val="24"/>
        </w:rPr>
      </w:pPr>
      <w:r w:rsidRPr="00531D00">
        <w:rPr>
          <w:rFonts w:ascii="Times New Roman" w:hAnsi="Times New Roman" w:cs="Times New Roman"/>
          <w:b/>
          <w:bCs/>
          <w:color w:val="000000" w:themeColor="text1"/>
          <w:szCs w:val="24"/>
        </w:rPr>
        <w:t>Peak-Demand Context and Operational Stress</w:t>
      </w:r>
    </w:p>
    <w:p w14:paraId="4DF2168D"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Peak demand periods introduce operational stressors that threaten service consistency. High occupancy rates, rapid table turnover, extended operating hours, and event-based complexity increase the likelihood of service variability and errors. The literature notes that peak-season stress exacerbates capacity constraints, queueing problems, and coordination failures across departments. During Christmas, these stressors are intensified by seasonal events, special menus, group bookings, and reliance on temporary staff.</w:t>
      </w:r>
    </w:p>
    <w:p w14:paraId="5B581023"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lastRenderedPageBreak/>
        <w:t>Research in service operations management underscores the importance of capacity planning, demand forecasting, and process standardisation to manage peak loads. Organisations that anticipate seasonal demand and design scalable processes demonstrate greater resilience and service stability. Conversely, inadequate planning often leads to service bottlenecks and diminished guest satisfaction.</w:t>
      </w:r>
    </w:p>
    <w:p w14:paraId="5C7004A7" w14:textId="77777777" w:rsidR="00531D00" w:rsidRPr="00531D00" w:rsidRDefault="00531D00" w:rsidP="00531D00">
      <w:pPr>
        <w:spacing w:line="360" w:lineRule="auto"/>
        <w:rPr>
          <w:rFonts w:ascii="Times New Roman" w:hAnsi="Times New Roman" w:cs="Times New Roman"/>
          <w:b/>
          <w:bCs/>
          <w:color w:val="000000" w:themeColor="text1"/>
          <w:szCs w:val="24"/>
        </w:rPr>
      </w:pPr>
      <w:r w:rsidRPr="00531D00">
        <w:rPr>
          <w:rFonts w:ascii="Times New Roman" w:hAnsi="Times New Roman" w:cs="Times New Roman"/>
          <w:b/>
          <w:bCs/>
          <w:color w:val="000000" w:themeColor="text1"/>
          <w:szCs w:val="24"/>
        </w:rPr>
        <w:t>Staff Training and Human Resource Practices</w:t>
      </w:r>
    </w:p>
    <w:p w14:paraId="506F50C3"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Employee training emerges as a central determinant of service excellence, particularly during peak seasons. Training equips employees with technical skills, service scripts, and interpersonal competencies necessary to perform under pressure. The literature highlights that hospitality employees engage in significant emotional labour, managing their own emotions to deliver warmth and empathy—capabilities that are highly valued during Christmas.</w:t>
      </w:r>
    </w:p>
    <w:p w14:paraId="597A175D"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Seasonality introduces additional training challenges. Many hospitality organisations employ seasonal or temporary workers during Christmas, increasing the risk of inconsistent service. Studies show that structured induction programmes, job shadowing, and role-specific micro-training can mitigate this risk by accelerating competence and confidence. Christmas-specific training—covering festive menus, event protocols, cultural sensitivity, and service recovery—has been linked to improved service reliability and guest satisfaction.</w:t>
      </w:r>
    </w:p>
    <w:p w14:paraId="3BDF3269"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Empowerment-based training is also emphasised. Empowered employees who can make discretionary decisions are better positioned to resolve issues promptly during busy periods. The literature suggests that empowerment enhances service recovery effectiveness and reduces escalation, which is crucial when managerial oversight is stretched during Christmas peaks.</w:t>
      </w:r>
    </w:p>
    <w:p w14:paraId="7C9DC7FF" w14:textId="77777777" w:rsidR="00531D00" w:rsidRPr="00531D00" w:rsidRDefault="00531D00" w:rsidP="00531D00">
      <w:pPr>
        <w:spacing w:line="360" w:lineRule="auto"/>
        <w:rPr>
          <w:rFonts w:ascii="Times New Roman" w:hAnsi="Times New Roman" w:cs="Times New Roman"/>
          <w:b/>
          <w:bCs/>
          <w:color w:val="000000" w:themeColor="text1"/>
          <w:szCs w:val="24"/>
        </w:rPr>
      </w:pPr>
      <w:r w:rsidRPr="00531D00">
        <w:rPr>
          <w:rFonts w:ascii="Times New Roman" w:hAnsi="Times New Roman" w:cs="Times New Roman"/>
          <w:b/>
          <w:bCs/>
          <w:color w:val="000000" w:themeColor="text1"/>
          <w:szCs w:val="24"/>
        </w:rPr>
        <w:t>Quality Control Systems and Standardisation</w:t>
      </w:r>
    </w:p>
    <w:p w14:paraId="4C0E8A61"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Quality control systems provide the structural backbone for service excellence. Standard operating procedures, service blueprints, checklists, and audits help ensure consistency across service encounters. During peak seasons, such systems reduce cognitive load on employees and minimise variability. Research indicates that organisations with mature quality management systems are more capable of sustaining service standards under pressure.</w:t>
      </w:r>
    </w:p>
    <w:p w14:paraId="64DF981B"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lastRenderedPageBreak/>
        <w:t>Mystery shopping and internal audits are widely discussed as tools for monitoring service quality. While their use during peak periods may be constrained by time and cost, the literature suggests that targeted audits focused on critical touchpoints—check-in, dining service, and complaint handling—are particularly effective during Christmas. Continuous improvement models, such as Total Quality Management, further support service excellence by embedding quality into organisational routines.</w:t>
      </w:r>
    </w:p>
    <w:p w14:paraId="70DB4116" w14:textId="77777777" w:rsidR="00531D00" w:rsidRPr="00531D00" w:rsidRDefault="00531D00" w:rsidP="00531D00">
      <w:pPr>
        <w:spacing w:line="360" w:lineRule="auto"/>
        <w:rPr>
          <w:rFonts w:ascii="Times New Roman" w:hAnsi="Times New Roman" w:cs="Times New Roman"/>
          <w:b/>
          <w:bCs/>
          <w:color w:val="000000" w:themeColor="text1"/>
          <w:szCs w:val="24"/>
        </w:rPr>
      </w:pPr>
      <w:r w:rsidRPr="00531D00">
        <w:rPr>
          <w:rFonts w:ascii="Times New Roman" w:hAnsi="Times New Roman" w:cs="Times New Roman"/>
          <w:b/>
          <w:bCs/>
          <w:color w:val="000000" w:themeColor="text1"/>
          <w:szCs w:val="24"/>
        </w:rPr>
        <w:t>Technology-Enabled Quality Assurance</w:t>
      </w:r>
    </w:p>
    <w:p w14:paraId="265CDDCF"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Advances in hospitality technology have expanded quality assurance capabilities. Property management systems, point-of-sale analytics, and customer relationship management platforms enable real-time monitoring of occupancy, service speed, and guest preferences. During Christmas, these systems support coordination across departments and facilitate rapid response to service deviations.</w:t>
      </w:r>
    </w:p>
    <w:p w14:paraId="53B60891"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Digital tools also enable predictive insights. Data analytics can forecast demand spikes, identify staffing gaps, and flag potential service failures before they occur. The literature suggests that technology-enhanced quality control complements human judgment, particularly during periods of high service intensity. However, scholars caution that technology should support—not replace—human interaction, as excessive automation may undermine perceived warmth and authenticity.</w:t>
      </w:r>
    </w:p>
    <w:p w14:paraId="09738FA0" w14:textId="77777777" w:rsidR="00531D00" w:rsidRPr="00531D00" w:rsidRDefault="00531D00" w:rsidP="00531D00">
      <w:pPr>
        <w:spacing w:line="360" w:lineRule="auto"/>
        <w:rPr>
          <w:rFonts w:ascii="Times New Roman" w:hAnsi="Times New Roman" w:cs="Times New Roman"/>
          <w:b/>
          <w:bCs/>
          <w:color w:val="000000" w:themeColor="text1"/>
          <w:szCs w:val="24"/>
        </w:rPr>
      </w:pPr>
      <w:r w:rsidRPr="00531D00">
        <w:rPr>
          <w:rFonts w:ascii="Times New Roman" w:hAnsi="Times New Roman" w:cs="Times New Roman"/>
          <w:b/>
          <w:bCs/>
          <w:color w:val="000000" w:themeColor="text1"/>
          <w:szCs w:val="24"/>
        </w:rPr>
        <w:t>Customer Feedback and Service Recovery</w:t>
      </w:r>
    </w:p>
    <w:p w14:paraId="3159A4A6"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Customer feedback mechanisms are integral to quality assurance and continuous improvement. Traditional tools such as post-stay surveys and comment cards have been supplemented by online reviews, social media comments, and real-time feedback applications. The literature demonstrates that electronic word-of-mouth significantly influences brand reputation, with effects amplified during Christmas when guests are more likely to share experiences publicly.</w:t>
      </w:r>
    </w:p>
    <w:p w14:paraId="570E3EA2"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 xml:space="preserve">Real-time feedback systems enable immediate service recovery, which is critical during peak periods. Studies show that prompt, empathetic responses to service failures can mitigate dissatisfaction and even enhance loyalty. Effective service recovery depends on clear protocols, employee empowerment, and managerial support. However, high volumes of feedback during </w:t>
      </w:r>
      <w:r w:rsidRPr="00531D00">
        <w:rPr>
          <w:rFonts w:ascii="Times New Roman" w:hAnsi="Times New Roman" w:cs="Times New Roman"/>
          <w:color w:val="000000" w:themeColor="text1"/>
          <w:szCs w:val="24"/>
        </w:rPr>
        <w:lastRenderedPageBreak/>
        <w:t>Christmas can overwhelm organisations lacking sufficient response capacity, underscoring the need for prioritisation and triage mechanisms.</w:t>
      </w:r>
    </w:p>
    <w:p w14:paraId="5885ADE2" w14:textId="77777777" w:rsidR="00531D00" w:rsidRPr="00531D00" w:rsidRDefault="00531D00" w:rsidP="00531D00">
      <w:pPr>
        <w:spacing w:line="360" w:lineRule="auto"/>
        <w:rPr>
          <w:rFonts w:ascii="Times New Roman" w:hAnsi="Times New Roman" w:cs="Times New Roman"/>
          <w:b/>
          <w:bCs/>
          <w:color w:val="000000" w:themeColor="text1"/>
          <w:szCs w:val="24"/>
        </w:rPr>
      </w:pPr>
      <w:r w:rsidRPr="00531D00">
        <w:rPr>
          <w:rFonts w:ascii="Times New Roman" w:hAnsi="Times New Roman" w:cs="Times New Roman"/>
          <w:b/>
          <w:bCs/>
          <w:color w:val="000000" w:themeColor="text1"/>
          <w:szCs w:val="24"/>
        </w:rPr>
        <w:t>Employee Engagement and Service Culture</w:t>
      </w:r>
    </w:p>
    <w:p w14:paraId="1B6C998F"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Service excellence is closely linked to employee engagement and organisational culture. Engaged employees are more likely to exhibit discretionary effort, adaptability, and positive attitudes—attributes that enhance guest experiences during busy periods. The literature emphasises leadership, recognition, and supportive work practices as drivers of engagement.</w:t>
      </w:r>
    </w:p>
    <w:p w14:paraId="304BD05A"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Christmas presents unique challenges to engagement, including long working hours and work–life balance pressures. Research suggests that fair scheduling, recognition of festive labour, and well-being initiatives can sustain morale and reduce burnout. A strong service culture that emphasises teamwork and shared purpose further supports service excellence under peak demand.</w:t>
      </w:r>
    </w:p>
    <w:p w14:paraId="6784D885" w14:textId="77777777" w:rsidR="00531D00" w:rsidRPr="00531D00" w:rsidRDefault="00531D00" w:rsidP="00531D00">
      <w:pPr>
        <w:spacing w:line="360" w:lineRule="auto"/>
        <w:rPr>
          <w:rFonts w:ascii="Times New Roman" w:hAnsi="Times New Roman" w:cs="Times New Roman"/>
          <w:b/>
          <w:bCs/>
          <w:color w:val="000000" w:themeColor="text1"/>
          <w:szCs w:val="24"/>
        </w:rPr>
      </w:pPr>
      <w:r w:rsidRPr="00531D00">
        <w:rPr>
          <w:rFonts w:ascii="Times New Roman" w:hAnsi="Times New Roman" w:cs="Times New Roman"/>
          <w:b/>
          <w:bCs/>
          <w:color w:val="000000" w:themeColor="text1"/>
          <w:szCs w:val="24"/>
        </w:rPr>
        <w:t>Balancing Standardisation and Personalisation</w:t>
      </w:r>
    </w:p>
    <w:p w14:paraId="6E735F9F"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 xml:space="preserve">A recurring theme in the literature is the tension between standardisation and personalisation. While standardisation ensures consistency and efficiency, festive guests often seek personalised and memorable experiences. Studies suggest that effective service excellence during Christmas requires “flexible standardisation,” where core processes are </w:t>
      </w:r>
      <w:proofErr w:type="gramStart"/>
      <w:r w:rsidRPr="00531D00">
        <w:rPr>
          <w:rFonts w:ascii="Times New Roman" w:hAnsi="Times New Roman" w:cs="Times New Roman"/>
          <w:color w:val="000000" w:themeColor="text1"/>
          <w:szCs w:val="24"/>
        </w:rPr>
        <w:t>standardised</w:t>
      </w:r>
      <w:proofErr w:type="gramEnd"/>
      <w:r w:rsidRPr="00531D00">
        <w:rPr>
          <w:rFonts w:ascii="Times New Roman" w:hAnsi="Times New Roman" w:cs="Times New Roman"/>
          <w:color w:val="000000" w:themeColor="text1"/>
          <w:szCs w:val="24"/>
        </w:rPr>
        <w:t xml:space="preserve"> but employees are encouraged to personalise interactions within defined boundaries.</w:t>
      </w:r>
    </w:p>
    <w:p w14:paraId="5B2859E3" w14:textId="77777777" w:rsidR="00531D00" w:rsidRPr="00531D00" w:rsidRDefault="00531D00" w:rsidP="00531D00">
      <w:pPr>
        <w:spacing w:line="360" w:lineRule="auto"/>
        <w:rPr>
          <w:rFonts w:ascii="Times New Roman" w:hAnsi="Times New Roman" w:cs="Times New Roman"/>
          <w:b/>
          <w:bCs/>
          <w:color w:val="000000" w:themeColor="text1"/>
          <w:szCs w:val="24"/>
        </w:rPr>
      </w:pPr>
      <w:r w:rsidRPr="00531D00">
        <w:rPr>
          <w:rFonts w:ascii="Times New Roman" w:hAnsi="Times New Roman" w:cs="Times New Roman"/>
          <w:b/>
          <w:bCs/>
          <w:color w:val="000000" w:themeColor="text1"/>
          <w:szCs w:val="24"/>
        </w:rPr>
        <w:t>Summary</w:t>
      </w:r>
    </w:p>
    <w:p w14:paraId="360D2E82"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Overall, the literature indicates that quality assurance and service excellence in hospitality during the Christmas season depend on the integration of training, quality control systems, technology, and feedback mechanisms within a supportive service culture. Peak-season challenges necessitate proactive planning, employee empowerment, and continuous monitoring. Organisations that align operational systems with human-centric practices are better positioned to deliver consistent, high-quality service during periods of intensified demand.</w:t>
      </w:r>
    </w:p>
    <w:p w14:paraId="1AB7B681" w14:textId="77777777" w:rsidR="00531D00" w:rsidRPr="00345836" w:rsidRDefault="00531D00" w:rsidP="001E2A7C">
      <w:pPr>
        <w:spacing w:line="360" w:lineRule="auto"/>
        <w:rPr>
          <w:rStyle w:val="Heading1Char"/>
          <w:rFonts w:ascii="Times New Roman" w:hAnsi="Times New Roman" w:cs="Times New Roman"/>
          <w:b/>
          <w:bCs/>
          <w:color w:val="000000" w:themeColor="text1"/>
          <w:sz w:val="24"/>
          <w:szCs w:val="24"/>
        </w:rPr>
      </w:pPr>
    </w:p>
    <w:p w14:paraId="15EFB1A0" w14:textId="77777777" w:rsidR="00080111" w:rsidRPr="00345836" w:rsidRDefault="00080111" w:rsidP="00B02D87">
      <w:pPr>
        <w:spacing w:line="360" w:lineRule="auto"/>
        <w:rPr>
          <w:rStyle w:val="Heading1Char"/>
          <w:rFonts w:ascii="Times New Roman" w:hAnsi="Times New Roman" w:cs="Times New Roman"/>
          <w:b/>
          <w:bCs/>
          <w:color w:val="000000" w:themeColor="text1"/>
          <w:sz w:val="24"/>
          <w:szCs w:val="24"/>
        </w:rPr>
      </w:pPr>
    </w:p>
    <w:p w14:paraId="27D86E0D" w14:textId="77777777" w:rsidR="00080111" w:rsidRPr="00345836" w:rsidRDefault="00080111" w:rsidP="00B02D87">
      <w:pPr>
        <w:spacing w:line="360" w:lineRule="auto"/>
        <w:rPr>
          <w:rStyle w:val="Heading1Char"/>
          <w:rFonts w:ascii="Times New Roman" w:hAnsi="Times New Roman" w:cs="Times New Roman"/>
          <w:b/>
          <w:bCs/>
          <w:color w:val="000000" w:themeColor="text1"/>
          <w:sz w:val="24"/>
          <w:szCs w:val="24"/>
        </w:rPr>
      </w:pPr>
    </w:p>
    <w:p w14:paraId="22648763" w14:textId="77777777" w:rsidR="00080111" w:rsidRPr="00345836" w:rsidRDefault="00080111" w:rsidP="00B02D87">
      <w:pPr>
        <w:spacing w:line="360" w:lineRule="auto"/>
        <w:rPr>
          <w:rStyle w:val="Heading1Char"/>
          <w:rFonts w:ascii="Times New Roman" w:hAnsi="Times New Roman" w:cs="Times New Roman"/>
          <w:b/>
          <w:bCs/>
          <w:color w:val="000000" w:themeColor="text1"/>
          <w:sz w:val="24"/>
          <w:szCs w:val="24"/>
        </w:rPr>
      </w:pPr>
      <w:r w:rsidRPr="00345836">
        <w:rPr>
          <w:rStyle w:val="Heading1Char"/>
          <w:rFonts w:ascii="Times New Roman" w:hAnsi="Times New Roman" w:cs="Times New Roman"/>
          <w:b/>
          <w:bCs/>
          <w:color w:val="000000" w:themeColor="text1"/>
          <w:sz w:val="24"/>
          <w:szCs w:val="24"/>
        </w:rPr>
        <w:t>3. Methodology</w:t>
      </w:r>
    </w:p>
    <w:bookmarkEnd w:id="3"/>
    <w:p w14:paraId="2EF0CB21" w14:textId="77777777" w:rsidR="00751C25" w:rsidRPr="00751C25" w:rsidRDefault="00751C25" w:rsidP="00751C25">
      <w:pPr>
        <w:spacing w:line="360" w:lineRule="auto"/>
        <w:rPr>
          <w:rFonts w:ascii="Times New Roman" w:eastAsiaTheme="majorEastAsia" w:hAnsi="Times New Roman" w:cs="Times New Roman"/>
          <w:color w:val="000000" w:themeColor="text1"/>
          <w:szCs w:val="24"/>
        </w:rPr>
      </w:pPr>
      <w:r w:rsidRPr="00751C25">
        <w:rPr>
          <w:rFonts w:ascii="Times New Roman" w:eastAsiaTheme="majorEastAsia" w:hAnsi="Times New Roman" w:cs="Times New Roman"/>
          <w:b/>
          <w:bCs/>
          <w:color w:val="000000" w:themeColor="text1"/>
          <w:szCs w:val="24"/>
        </w:rPr>
        <w:t>Quality Assurance and Service Excellence in Hospitality During the Christmas Season</w:t>
      </w:r>
    </w:p>
    <w:p w14:paraId="66AD7BFD" w14:textId="77777777" w:rsidR="00751C25" w:rsidRPr="00751C25" w:rsidRDefault="00751C25" w:rsidP="00751C25">
      <w:pPr>
        <w:spacing w:line="360" w:lineRule="auto"/>
        <w:rPr>
          <w:rFonts w:ascii="Times New Roman" w:eastAsiaTheme="majorEastAsia" w:hAnsi="Times New Roman" w:cs="Times New Roman"/>
          <w:color w:val="000000" w:themeColor="text1"/>
          <w:szCs w:val="24"/>
        </w:rPr>
      </w:pPr>
      <w:r w:rsidRPr="00751C25">
        <w:rPr>
          <w:rFonts w:ascii="Times New Roman" w:eastAsiaTheme="majorEastAsia" w:hAnsi="Times New Roman" w:cs="Times New Roman"/>
          <w:color w:val="000000" w:themeColor="text1"/>
          <w:szCs w:val="24"/>
        </w:rPr>
        <w:t xml:space="preserve">This study adopts a </w:t>
      </w:r>
      <w:r w:rsidRPr="00751C25">
        <w:rPr>
          <w:rFonts w:ascii="Times New Roman" w:eastAsiaTheme="majorEastAsia" w:hAnsi="Times New Roman" w:cs="Times New Roman"/>
          <w:b/>
          <w:bCs/>
          <w:color w:val="000000" w:themeColor="text1"/>
          <w:szCs w:val="24"/>
        </w:rPr>
        <w:t>qualitative research approach</w:t>
      </w:r>
      <w:r w:rsidRPr="00751C25">
        <w:rPr>
          <w:rFonts w:ascii="Times New Roman" w:eastAsiaTheme="majorEastAsia" w:hAnsi="Times New Roman" w:cs="Times New Roman"/>
          <w:color w:val="000000" w:themeColor="text1"/>
          <w:szCs w:val="24"/>
        </w:rPr>
        <w:t xml:space="preserve"> based on </w:t>
      </w:r>
      <w:r w:rsidRPr="00751C25">
        <w:rPr>
          <w:rFonts w:ascii="Times New Roman" w:eastAsiaTheme="majorEastAsia" w:hAnsi="Times New Roman" w:cs="Times New Roman"/>
          <w:b/>
          <w:bCs/>
          <w:color w:val="000000" w:themeColor="text1"/>
          <w:szCs w:val="24"/>
        </w:rPr>
        <w:t>secondary data analysis</w:t>
      </w:r>
      <w:r w:rsidRPr="00751C25">
        <w:rPr>
          <w:rFonts w:ascii="Times New Roman" w:eastAsiaTheme="majorEastAsia" w:hAnsi="Times New Roman" w:cs="Times New Roman"/>
          <w:color w:val="000000" w:themeColor="text1"/>
          <w:szCs w:val="24"/>
        </w:rPr>
        <w:t xml:space="preserve"> to examine how hotels, resorts, and restaurants maintain quality assurance and service excellence during the Christmas season. A qualitative methodology is appropriate because the research seeks to explore managerial practices, organisational strategies, and service quality mechanisms rather than quantify causal relationships. The approach allows for an in-depth understanding of how hospitality organisations respond to peak-demand pressures while sustaining service standards.</w:t>
      </w:r>
    </w:p>
    <w:p w14:paraId="287A924C" w14:textId="77777777" w:rsidR="00751C25" w:rsidRPr="00751C25" w:rsidRDefault="00751C25" w:rsidP="00751C25">
      <w:pPr>
        <w:spacing w:line="360" w:lineRule="auto"/>
        <w:rPr>
          <w:rFonts w:ascii="Times New Roman" w:eastAsiaTheme="majorEastAsia" w:hAnsi="Times New Roman" w:cs="Times New Roman"/>
          <w:color w:val="000000" w:themeColor="text1"/>
          <w:szCs w:val="24"/>
        </w:rPr>
      </w:pPr>
      <w:r w:rsidRPr="00751C25">
        <w:rPr>
          <w:rFonts w:ascii="Times New Roman" w:eastAsiaTheme="majorEastAsia" w:hAnsi="Times New Roman" w:cs="Times New Roman"/>
          <w:color w:val="000000" w:themeColor="text1"/>
          <w:szCs w:val="24"/>
        </w:rPr>
        <w:t xml:space="preserve">The research design is </w:t>
      </w:r>
      <w:r w:rsidRPr="00751C25">
        <w:rPr>
          <w:rFonts w:ascii="Times New Roman" w:eastAsiaTheme="majorEastAsia" w:hAnsi="Times New Roman" w:cs="Times New Roman"/>
          <w:b/>
          <w:bCs/>
          <w:color w:val="000000" w:themeColor="text1"/>
          <w:szCs w:val="24"/>
        </w:rPr>
        <w:t>exploratory and descriptive</w:t>
      </w:r>
      <w:r w:rsidRPr="00751C25">
        <w:rPr>
          <w:rFonts w:ascii="Times New Roman" w:eastAsiaTheme="majorEastAsia" w:hAnsi="Times New Roman" w:cs="Times New Roman"/>
          <w:color w:val="000000" w:themeColor="text1"/>
          <w:szCs w:val="24"/>
        </w:rPr>
        <w:t xml:space="preserve">, focusing on identifying and analysing key quality assurance practices used during the Christmas period. The study is informed by established theoretical frameworks, including </w:t>
      </w:r>
      <w:r w:rsidRPr="00751C25">
        <w:rPr>
          <w:rFonts w:ascii="Times New Roman" w:eastAsiaTheme="majorEastAsia" w:hAnsi="Times New Roman" w:cs="Times New Roman"/>
          <w:b/>
          <w:bCs/>
          <w:color w:val="000000" w:themeColor="text1"/>
          <w:szCs w:val="24"/>
        </w:rPr>
        <w:t>service quality theory</w:t>
      </w:r>
      <w:r w:rsidRPr="00751C25">
        <w:rPr>
          <w:rFonts w:ascii="Times New Roman" w:eastAsiaTheme="majorEastAsia" w:hAnsi="Times New Roman" w:cs="Times New Roman"/>
          <w:color w:val="000000" w:themeColor="text1"/>
          <w:szCs w:val="24"/>
        </w:rPr>
        <w:t xml:space="preserve">, </w:t>
      </w:r>
      <w:r w:rsidRPr="00751C25">
        <w:rPr>
          <w:rFonts w:ascii="Times New Roman" w:eastAsiaTheme="majorEastAsia" w:hAnsi="Times New Roman" w:cs="Times New Roman"/>
          <w:b/>
          <w:bCs/>
          <w:color w:val="000000" w:themeColor="text1"/>
          <w:szCs w:val="24"/>
        </w:rPr>
        <w:t>SERVQUAL</w:t>
      </w:r>
      <w:r w:rsidRPr="00751C25">
        <w:rPr>
          <w:rFonts w:ascii="Times New Roman" w:eastAsiaTheme="majorEastAsia" w:hAnsi="Times New Roman" w:cs="Times New Roman"/>
          <w:color w:val="000000" w:themeColor="text1"/>
          <w:szCs w:val="24"/>
        </w:rPr>
        <w:t xml:space="preserve">, </w:t>
      </w:r>
      <w:r w:rsidRPr="00751C25">
        <w:rPr>
          <w:rFonts w:ascii="Times New Roman" w:eastAsiaTheme="majorEastAsia" w:hAnsi="Times New Roman" w:cs="Times New Roman"/>
          <w:b/>
          <w:bCs/>
          <w:color w:val="000000" w:themeColor="text1"/>
          <w:szCs w:val="24"/>
        </w:rPr>
        <w:t>service-dominant logic</w:t>
      </w:r>
      <w:r w:rsidRPr="00751C25">
        <w:rPr>
          <w:rFonts w:ascii="Times New Roman" w:eastAsiaTheme="majorEastAsia" w:hAnsi="Times New Roman" w:cs="Times New Roman"/>
          <w:color w:val="000000" w:themeColor="text1"/>
          <w:szCs w:val="24"/>
        </w:rPr>
        <w:t xml:space="preserve">, and </w:t>
      </w:r>
      <w:r w:rsidRPr="00751C25">
        <w:rPr>
          <w:rFonts w:ascii="Times New Roman" w:eastAsiaTheme="majorEastAsia" w:hAnsi="Times New Roman" w:cs="Times New Roman"/>
          <w:b/>
          <w:bCs/>
          <w:color w:val="000000" w:themeColor="text1"/>
          <w:szCs w:val="24"/>
        </w:rPr>
        <w:t>service operations management models</w:t>
      </w:r>
      <w:r w:rsidRPr="00751C25">
        <w:rPr>
          <w:rFonts w:ascii="Times New Roman" w:eastAsiaTheme="majorEastAsia" w:hAnsi="Times New Roman" w:cs="Times New Roman"/>
          <w:color w:val="000000" w:themeColor="text1"/>
          <w:szCs w:val="24"/>
        </w:rPr>
        <w:t>, which together explain how service quality is created, delivered, and sustained in high-contact service environments (Parasuraman et al., 1988; Grönroos, 2015).</w:t>
      </w:r>
    </w:p>
    <w:p w14:paraId="014B2AFB" w14:textId="77777777" w:rsidR="00751C25" w:rsidRPr="00751C25" w:rsidRDefault="00751C25" w:rsidP="00751C25">
      <w:pPr>
        <w:spacing w:line="360" w:lineRule="auto"/>
        <w:rPr>
          <w:rFonts w:ascii="Times New Roman" w:eastAsiaTheme="majorEastAsia" w:hAnsi="Times New Roman" w:cs="Times New Roman"/>
          <w:color w:val="000000" w:themeColor="text1"/>
          <w:szCs w:val="24"/>
        </w:rPr>
      </w:pPr>
      <w:r w:rsidRPr="00751C25">
        <w:rPr>
          <w:rFonts w:ascii="Times New Roman" w:eastAsiaTheme="majorEastAsia" w:hAnsi="Times New Roman" w:cs="Times New Roman"/>
          <w:color w:val="000000" w:themeColor="text1"/>
          <w:szCs w:val="24"/>
        </w:rPr>
        <w:t xml:space="preserve">Secondary data were collected from </w:t>
      </w:r>
      <w:r w:rsidRPr="00751C25">
        <w:rPr>
          <w:rFonts w:ascii="Times New Roman" w:eastAsiaTheme="majorEastAsia" w:hAnsi="Times New Roman" w:cs="Times New Roman"/>
          <w:b/>
          <w:bCs/>
          <w:color w:val="000000" w:themeColor="text1"/>
          <w:szCs w:val="24"/>
        </w:rPr>
        <w:t>peer-reviewed academic journals</w:t>
      </w:r>
      <w:r w:rsidRPr="00751C25">
        <w:rPr>
          <w:rFonts w:ascii="Times New Roman" w:eastAsiaTheme="majorEastAsia" w:hAnsi="Times New Roman" w:cs="Times New Roman"/>
          <w:color w:val="000000" w:themeColor="text1"/>
          <w:szCs w:val="24"/>
        </w:rPr>
        <w:t xml:space="preserve">, authoritative textbooks, and reputable industry publications. Academic sources were drawn from journals such as </w:t>
      </w:r>
      <w:r w:rsidRPr="00751C25">
        <w:rPr>
          <w:rFonts w:ascii="Times New Roman" w:eastAsiaTheme="majorEastAsia" w:hAnsi="Times New Roman" w:cs="Times New Roman"/>
          <w:i/>
          <w:iCs/>
          <w:color w:val="000000" w:themeColor="text1"/>
          <w:szCs w:val="24"/>
        </w:rPr>
        <w:t>International Journal of Contemporary Hospitality Management</w:t>
      </w:r>
      <w:r w:rsidRPr="00751C25">
        <w:rPr>
          <w:rFonts w:ascii="Times New Roman" w:eastAsiaTheme="majorEastAsia" w:hAnsi="Times New Roman" w:cs="Times New Roman"/>
          <w:color w:val="000000" w:themeColor="text1"/>
          <w:szCs w:val="24"/>
        </w:rPr>
        <w:t xml:space="preserve">, </w:t>
      </w:r>
      <w:r w:rsidRPr="00751C25">
        <w:rPr>
          <w:rFonts w:ascii="Times New Roman" w:eastAsiaTheme="majorEastAsia" w:hAnsi="Times New Roman" w:cs="Times New Roman"/>
          <w:i/>
          <w:iCs/>
          <w:color w:val="000000" w:themeColor="text1"/>
          <w:szCs w:val="24"/>
        </w:rPr>
        <w:t>Tourism Management</w:t>
      </w:r>
      <w:r w:rsidRPr="00751C25">
        <w:rPr>
          <w:rFonts w:ascii="Times New Roman" w:eastAsiaTheme="majorEastAsia" w:hAnsi="Times New Roman" w:cs="Times New Roman"/>
          <w:color w:val="000000" w:themeColor="text1"/>
          <w:szCs w:val="24"/>
        </w:rPr>
        <w:t xml:space="preserve">, </w:t>
      </w:r>
      <w:r w:rsidRPr="00751C25">
        <w:rPr>
          <w:rFonts w:ascii="Times New Roman" w:eastAsiaTheme="majorEastAsia" w:hAnsi="Times New Roman" w:cs="Times New Roman"/>
          <w:i/>
          <w:iCs/>
          <w:color w:val="000000" w:themeColor="text1"/>
          <w:szCs w:val="24"/>
        </w:rPr>
        <w:t>Journal of Service Management</w:t>
      </w:r>
      <w:r w:rsidRPr="00751C25">
        <w:rPr>
          <w:rFonts w:ascii="Times New Roman" w:eastAsiaTheme="majorEastAsia" w:hAnsi="Times New Roman" w:cs="Times New Roman"/>
          <w:color w:val="000000" w:themeColor="text1"/>
          <w:szCs w:val="24"/>
        </w:rPr>
        <w:t xml:space="preserve">, and </w:t>
      </w:r>
      <w:r w:rsidRPr="00751C25">
        <w:rPr>
          <w:rFonts w:ascii="Times New Roman" w:eastAsiaTheme="majorEastAsia" w:hAnsi="Times New Roman" w:cs="Times New Roman"/>
          <w:i/>
          <w:iCs/>
          <w:color w:val="000000" w:themeColor="text1"/>
          <w:szCs w:val="24"/>
        </w:rPr>
        <w:t>Journal of Hospitality and Tourism Management</w:t>
      </w:r>
      <w:r w:rsidRPr="00751C25">
        <w:rPr>
          <w:rFonts w:ascii="Times New Roman" w:eastAsiaTheme="majorEastAsia" w:hAnsi="Times New Roman" w:cs="Times New Roman"/>
          <w:color w:val="000000" w:themeColor="text1"/>
          <w:szCs w:val="24"/>
        </w:rPr>
        <w:t xml:space="preserve">. These sources provided theoretical and empirical insights into service quality, peak-season management, employee training, and quality control systems. To enhance practical relevance, industry reports from organisations such as </w:t>
      </w:r>
      <w:r w:rsidRPr="00751C25">
        <w:rPr>
          <w:rFonts w:ascii="Times New Roman" w:eastAsiaTheme="majorEastAsia" w:hAnsi="Times New Roman" w:cs="Times New Roman"/>
          <w:b/>
          <w:bCs/>
          <w:color w:val="000000" w:themeColor="text1"/>
          <w:szCs w:val="24"/>
        </w:rPr>
        <w:t>Deloitte</w:t>
      </w:r>
      <w:r w:rsidRPr="00751C25">
        <w:rPr>
          <w:rFonts w:ascii="Times New Roman" w:eastAsiaTheme="majorEastAsia" w:hAnsi="Times New Roman" w:cs="Times New Roman"/>
          <w:color w:val="000000" w:themeColor="text1"/>
          <w:szCs w:val="24"/>
        </w:rPr>
        <w:t xml:space="preserve">, </w:t>
      </w:r>
      <w:r w:rsidRPr="00751C25">
        <w:rPr>
          <w:rFonts w:ascii="Times New Roman" w:eastAsiaTheme="majorEastAsia" w:hAnsi="Times New Roman" w:cs="Times New Roman"/>
          <w:b/>
          <w:bCs/>
          <w:color w:val="000000" w:themeColor="text1"/>
          <w:szCs w:val="24"/>
        </w:rPr>
        <w:t>McKinsey</w:t>
      </w:r>
      <w:r w:rsidRPr="00751C25">
        <w:rPr>
          <w:rFonts w:ascii="Times New Roman" w:eastAsiaTheme="majorEastAsia" w:hAnsi="Times New Roman" w:cs="Times New Roman"/>
          <w:color w:val="000000" w:themeColor="text1"/>
          <w:szCs w:val="24"/>
        </w:rPr>
        <w:t xml:space="preserve">, and </w:t>
      </w:r>
      <w:r w:rsidRPr="00751C25">
        <w:rPr>
          <w:rFonts w:ascii="Times New Roman" w:eastAsiaTheme="majorEastAsia" w:hAnsi="Times New Roman" w:cs="Times New Roman"/>
          <w:b/>
          <w:bCs/>
          <w:color w:val="000000" w:themeColor="text1"/>
          <w:szCs w:val="24"/>
        </w:rPr>
        <w:t>Hospitality Net</w:t>
      </w:r>
      <w:r w:rsidRPr="00751C25">
        <w:rPr>
          <w:rFonts w:ascii="Times New Roman" w:eastAsiaTheme="majorEastAsia" w:hAnsi="Times New Roman" w:cs="Times New Roman"/>
          <w:color w:val="000000" w:themeColor="text1"/>
          <w:szCs w:val="24"/>
        </w:rPr>
        <w:t>, as well as professional guidelines from hotel and restaurant associations, were reviewed to capture current industry practices during the Christmas season.</w:t>
      </w:r>
    </w:p>
    <w:p w14:paraId="3BBC8998" w14:textId="77777777" w:rsidR="00751C25" w:rsidRPr="00751C25" w:rsidRDefault="00751C25" w:rsidP="00751C25">
      <w:pPr>
        <w:spacing w:line="360" w:lineRule="auto"/>
        <w:rPr>
          <w:rFonts w:ascii="Times New Roman" w:eastAsiaTheme="majorEastAsia" w:hAnsi="Times New Roman" w:cs="Times New Roman"/>
          <w:color w:val="000000" w:themeColor="text1"/>
          <w:szCs w:val="24"/>
        </w:rPr>
      </w:pPr>
      <w:r w:rsidRPr="00751C25">
        <w:rPr>
          <w:rFonts w:ascii="Times New Roman" w:eastAsiaTheme="majorEastAsia" w:hAnsi="Times New Roman" w:cs="Times New Roman"/>
          <w:color w:val="000000" w:themeColor="text1"/>
          <w:szCs w:val="24"/>
        </w:rPr>
        <w:t xml:space="preserve">A </w:t>
      </w:r>
      <w:r w:rsidRPr="00751C25">
        <w:rPr>
          <w:rFonts w:ascii="Times New Roman" w:eastAsiaTheme="majorEastAsia" w:hAnsi="Times New Roman" w:cs="Times New Roman"/>
          <w:b/>
          <w:bCs/>
          <w:color w:val="000000" w:themeColor="text1"/>
          <w:szCs w:val="24"/>
        </w:rPr>
        <w:t>systematic literature review</w:t>
      </w:r>
      <w:r w:rsidRPr="00751C25">
        <w:rPr>
          <w:rFonts w:ascii="Times New Roman" w:eastAsiaTheme="majorEastAsia" w:hAnsi="Times New Roman" w:cs="Times New Roman"/>
          <w:color w:val="000000" w:themeColor="text1"/>
          <w:szCs w:val="24"/>
        </w:rPr>
        <w:t xml:space="preserve"> process was applied to identify relevant studies published primarily within the last ten to twelve years, ensuring alignment with contemporary hospitality operations and quality management practices. The collected data were analysed using </w:t>
      </w:r>
      <w:r w:rsidRPr="00751C25">
        <w:rPr>
          <w:rFonts w:ascii="Times New Roman" w:eastAsiaTheme="majorEastAsia" w:hAnsi="Times New Roman" w:cs="Times New Roman"/>
          <w:b/>
          <w:bCs/>
          <w:color w:val="000000" w:themeColor="text1"/>
          <w:szCs w:val="24"/>
        </w:rPr>
        <w:t>thematic analysis</w:t>
      </w:r>
      <w:r w:rsidRPr="00751C25">
        <w:rPr>
          <w:rFonts w:ascii="Times New Roman" w:eastAsiaTheme="majorEastAsia" w:hAnsi="Times New Roman" w:cs="Times New Roman"/>
          <w:color w:val="000000" w:themeColor="text1"/>
          <w:szCs w:val="24"/>
        </w:rPr>
        <w:t xml:space="preserve">, whereby recurring themes were identified and categorised. Key themes included staff </w:t>
      </w:r>
      <w:r w:rsidRPr="00751C25">
        <w:rPr>
          <w:rFonts w:ascii="Times New Roman" w:eastAsiaTheme="majorEastAsia" w:hAnsi="Times New Roman" w:cs="Times New Roman"/>
          <w:color w:val="000000" w:themeColor="text1"/>
          <w:szCs w:val="24"/>
        </w:rPr>
        <w:lastRenderedPageBreak/>
        <w:t>training, service standardisation, quality monitoring systems, customer feedback mechanisms, service recovery, and employee engagement during peak demand periods. Comparative analysis was used to identify similarities and differences in quality assurance practices across hotels, resorts, and restaurants.</w:t>
      </w:r>
    </w:p>
    <w:p w14:paraId="4AF75EB7" w14:textId="77777777" w:rsidR="00751C25" w:rsidRPr="00751C25" w:rsidRDefault="00751C25" w:rsidP="00751C25">
      <w:pPr>
        <w:spacing w:line="360" w:lineRule="auto"/>
        <w:rPr>
          <w:rFonts w:ascii="Times New Roman" w:eastAsiaTheme="majorEastAsia" w:hAnsi="Times New Roman" w:cs="Times New Roman"/>
          <w:color w:val="000000" w:themeColor="text1"/>
          <w:szCs w:val="24"/>
        </w:rPr>
      </w:pPr>
      <w:r w:rsidRPr="00751C25">
        <w:rPr>
          <w:rFonts w:ascii="Times New Roman" w:eastAsiaTheme="majorEastAsia" w:hAnsi="Times New Roman" w:cs="Times New Roman"/>
          <w:color w:val="000000" w:themeColor="text1"/>
          <w:szCs w:val="24"/>
        </w:rPr>
        <w:t xml:space="preserve">Ethical considerations were addressed by using only publicly available secondary data and ensuring accurate attribution through </w:t>
      </w:r>
      <w:r w:rsidRPr="00751C25">
        <w:rPr>
          <w:rFonts w:ascii="Times New Roman" w:eastAsiaTheme="majorEastAsia" w:hAnsi="Times New Roman" w:cs="Times New Roman"/>
          <w:b/>
          <w:bCs/>
          <w:color w:val="000000" w:themeColor="text1"/>
          <w:szCs w:val="24"/>
        </w:rPr>
        <w:t>APA-style in-text citations and references</w:t>
      </w:r>
      <w:r w:rsidRPr="00751C25">
        <w:rPr>
          <w:rFonts w:ascii="Times New Roman" w:eastAsiaTheme="majorEastAsia" w:hAnsi="Times New Roman" w:cs="Times New Roman"/>
          <w:color w:val="000000" w:themeColor="text1"/>
          <w:szCs w:val="24"/>
        </w:rPr>
        <w:t>. As no primary data involving human participants were collected, issues related to informed consent and confidentiality were not applicable. One limitation of this methodology is its reliance on secondary data, which may not fully capture real-time operational challenges faced during a specific Christmas season. Future research could incorporate interviews with hospitality managers or employee surveys to provide richer insights into peak-season service quality management.</w:t>
      </w:r>
    </w:p>
    <w:p w14:paraId="219847E5" w14:textId="77777777" w:rsidR="00955509" w:rsidRDefault="00955509" w:rsidP="00B02D87">
      <w:pPr>
        <w:spacing w:line="360" w:lineRule="auto"/>
        <w:rPr>
          <w:rFonts w:ascii="Times New Roman" w:hAnsi="Times New Roman" w:cs="Times New Roman"/>
          <w:color w:val="000000" w:themeColor="text1"/>
          <w:szCs w:val="24"/>
        </w:rPr>
      </w:pPr>
    </w:p>
    <w:p w14:paraId="7F8584EE" w14:textId="77777777" w:rsidR="00751C25" w:rsidRDefault="00751C25" w:rsidP="00B02D87">
      <w:pPr>
        <w:spacing w:line="360" w:lineRule="auto"/>
        <w:rPr>
          <w:rFonts w:ascii="Times New Roman" w:hAnsi="Times New Roman" w:cs="Times New Roman"/>
          <w:color w:val="000000" w:themeColor="text1"/>
          <w:szCs w:val="24"/>
        </w:rPr>
      </w:pPr>
    </w:p>
    <w:p w14:paraId="634D3205" w14:textId="77777777" w:rsidR="00751C25" w:rsidRDefault="00751C25" w:rsidP="00B02D87">
      <w:pPr>
        <w:spacing w:line="360" w:lineRule="auto"/>
        <w:rPr>
          <w:rFonts w:ascii="Times New Roman" w:hAnsi="Times New Roman" w:cs="Times New Roman"/>
          <w:color w:val="000000" w:themeColor="text1"/>
          <w:szCs w:val="24"/>
        </w:rPr>
      </w:pPr>
    </w:p>
    <w:p w14:paraId="3AC54E00" w14:textId="77777777" w:rsidR="00751C25" w:rsidRDefault="00751C25" w:rsidP="00B02D87">
      <w:pPr>
        <w:spacing w:line="360" w:lineRule="auto"/>
        <w:rPr>
          <w:rFonts w:ascii="Times New Roman" w:hAnsi="Times New Roman" w:cs="Times New Roman"/>
          <w:color w:val="000000" w:themeColor="text1"/>
          <w:szCs w:val="24"/>
        </w:rPr>
      </w:pPr>
    </w:p>
    <w:p w14:paraId="589C7C21" w14:textId="77777777" w:rsidR="00751C25" w:rsidRDefault="00751C25" w:rsidP="00B02D87">
      <w:pPr>
        <w:spacing w:line="360" w:lineRule="auto"/>
        <w:rPr>
          <w:rFonts w:ascii="Times New Roman" w:hAnsi="Times New Roman" w:cs="Times New Roman"/>
          <w:color w:val="000000" w:themeColor="text1"/>
          <w:szCs w:val="24"/>
        </w:rPr>
      </w:pPr>
    </w:p>
    <w:p w14:paraId="35C6B3D0" w14:textId="77777777" w:rsidR="00751C25" w:rsidRDefault="00751C25" w:rsidP="00B02D87">
      <w:pPr>
        <w:spacing w:line="360" w:lineRule="auto"/>
        <w:rPr>
          <w:rFonts w:ascii="Times New Roman" w:hAnsi="Times New Roman" w:cs="Times New Roman"/>
          <w:color w:val="000000" w:themeColor="text1"/>
          <w:szCs w:val="24"/>
        </w:rPr>
      </w:pPr>
    </w:p>
    <w:p w14:paraId="7C017194" w14:textId="77777777" w:rsidR="00751C25" w:rsidRDefault="00751C25" w:rsidP="00B02D87">
      <w:pPr>
        <w:spacing w:line="360" w:lineRule="auto"/>
        <w:rPr>
          <w:rFonts w:ascii="Times New Roman" w:hAnsi="Times New Roman" w:cs="Times New Roman"/>
          <w:color w:val="000000" w:themeColor="text1"/>
          <w:szCs w:val="24"/>
        </w:rPr>
      </w:pPr>
    </w:p>
    <w:p w14:paraId="68EBD3CE" w14:textId="77777777" w:rsidR="00751C25" w:rsidRDefault="00751C25" w:rsidP="00B02D87">
      <w:pPr>
        <w:spacing w:line="360" w:lineRule="auto"/>
        <w:rPr>
          <w:rFonts w:ascii="Times New Roman" w:hAnsi="Times New Roman" w:cs="Times New Roman"/>
          <w:color w:val="000000" w:themeColor="text1"/>
          <w:szCs w:val="24"/>
        </w:rPr>
      </w:pPr>
    </w:p>
    <w:p w14:paraId="65082AD0" w14:textId="77777777" w:rsidR="00751C25" w:rsidRDefault="00751C25" w:rsidP="00B02D87">
      <w:pPr>
        <w:spacing w:line="360" w:lineRule="auto"/>
        <w:rPr>
          <w:rFonts w:ascii="Times New Roman" w:hAnsi="Times New Roman" w:cs="Times New Roman"/>
          <w:color w:val="000000" w:themeColor="text1"/>
          <w:szCs w:val="24"/>
        </w:rPr>
      </w:pPr>
    </w:p>
    <w:p w14:paraId="366AC7C0" w14:textId="77777777" w:rsidR="00751C25" w:rsidRDefault="00751C25" w:rsidP="00B02D87">
      <w:pPr>
        <w:spacing w:line="360" w:lineRule="auto"/>
        <w:rPr>
          <w:rFonts w:ascii="Times New Roman" w:hAnsi="Times New Roman" w:cs="Times New Roman"/>
          <w:color w:val="000000" w:themeColor="text1"/>
          <w:szCs w:val="24"/>
        </w:rPr>
      </w:pPr>
    </w:p>
    <w:p w14:paraId="3F754AB3" w14:textId="77777777" w:rsidR="00955509" w:rsidRDefault="00955509" w:rsidP="00B02D87">
      <w:pPr>
        <w:spacing w:line="360" w:lineRule="auto"/>
        <w:rPr>
          <w:rFonts w:ascii="Times New Roman" w:hAnsi="Times New Roman" w:cs="Times New Roman"/>
          <w:color w:val="000000" w:themeColor="text1"/>
          <w:szCs w:val="24"/>
        </w:rPr>
      </w:pPr>
    </w:p>
    <w:p w14:paraId="7A186C00" w14:textId="77777777" w:rsidR="00955509" w:rsidRDefault="00955509" w:rsidP="00B02D87">
      <w:pPr>
        <w:spacing w:line="360" w:lineRule="auto"/>
        <w:rPr>
          <w:rFonts w:ascii="Times New Roman" w:hAnsi="Times New Roman" w:cs="Times New Roman"/>
          <w:color w:val="000000" w:themeColor="text1"/>
          <w:szCs w:val="24"/>
        </w:rPr>
      </w:pPr>
    </w:p>
    <w:p w14:paraId="44C1BFB6" w14:textId="77777777" w:rsidR="00E87329" w:rsidRPr="00345836" w:rsidRDefault="00E87329" w:rsidP="00B02D87">
      <w:pPr>
        <w:spacing w:line="360" w:lineRule="auto"/>
        <w:rPr>
          <w:rFonts w:ascii="Times New Roman" w:hAnsi="Times New Roman" w:cs="Times New Roman"/>
          <w:color w:val="000000" w:themeColor="text1"/>
          <w:szCs w:val="24"/>
        </w:rPr>
      </w:pPr>
    </w:p>
    <w:p w14:paraId="4C65CB45" w14:textId="6873CB40" w:rsidR="00AC3926" w:rsidRPr="00345836" w:rsidRDefault="00AC3926" w:rsidP="00B02D87">
      <w:pPr>
        <w:spacing w:line="360" w:lineRule="auto"/>
        <w:rPr>
          <w:rFonts w:ascii="Times New Roman" w:hAnsi="Times New Roman" w:cs="Times New Roman"/>
          <w:b/>
          <w:bCs/>
          <w:color w:val="000000" w:themeColor="text1"/>
          <w:szCs w:val="24"/>
        </w:rPr>
      </w:pPr>
      <w:r w:rsidRPr="00345836">
        <w:rPr>
          <w:rFonts w:ascii="Times New Roman" w:hAnsi="Times New Roman" w:cs="Times New Roman"/>
          <w:b/>
          <w:bCs/>
          <w:color w:val="000000" w:themeColor="text1"/>
          <w:szCs w:val="24"/>
        </w:rPr>
        <w:lastRenderedPageBreak/>
        <w:t xml:space="preserve">4.Findings </w:t>
      </w:r>
    </w:p>
    <w:p w14:paraId="68B18683"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This section presents the key findings derived from the analysis of academic literature and industry sources regarding quality assurance and service excellence in hospitality during the Christmas season. The findings are organised thematically to illustrate how hotels, resorts, and restaurants manage increased demand while maintaining high service standards.</w:t>
      </w:r>
    </w:p>
    <w:p w14:paraId="7D822D8C"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The findings indicate that the Christmas season significantly intensifies operational pressure across the hospitality sector. High occupancy rates, increased guest turnover, festive events, and special menus create complex service environments in which maintaining consistency becomes challenging. Hospitality organisations that lack structured quality assurance systems are more likely to experience service breakdowns, longer waiting times, and reduced customer satisfaction during this period.</w:t>
      </w:r>
    </w:p>
    <w:p w14:paraId="061A4B86"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 xml:space="preserve">A prominent finding relates to the </w:t>
      </w:r>
      <w:r w:rsidRPr="00751C25">
        <w:rPr>
          <w:rFonts w:ascii="Times New Roman" w:hAnsi="Times New Roman" w:cs="Times New Roman"/>
          <w:b/>
          <w:bCs/>
          <w:color w:val="000000" w:themeColor="text1"/>
          <w:szCs w:val="24"/>
        </w:rPr>
        <w:t>critical role of staff training</w:t>
      </w:r>
      <w:r w:rsidRPr="00751C25">
        <w:rPr>
          <w:rFonts w:ascii="Times New Roman" w:hAnsi="Times New Roman" w:cs="Times New Roman"/>
          <w:color w:val="000000" w:themeColor="text1"/>
          <w:szCs w:val="24"/>
        </w:rPr>
        <w:t xml:space="preserve"> in sustaining service excellence during Christmas. The literature consistently shows that organisations investing in structured training programmes achieve higher service consistency under peak pressure. Training focused on service standards, customer interaction, and festive-specific procedures equips employees to manage increased workload and heightened guest expectations. Christmas-specific training, such as managing large group bookings, festive dining experiences, and culturally sensitive celebrations, was found to reduce service errors and improve guest satisfaction.</w:t>
      </w:r>
    </w:p>
    <w:p w14:paraId="39D00A4E"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 xml:space="preserve">The findings further reveal that </w:t>
      </w:r>
      <w:r w:rsidRPr="00751C25">
        <w:rPr>
          <w:rFonts w:ascii="Times New Roman" w:hAnsi="Times New Roman" w:cs="Times New Roman"/>
          <w:b/>
          <w:bCs/>
          <w:color w:val="000000" w:themeColor="text1"/>
          <w:szCs w:val="24"/>
        </w:rPr>
        <w:t>seasonal and temporary staffing</w:t>
      </w:r>
      <w:r w:rsidRPr="00751C25">
        <w:rPr>
          <w:rFonts w:ascii="Times New Roman" w:hAnsi="Times New Roman" w:cs="Times New Roman"/>
          <w:color w:val="000000" w:themeColor="text1"/>
          <w:szCs w:val="24"/>
        </w:rPr>
        <w:t xml:space="preserve"> presents a major challenge to service quality. Many hospitality organisations rely on temporary employees during Christmas, increasing the risk of inconsistent service delivery. However, organisations that implement accelerated induction programmes, mentoring systems, and clear service scripts are better able to integrate seasonal staff into service teams. Empowerment-based training, which allows employees to make </w:t>
      </w:r>
      <w:proofErr w:type="gramStart"/>
      <w:r w:rsidRPr="00751C25">
        <w:rPr>
          <w:rFonts w:ascii="Times New Roman" w:hAnsi="Times New Roman" w:cs="Times New Roman"/>
          <w:color w:val="000000" w:themeColor="text1"/>
          <w:szCs w:val="24"/>
        </w:rPr>
        <w:t>limited service</w:t>
      </w:r>
      <w:proofErr w:type="gramEnd"/>
      <w:r w:rsidRPr="00751C25">
        <w:rPr>
          <w:rFonts w:ascii="Times New Roman" w:hAnsi="Times New Roman" w:cs="Times New Roman"/>
          <w:color w:val="000000" w:themeColor="text1"/>
          <w:szCs w:val="24"/>
        </w:rPr>
        <w:t xml:space="preserve"> recovery decisions independently, was found to be particularly effective during busy periods.</w:t>
      </w:r>
    </w:p>
    <w:p w14:paraId="7D2815C5"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 xml:space="preserve">Another key finding concerns the importance of </w:t>
      </w:r>
      <w:r w:rsidRPr="00751C25">
        <w:rPr>
          <w:rFonts w:ascii="Times New Roman" w:hAnsi="Times New Roman" w:cs="Times New Roman"/>
          <w:b/>
          <w:bCs/>
          <w:color w:val="000000" w:themeColor="text1"/>
          <w:szCs w:val="24"/>
        </w:rPr>
        <w:t>quality control and standardisation systems</w:t>
      </w:r>
      <w:r w:rsidRPr="00751C25">
        <w:rPr>
          <w:rFonts w:ascii="Times New Roman" w:hAnsi="Times New Roman" w:cs="Times New Roman"/>
          <w:color w:val="000000" w:themeColor="text1"/>
          <w:szCs w:val="24"/>
        </w:rPr>
        <w:t xml:space="preserve">. Standard operating procedures, service checklists, and quality audits provide a stable framework that supports employees during peak demand. The findings indicate that clearly defined service standards reduce variability and help maintain reliability across service encounters. Hotels and </w:t>
      </w:r>
      <w:r w:rsidRPr="00751C25">
        <w:rPr>
          <w:rFonts w:ascii="Times New Roman" w:hAnsi="Times New Roman" w:cs="Times New Roman"/>
          <w:color w:val="000000" w:themeColor="text1"/>
          <w:szCs w:val="24"/>
        </w:rPr>
        <w:lastRenderedPageBreak/>
        <w:t>restaurants with established quality assurance systems demonstrate greater resilience during Christmas, as employees can rely on structured processes even under time pressure.</w:t>
      </w:r>
    </w:p>
    <w:p w14:paraId="05D812B1"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 xml:space="preserve">Technology plays an increasingly important role in quality assurance during the festive season. The findings show that </w:t>
      </w:r>
      <w:r w:rsidRPr="00751C25">
        <w:rPr>
          <w:rFonts w:ascii="Times New Roman" w:hAnsi="Times New Roman" w:cs="Times New Roman"/>
          <w:b/>
          <w:bCs/>
          <w:color w:val="000000" w:themeColor="text1"/>
          <w:szCs w:val="24"/>
        </w:rPr>
        <w:t>digital systems</w:t>
      </w:r>
      <w:r w:rsidRPr="00751C25">
        <w:rPr>
          <w:rFonts w:ascii="Times New Roman" w:hAnsi="Times New Roman" w:cs="Times New Roman"/>
          <w:color w:val="000000" w:themeColor="text1"/>
          <w:szCs w:val="24"/>
        </w:rPr>
        <w:t>, such as property management systems, point-of-sale analytics, and customer relationship management platforms, enhance operational coordination and service monitoring. Real-time data allows managers to track service speed, occupancy levels, and guest preferences, enabling quicker responses to emerging issues. During Christmas, technology-supported quality monitoring helps identify service bottlenecks and allocate resources more effectively.</w:t>
      </w:r>
    </w:p>
    <w:p w14:paraId="4D51C7F9"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 xml:space="preserve">The findings also highlight the growing importance of </w:t>
      </w:r>
      <w:r w:rsidRPr="00751C25">
        <w:rPr>
          <w:rFonts w:ascii="Times New Roman" w:hAnsi="Times New Roman" w:cs="Times New Roman"/>
          <w:b/>
          <w:bCs/>
          <w:color w:val="000000" w:themeColor="text1"/>
          <w:szCs w:val="24"/>
        </w:rPr>
        <w:t>customer feedback mechanisms</w:t>
      </w:r>
      <w:r w:rsidRPr="00751C25">
        <w:rPr>
          <w:rFonts w:ascii="Times New Roman" w:hAnsi="Times New Roman" w:cs="Times New Roman"/>
          <w:color w:val="000000" w:themeColor="text1"/>
          <w:szCs w:val="24"/>
        </w:rPr>
        <w:t xml:space="preserve"> in maintaining service excellence. During the Christmas season, guests are more likely to share experiences online due to the emotional significance of festive consumption. Online reviews, social media comments, and real-time feedback platforms provide immediate insights into service performance. Hospitality organisations that actively monitor and respond to feedback are better able to manage service recovery and protect brand reputation during peak periods.</w:t>
      </w:r>
    </w:p>
    <w:p w14:paraId="557173B9"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 xml:space="preserve">Effective </w:t>
      </w:r>
      <w:r w:rsidRPr="00751C25">
        <w:rPr>
          <w:rFonts w:ascii="Times New Roman" w:hAnsi="Times New Roman" w:cs="Times New Roman"/>
          <w:b/>
          <w:bCs/>
          <w:color w:val="000000" w:themeColor="text1"/>
          <w:szCs w:val="24"/>
        </w:rPr>
        <w:t>service recovery practices</w:t>
      </w:r>
      <w:r w:rsidRPr="00751C25">
        <w:rPr>
          <w:rFonts w:ascii="Times New Roman" w:hAnsi="Times New Roman" w:cs="Times New Roman"/>
          <w:color w:val="000000" w:themeColor="text1"/>
          <w:szCs w:val="24"/>
        </w:rPr>
        <w:t xml:space="preserve"> emerged as a crucial factor in quality assurance. The findings indicate that prompt, empathetic responses to service failures during Christmas can mitigate dissatisfaction and even enhance customer loyalty. Empowered employees and clear recovery protocols enable quicker resolution of issues, which is particularly important when managerial capacity is stretched.</w:t>
      </w:r>
    </w:p>
    <w:p w14:paraId="7C7158FE"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Employee engagement and organisational culture also emerged as significant findings. The literature suggests that motivated and supported employees are more likely to deliver discretionary effort and maintain service quality during demanding periods. Recognition programmes, supportive leadership, and fair scheduling practices help sustain employee morale during the Christmas season, reducing burnout and turnover.</w:t>
      </w:r>
    </w:p>
    <w:p w14:paraId="237011D8"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 xml:space="preserve">Overall, the findings demonstrate that quality assurance and service excellence in hospitality during the Christmas season depend on the integration of staff training, quality control systems, technology-enabled monitoring, and customer feedback mechanisms within a supportive service culture. Organisations that proactively plan for peak demand and invest in both human and </w:t>
      </w:r>
      <w:r w:rsidRPr="00751C25">
        <w:rPr>
          <w:rFonts w:ascii="Times New Roman" w:hAnsi="Times New Roman" w:cs="Times New Roman"/>
          <w:color w:val="000000" w:themeColor="text1"/>
          <w:szCs w:val="24"/>
        </w:rPr>
        <w:lastRenderedPageBreak/>
        <w:t>system-based quality management practices are better positioned to deliver consistent and high-quality service during the festive period.</w:t>
      </w:r>
    </w:p>
    <w:p w14:paraId="1332632F" w14:textId="77777777" w:rsidR="007B37BD" w:rsidRDefault="007B37BD" w:rsidP="00B02D87">
      <w:pPr>
        <w:spacing w:line="360" w:lineRule="auto"/>
        <w:rPr>
          <w:rFonts w:ascii="Times New Roman" w:hAnsi="Times New Roman" w:cs="Times New Roman"/>
          <w:color w:val="000000" w:themeColor="text1"/>
          <w:szCs w:val="24"/>
        </w:rPr>
      </w:pPr>
    </w:p>
    <w:p w14:paraId="77927EA2" w14:textId="77777777" w:rsidR="00751C25" w:rsidRDefault="00751C25" w:rsidP="00B02D87">
      <w:pPr>
        <w:spacing w:line="360" w:lineRule="auto"/>
        <w:rPr>
          <w:rFonts w:ascii="Times New Roman" w:hAnsi="Times New Roman" w:cs="Times New Roman"/>
          <w:color w:val="000000" w:themeColor="text1"/>
          <w:szCs w:val="24"/>
        </w:rPr>
      </w:pPr>
    </w:p>
    <w:p w14:paraId="08182753" w14:textId="77777777" w:rsidR="00751C25" w:rsidRDefault="00751C25" w:rsidP="00B02D87">
      <w:pPr>
        <w:spacing w:line="360" w:lineRule="auto"/>
        <w:rPr>
          <w:rFonts w:ascii="Times New Roman" w:hAnsi="Times New Roman" w:cs="Times New Roman"/>
          <w:color w:val="000000" w:themeColor="text1"/>
          <w:szCs w:val="24"/>
        </w:rPr>
      </w:pPr>
    </w:p>
    <w:p w14:paraId="7A45451C" w14:textId="77777777" w:rsidR="00751C25" w:rsidRDefault="00751C25" w:rsidP="00B02D87">
      <w:pPr>
        <w:spacing w:line="360" w:lineRule="auto"/>
        <w:rPr>
          <w:rFonts w:ascii="Times New Roman" w:hAnsi="Times New Roman" w:cs="Times New Roman"/>
          <w:color w:val="000000" w:themeColor="text1"/>
          <w:szCs w:val="24"/>
        </w:rPr>
      </w:pPr>
    </w:p>
    <w:p w14:paraId="1C6573B2" w14:textId="77777777" w:rsidR="00751C25" w:rsidRDefault="00751C25" w:rsidP="00B02D87">
      <w:pPr>
        <w:spacing w:line="360" w:lineRule="auto"/>
        <w:rPr>
          <w:rFonts w:ascii="Times New Roman" w:hAnsi="Times New Roman" w:cs="Times New Roman"/>
          <w:color w:val="000000" w:themeColor="text1"/>
          <w:szCs w:val="24"/>
        </w:rPr>
      </w:pPr>
    </w:p>
    <w:p w14:paraId="5386CFB3" w14:textId="77777777" w:rsidR="00751C25" w:rsidRDefault="00751C25" w:rsidP="00B02D87">
      <w:pPr>
        <w:spacing w:line="360" w:lineRule="auto"/>
        <w:rPr>
          <w:rFonts w:ascii="Times New Roman" w:hAnsi="Times New Roman" w:cs="Times New Roman"/>
          <w:color w:val="000000" w:themeColor="text1"/>
          <w:szCs w:val="24"/>
        </w:rPr>
      </w:pPr>
    </w:p>
    <w:p w14:paraId="6B323DA4" w14:textId="77777777" w:rsidR="00751C25" w:rsidRDefault="00751C25" w:rsidP="00B02D87">
      <w:pPr>
        <w:spacing w:line="360" w:lineRule="auto"/>
        <w:rPr>
          <w:rFonts w:ascii="Times New Roman" w:hAnsi="Times New Roman" w:cs="Times New Roman"/>
          <w:color w:val="000000" w:themeColor="text1"/>
          <w:szCs w:val="24"/>
        </w:rPr>
      </w:pPr>
    </w:p>
    <w:p w14:paraId="501E1667" w14:textId="77777777" w:rsidR="00751C25" w:rsidRDefault="00751C25" w:rsidP="00B02D87">
      <w:pPr>
        <w:spacing w:line="360" w:lineRule="auto"/>
        <w:rPr>
          <w:rFonts w:ascii="Times New Roman" w:hAnsi="Times New Roman" w:cs="Times New Roman"/>
          <w:color w:val="000000" w:themeColor="text1"/>
          <w:szCs w:val="24"/>
        </w:rPr>
      </w:pPr>
    </w:p>
    <w:p w14:paraId="300AA0DD" w14:textId="77777777" w:rsidR="00751C25" w:rsidRDefault="00751C25" w:rsidP="00B02D87">
      <w:pPr>
        <w:spacing w:line="360" w:lineRule="auto"/>
        <w:rPr>
          <w:rFonts w:ascii="Times New Roman" w:hAnsi="Times New Roman" w:cs="Times New Roman"/>
          <w:color w:val="000000" w:themeColor="text1"/>
          <w:szCs w:val="24"/>
        </w:rPr>
      </w:pPr>
    </w:p>
    <w:p w14:paraId="3ACABACD" w14:textId="77777777" w:rsidR="00751C25" w:rsidRDefault="00751C25" w:rsidP="00B02D87">
      <w:pPr>
        <w:spacing w:line="360" w:lineRule="auto"/>
        <w:rPr>
          <w:rFonts w:ascii="Times New Roman" w:hAnsi="Times New Roman" w:cs="Times New Roman"/>
          <w:color w:val="000000" w:themeColor="text1"/>
          <w:szCs w:val="24"/>
        </w:rPr>
      </w:pPr>
    </w:p>
    <w:p w14:paraId="0CE5D96D" w14:textId="77777777" w:rsidR="00751C25" w:rsidRDefault="00751C25" w:rsidP="00B02D87">
      <w:pPr>
        <w:spacing w:line="360" w:lineRule="auto"/>
        <w:rPr>
          <w:rFonts w:ascii="Times New Roman" w:hAnsi="Times New Roman" w:cs="Times New Roman"/>
          <w:color w:val="000000" w:themeColor="text1"/>
          <w:szCs w:val="24"/>
        </w:rPr>
      </w:pPr>
    </w:p>
    <w:p w14:paraId="7E13FFC2" w14:textId="77777777" w:rsidR="00751C25" w:rsidRDefault="00751C25" w:rsidP="00B02D87">
      <w:pPr>
        <w:spacing w:line="360" w:lineRule="auto"/>
        <w:rPr>
          <w:rFonts w:ascii="Times New Roman" w:hAnsi="Times New Roman" w:cs="Times New Roman"/>
          <w:color w:val="000000" w:themeColor="text1"/>
          <w:szCs w:val="24"/>
        </w:rPr>
      </w:pPr>
    </w:p>
    <w:p w14:paraId="3A342468" w14:textId="77777777" w:rsidR="00751C25" w:rsidRDefault="00751C25" w:rsidP="00B02D87">
      <w:pPr>
        <w:spacing w:line="360" w:lineRule="auto"/>
        <w:rPr>
          <w:rFonts w:ascii="Times New Roman" w:hAnsi="Times New Roman" w:cs="Times New Roman"/>
          <w:color w:val="000000" w:themeColor="text1"/>
          <w:szCs w:val="24"/>
        </w:rPr>
      </w:pPr>
    </w:p>
    <w:p w14:paraId="39C7E453" w14:textId="77777777" w:rsidR="00751C25" w:rsidRDefault="00751C25" w:rsidP="00B02D87">
      <w:pPr>
        <w:spacing w:line="360" w:lineRule="auto"/>
        <w:rPr>
          <w:rFonts w:ascii="Times New Roman" w:hAnsi="Times New Roman" w:cs="Times New Roman"/>
          <w:color w:val="000000" w:themeColor="text1"/>
          <w:szCs w:val="24"/>
        </w:rPr>
      </w:pPr>
    </w:p>
    <w:p w14:paraId="3EDDC935" w14:textId="77777777" w:rsidR="00751C25" w:rsidRDefault="00751C25" w:rsidP="00B02D87">
      <w:pPr>
        <w:spacing w:line="360" w:lineRule="auto"/>
        <w:rPr>
          <w:rFonts w:ascii="Times New Roman" w:hAnsi="Times New Roman" w:cs="Times New Roman"/>
          <w:color w:val="000000" w:themeColor="text1"/>
          <w:szCs w:val="24"/>
        </w:rPr>
      </w:pPr>
    </w:p>
    <w:p w14:paraId="0228B3E6" w14:textId="77777777" w:rsidR="007B37BD" w:rsidRDefault="007B37BD" w:rsidP="00B02D87">
      <w:pPr>
        <w:spacing w:line="360" w:lineRule="auto"/>
        <w:rPr>
          <w:rFonts w:ascii="Times New Roman" w:hAnsi="Times New Roman" w:cs="Times New Roman"/>
          <w:color w:val="000000" w:themeColor="text1"/>
          <w:szCs w:val="24"/>
        </w:rPr>
      </w:pPr>
    </w:p>
    <w:p w14:paraId="469CEF5B" w14:textId="77777777" w:rsidR="007B37BD" w:rsidRDefault="007B37BD" w:rsidP="00B02D87">
      <w:pPr>
        <w:spacing w:line="360" w:lineRule="auto"/>
        <w:rPr>
          <w:rFonts w:ascii="Times New Roman" w:hAnsi="Times New Roman" w:cs="Times New Roman"/>
          <w:color w:val="000000" w:themeColor="text1"/>
          <w:szCs w:val="24"/>
        </w:rPr>
      </w:pPr>
    </w:p>
    <w:p w14:paraId="0239ECB6" w14:textId="77777777" w:rsidR="007B37BD" w:rsidRDefault="007B37BD" w:rsidP="00B02D87">
      <w:pPr>
        <w:spacing w:line="360" w:lineRule="auto"/>
        <w:rPr>
          <w:rFonts w:ascii="Times New Roman" w:hAnsi="Times New Roman" w:cs="Times New Roman"/>
          <w:color w:val="000000" w:themeColor="text1"/>
          <w:szCs w:val="24"/>
        </w:rPr>
      </w:pPr>
    </w:p>
    <w:p w14:paraId="7EE5136C" w14:textId="77777777" w:rsidR="007B37BD" w:rsidRDefault="007B37BD" w:rsidP="00B02D87">
      <w:pPr>
        <w:spacing w:line="360" w:lineRule="auto"/>
        <w:rPr>
          <w:rFonts w:ascii="Times New Roman" w:hAnsi="Times New Roman" w:cs="Times New Roman"/>
          <w:color w:val="000000" w:themeColor="text1"/>
          <w:szCs w:val="24"/>
        </w:rPr>
      </w:pPr>
    </w:p>
    <w:p w14:paraId="1311F645" w14:textId="77777777" w:rsidR="00B83471" w:rsidRDefault="00B83471" w:rsidP="007B37BD">
      <w:pPr>
        <w:spacing w:line="360" w:lineRule="auto"/>
        <w:rPr>
          <w:rFonts w:ascii="Times New Roman" w:hAnsi="Times New Roman" w:cs="Times New Roman"/>
          <w:color w:val="000000" w:themeColor="text1"/>
          <w:szCs w:val="24"/>
        </w:rPr>
      </w:pPr>
    </w:p>
    <w:p w14:paraId="0E7DEF11" w14:textId="77777777" w:rsidR="00751C25" w:rsidRPr="00751C25" w:rsidRDefault="006A4481" w:rsidP="00751C25">
      <w:pPr>
        <w:spacing w:line="360" w:lineRule="auto"/>
        <w:rPr>
          <w:rFonts w:cs="Times New Roman"/>
          <w:color w:val="000000" w:themeColor="text1"/>
          <w:szCs w:val="24"/>
        </w:rPr>
      </w:pPr>
      <w:r w:rsidRPr="00345836">
        <w:rPr>
          <w:rFonts w:ascii="Times New Roman" w:hAnsi="Times New Roman" w:cs="Times New Roman"/>
          <w:color w:val="000000" w:themeColor="text1"/>
          <w:szCs w:val="24"/>
        </w:rPr>
        <w:lastRenderedPageBreak/>
        <w:br/>
      </w:r>
      <w:r w:rsidRPr="00345836">
        <w:rPr>
          <w:rFonts w:ascii="Times New Roman" w:hAnsi="Times New Roman" w:cs="Times New Roman"/>
          <w:b/>
          <w:bCs/>
          <w:color w:val="000000" w:themeColor="text1"/>
          <w:szCs w:val="24"/>
        </w:rPr>
        <w:t xml:space="preserve">5. Discussion </w:t>
      </w:r>
      <w:r w:rsidRPr="00345836">
        <w:rPr>
          <w:rFonts w:ascii="Times New Roman" w:hAnsi="Times New Roman" w:cs="Times New Roman"/>
          <w:b/>
          <w:bCs/>
          <w:color w:val="000000" w:themeColor="text1"/>
          <w:szCs w:val="24"/>
        </w:rPr>
        <w:br/>
      </w:r>
      <w:bookmarkStart w:id="4" w:name="_Toc216766366"/>
      <w:r w:rsidR="00751C25" w:rsidRPr="00751C25">
        <w:rPr>
          <w:rFonts w:cs="Times New Roman"/>
          <w:b/>
          <w:bCs/>
          <w:color w:val="000000" w:themeColor="text1"/>
          <w:szCs w:val="24"/>
        </w:rPr>
        <w:t>Quality Assurance and Service Excellence in Hospitality During the Christmas Season</w:t>
      </w:r>
    </w:p>
    <w:p w14:paraId="104913EE"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The findings of this study highlight the complex and multifaceted nature of maintaining quality assurance and service excellence in hospitality during the Christmas season. This discussion interprets the findings in relation to established service quality theories, hospitality management literature, and peak-demand operational frameworks, with particular emphasis on the interaction between human resources, systems, and organisational culture.</w:t>
      </w:r>
    </w:p>
    <w:p w14:paraId="5E8E4024"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 xml:space="preserve">Consistent with </w:t>
      </w:r>
      <w:r w:rsidRPr="00751C25">
        <w:rPr>
          <w:rFonts w:ascii="Times New Roman" w:hAnsi="Times New Roman" w:cs="Times New Roman"/>
          <w:b/>
          <w:bCs/>
          <w:color w:val="000000" w:themeColor="text1"/>
          <w:szCs w:val="24"/>
        </w:rPr>
        <w:t>service quality theory</w:t>
      </w:r>
      <w:r w:rsidRPr="00751C25">
        <w:rPr>
          <w:rFonts w:ascii="Times New Roman" w:hAnsi="Times New Roman" w:cs="Times New Roman"/>
          <w:color w:val="000000" w:themeColor="text1"/>
          <w:szCs w:val="24"/>
        </w:rPr>
        <w:t xml:space="preserve"> and the SERVQUAL framework, the findings confirm that customer expectations during Christmas are significantly elevated. Guests expect not only reliable and efficient service but also emotional warmth, personalisation, and festive ambience. This supports prior research suggesting that service failures during emotionally significant occasions have a stronger negative impact on customer satisfaction and post-consumption evaluations. Therefore, quality assurance during Christmas must extend beyond technical accuracy to include emotional and relational dimensions of service delivery.</w:t>
      </w:r>
    </w:p>
    <w:p w14:paraId="123F8524"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The findings regarding staff training reinforce existing literature that positions employees as the cornerstone of service excellence in hospitality. During Christmas, the reliance on seasonal and temporary staff increases the risk of service inconsistency. However, the discussion shows that structured induction programmes, Christmas-specific training, and empowerment-based approaches mitigate these risks. Empowered employees are better equipped to manage service recovery independently, which is essential during peak periods when managerial oversight is limited. This aligns with service-dominant logic, which emphasises value co-creation through frontline employee–guest interactions.</w:t>
      </w:r>
    </w:p>
    <w:p w14:paraId="29E36450"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Quality control systems and standardisation emerged as critical stabilising mechanisms during peak demand. The findings support operations management literature suggesting that clearly defined standard operating procedures reduce variability and cognitive overload under pressure. However, the discussion also highlights the need for balance. Excessive standardisation may undermine personalised service, which is highly valued during Christmas. Effective hospitality organisations therefore adopt flexible standardisation, allowing employees to personalise interactions within structured service frameworks.</w:t>
      </w:r>
    </w:p>
    <w:p w14:paraId="138C0750"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lastRenderedPageBreak/>
        <w:t>Technology-enabled quality assurance plays an increasingly strategic role during the Christmas season. Digital systems that provide real-time operational data enhance managerial decision-making and resource allocation, supporting service consistency during demand surges. The discussion supports previous research indicating that technology enhances, rather than replaces, human service delivery when used appropriately. Over-reliance on automation, particularly during festive periods, may risk diminishing perceived warmth and authenticity.</w:t>
      </w:r>
    </w:p>
    <w:p w14:paraId="7E014F04"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Customer feedback and service recovery mechanisms were found to be particularly influential during Christmas. The discussion aligns with service recovery theory, which suggests that prompt and empathetic responses to service failures can restore satisfaction and even strengthen loyalty. During peak seasons, when negative experiences are more visible due to online reviews and social media, effective feedback management becomes a strategic imperative rather than a reactive function.</w:t>
      </w:r>
    </w:p>
    <w:p w14:paraId="13414D2F"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Employee engagement and organisational culture further contextualise service excellence during Christmas. The discussion supports the view that motivated and supported employees are more resilient under pressure and more willing to deliver discretionary effort. Recognition, fair scheduling, and supportive leadership contribute to sustaining morale during demanding festive periods, reinforcing the link between internal service quality and external customer satisfaction.</w:t>
      </w:r>
    </w:p>
    <w:p w14:paraId="4B3AB9F3"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Overall, the discussion demonstrates that service excellence during the Christmas season is achieved through the integration of people, processes, and technology within a strong service culture. Hospitality organisations that proactively align these elements are better positioned to meet festive demand while protecting service quality and brand reputation.</w:t>
      </w:r>
    </w:p>
    <w:p w14:paraId="1C781EB0" w14:textId="26FC69C2" w:rsidR="00B83471" w:rsidRDefault="00B83471" w:rsidP="00B02D87">
      <w:pPr>
        <w:spacing w:line="360" w:lineRule="auto"/>
        <w:rPr>
          <w:rStyle w:val="Heading1Char"/>
          <w:rFonts w:ascii="Times New Roman" w:hAnsi="Times New Roman" w:cs="Times New Roman"/>
          <w:b/>
          <w:bCs/>
          <w:color w:val="000000" w:themeColor="text1"/>
          <w:sz w:val="24"/>
          <w:szCs w:val="24"/>
        </w:rPr>
      </w:pPr>
    </w:p>
    <w:p w14:paraId="00165773" w14:textId="77777777" w:rsidR="00751C25" w:rsidRDefault="00751C25" w:rsidP="00B02D87">
      <w:pPr>
        <w:spacing w:line="360" w:lineRule="auto"/>
        <w:rPr>
          <w:rStyle w:val="Heading1Char"/>
          <w:rFonts w:ascii="Times New Roman" w:hAnsi="Times New Roman" w:cs="Times New Roman"/>
          <w:b/>
          <w:bCs/>
          <w:color w:val="000000" w:themeColor="text1"/>
          <w:sz w:val="24"/>
          <w:szCs w:val="24"/>
        </w:rPr>
      </w:pPr>
    </w:p>
    <w:p w14:paraId="751C7E37" w14:textId="77777777" w:rsidR="00751C25" w:rsidRDefault="00751C25" w:rsidP="00B02D87">
      <w:pPr>
        <w:spacing w:line="360" w:lineRule="auto"/>
        <w:rPr>
          <w:rStyle w:val="Heading1Char"/>
          <w:rFonts w:ascii="Times New Roman" w:hAnsi="Times New Roman" w:cs="Times New Roman"/>
          <w:b/>
          <w:bCs/>
          <w:color w:val="000000" w:themeColor="text1"/>
          <w:sz w:val="24"/>
          <w:szCs w:val="24"/>
        </w:rPr>
      </w:pPr>
    </w:p>
    <w:p w14:paraId="146D72F7" w14:textId="77777777" w:rsidR="00751C25" w:rsidRDefault="00751C25" w:rsidP="00B02D87">
      <w:pPr>
        <w:spacing w:line="360" w:lineRule="auto"/>
        <w:rPr>
          <w:rStyle w:val="Heading1Char"/>
          <w:rFonts w:ascii="Times New Roman" w:hAnsi="Times New Roman" w:cs="Times New Roman"/>
          <w:b/>
          <w:bCs/>
          <w:color w:val="000000" w:themeColor="text1"/>
          <w:sz w:val="24"/>
          <w:szCs w:val="24"/>
        </w:rPr>
      </w:pPr>
    </w:p>
    <w:p w14:paraId="4571BCE1" w14:textId="77777777" w:rsidR="00751C25" w:rsidRDefault="00751C25" w:rsidP="00B02D87">
      <w:pPr>
        <w:spacing w:line="360" w:lineRule="auto"/>
        <w:rPr>
          <w:rStyle w:val="Heading1Char"/>
          <w:rFonts w:ascii="Times New Roman" w:hAnsi="Times New Roman" w:cs="Times New Roman"/>
          <w:b/>
          <w:bCs/>
          <w:color w:val="000000" w:themeColor="text1"/>
          <w:sz w:val="24"/>
          <w:szCs w:val="24"/>
        </w:rPr>
      </w:pPr>
    </w:p>
    <w:p w14:paraId="25F73096" w14:textId="77777777" w:rsidR="00751C25" w:rsidRDefault="00751C25" w:rsidP="00B02D87">
      <w:pPr>
        <w:spacing w:line="360" w:lineRule="auto"/>
        <w:rPr>
          <w:rStyle w:val="Heading1Char"/>
          <w:rFonts w:ascii="Times New Roman" w:hAnsi="Times New Roman" w:cs="Times New Roman"/>
          <w:b/>
          <w:bCs/>
          <w:color w:val="000000" w:themeColor="text1"/>
          <w:sz w:val="24"/>
          <w:szCs w:val="24"/>
        </w:rPr>
      </w:pPr>
    </w:p>
    <w:p w14:paraId="6EBCEF3F" w14:textId="2005E03C" w:rsidR="002942F0" w:rsidRPr="00345836" w:rsidRDefault="00452437" w:rsidP="00B02D87">
      <w:pPr>
        <w:spacing w:line="360" w:lineRule="auto"/>
        <w:rPr>
          <w:rStyle w:val="Heading1Char"/>
          <w:rFonts w:ascii="Times New Roman" w:hAnsi="Times New Roman" w:cs="Times New Roman"/>
          <w:b/>
          <w:bCs/>
          <w:color w:val="000000" w:themeColor="text1"/>
          <w:sz w:val="24"/>
          <w:szCs w:val="24"/>
        </w:rPr>
      </w:pPr>
      <w:r>
        <w:rPr>
          <w:rStyle w:val="Heading1Char"/>
          <w:rFonts w:ascii="Times New Roman" w:hAnsi="Times New Roman" w:cs="Times New Roman"/>
          <w:b/>
          <w:bCs/>
          <w:color w:val="000000" w:themeColor="text1"/>
          <w:sz w:val="24"/>
          <w:szCs w:val="24"/>
        </w:rPr>
        <w:lastRenderedPageBreak/>
        <w:t>6</w:t>
      </w:r>
      <w:r w:rsidR="002942F0" w:rsidRPr="00345836">
        <w:rPr>
          <w:rStyle w:val="Heading1Char"/>
          <w:rFonts w:ascii="Times New Roman" w:hAnsi="Times New Roman" w:cs="Times New Roman"/>
          <w:b/>
          <w:bCs/>
          <w:color w:val="000000" w:themeColor="text1"/>
          <w:sz w:val="24"/>
          <w:szCs w:val="24"/>
        </w:rPr>
        <w:t xml:space="preserve">.0 CONCLUSION </w:t>
      </w:r>
    </w:p>
    <w:p w14:paraId="16AD8AEF" w14:textId="77777777" w:rsidR="00751C25" w:rsidRPr="00751C25" w:rsidRDefault="00751C25" w:rsidP="00751C25">
      <w:pPr>
        <w:spacing w:line="360" w:lineRule="auto"/>
        <w:rPr>
          <w:rFonts w:ascii="Times New Roman" w:eastAsiaTheme="majorEastAsia" w:hAnsi="Times New Roman" w:cs="Times New Roman"/>
          <w:color w:val="000000" w:themeColor="text1"/>
          <w:szCs w:val="24"/>
        </w:rPr>
      </w:pPr>
      <w:r w:rsidRPr="00751C25">
        <w:rPr>
          <w:rFonts w:ascii="Times New Roman" w:eastAsiaTheme="majorEastAsia" w:hAnsi="Times New Roman" w:cs="Times New Roman"/>
          <w:color w:val="000000" w:themeColor="text1"/>
          <w:szCs w:val="24"/>
        </w:rPr>
        <w:t>This report examined quality assurance and service excellence in hospitality during the Christmas season, a period characterised by peak demand, heightened customer expectations, and increased operational complexity. The analysis demonstrates that while Christmas offers significant revenue opportunities for hotels, resorts, and restaurants, it also presents substantial challenges to maintaining consistent service quality.</w:t>
      </w:r>
    </w:p>
    <w:p w14:paraId="1AB7A554" w14:textId="77777777" w:rsidR="00751C25" w:rsidRPr="00751C25" w:rsidRDefault="00751C25" w:rsidP="00751C25">
      <w:pPr>
        <w:spacing w:line="360" w:lineRule="auto"/>
        <w:rPr>
          <w:rFonts w:ascii="Times New Roman" w:eastAsiaTheme="majorEastAsia" w:hAnsi="Times New Roman" w:cs="Times New Roman"/>
          <w:color w:val="000000" w:themeColor="text1"/>
          <w:szCs w:val="24"/>
        </w:rPr>
      </w:pPr>
      <w:r w:rsidRPr="00751C25">
        <w:rPr>
          <w:rFonts w:ascii="Times New Roman" w:eastAsiaTheme="majorEastAsia" w:hAnsi="Times New Roman" w:cs="Times New Roman"/>
          <w:color w:val="000000" w:themeColor="text1"/>
          <w:szCs w:val="24"/>
        </w:rPr>
        <w:t>The findings and discussion highlight that service excellence during the festive season depends on the effective integration of staff training, quality control systems, technology-enabled monitoring, and customer feedback mechanisms. Structured training programmes, particularly those tailored to Christmas-specific service requirements, equip employees to manage increased workload and emotional labour. Quality assurance systems, including standard operating procedures and real-time monitoring tools, provide operational stability and reduce service variability under pressure.</w:t>
      </w:r>
    </w:p>
    <w:p w14:paraId="124E4B54" w14:textId="77777777" w:rsidR="00751C25" w:rsidRPr="00751C25" w:rsidRDefault="00751C25" w:rsidP="00751C25">
      <w:pPr>
        <w:spacing w:line="360" w:lineRule="auto"/>
        <w:rPr>
          <w:rFonts w:ascii="Times New Roman" w:eastAsiaTheme="majorEastAsia" w:hAnsi="Times New Roman" w:cs="Times New Roman"/>
          <w:color w:val="000000" w:themeColor="text1"/>
          <w:szCs w:val="24"/>
        </w:rPr>
      </w:pPr>
      <w:r w:rsidRPr="00751C25">
        <w:rPr>
          <w:rFonts w:ascii="Times New Roman" w:eastAsiaTheme="majorEastAsia" w:hAnsi="Times New Roman" w:cs="Times New Roman"/>
          <w:color w:val="000000" w:themeColor="text1"/>
          <w:szCs w:val="24"/>
        </w:rPr>
        <w:t>Importantly, the report confirms that service excellence during Christmas is not achieved through operational efficiency alone. Employee engagement, empowerment, and organisational culture play a critical role in sustaining service quality during demanding periods. Motivated employees supported by effective leadership and fair work practices are more capable of delivering personalised and empathetic service, which is highly valued during festive occasions.</w:t>
      </w:r>
    </w:p>
    <w:p w14:paraId="60AC97C0" w14:textId="77777777" w:rsidR="00751C25" w:rsidRPr="00751C25" w:rsidRDefault="00751C25" w:rsidP="00751C25">
      <w:pPr>
        <w:spacing w:line="360" w:lineRule="auto"/>
        <w:rPr>
          <w:rFonts w:ascii="Times New Roman" w:eastAsiaTheme="majorEastAsia" w:hAnsi="Times New Roman" w:cs="Times New Roman"/>
          <w:color w:val="000000" w:themeColor="text1"/>
          <w:szCs w:val="24"/>
        </w:rPr>
      </w:pPr>
      <w:r w:rsidRPr="00751C25">
        <w:rPr>
          <w:rFonts w:ascii="Times New Roman" w:eastAsiaTheme="majorEastAsia" w:hAnsi="Times New Roman" w:cs="Times New Roman"/>
          <w:color w:val="000000" w:themeColor="text1"/>
          <w:szCs w:val="24"/>
        </w:rPr>
        <w:t>In conclusion, hospitality organisations that proactively plan for peak demand and invest in both human and system-based quality management practices are better positioned to deliver consistent, high-quality service during the Christmas season. By balancing standardisation with personalisation and efficiency with emotional engagement, hospitality businesses can enhance customer satisfaction, protect brand reputation, and foster long-term loyalty. Future research could explore comparative case studies across different hospitality segments or incorporate primary data from frontline employees and managers to further deepen understanding of festive service quality management.</w:t>
      </w:r>
    </w:p>
    <w:p w14:paraId="151420F1" w14:textId="77777777" w:rsidR="00B83471" w:rsidRDefault="00B83471" w:rsidP="00B02D87">
      <w:pPr>
        <w:spacing w:line="360" w:lineRule="auto"/>
        <w:rPr>
          <w:rStyle w:val="Heading1Char"/>
          <w:rFonts w:ascii="Times New Roman" w:hAnsi="Times New Roman" w:cs="Times New Roman"/>
          <w:b/>
          <w:bCs/>
          <w:color w:val="000000" w:themeColor="text1"/>
          <w:sz w:val="24"/>
          <w:szCs w:val="24"/>
        </w:rPr>
      </w:pPr>
    </w:p>
    <w:p w14:paraId="25CE635A" w14:textId="77777777" w:rsidR="00B83471" w:rsidRPr="00345836" w:rsidRDefault="00B83471" w:rsidP="00B02D87">
      <w:pPr>
        <w:spacing w:line="360" w:lineRule="auto"/>
        <w:rPr>
          <w:rStyle w:val="Heading1Char"/>
          <w:rFonts w:ascii="Times New Roman" w:hAnsi="Times New Roman" w:cs="Times New Roman"/>
          <w:b/>
          <w:bCs/>
          <w:color w:val="000000" w:themeColor="text1"/>
          <w:sz w:val="24"/>
          <w:szCs w:val="24"/>
        </w:rPr>
      </w:pPr>
    </w:p>
    <w:p w14:paraId="0881047A" w14:textId="259B97AF" w:rsidR="004D7D13" w:rsidRPr="00345836" w:rsidRDefault="004D7D13" w:rsidP="00B02D87">
      <w:pPr>
        <w:spacing w:line="360" w:lineRule="auto"/>
        <w:rPr>
          <w:rFonts w:ascii="Times New Roman" w:hAnsi="Times New Roman" w:cs="Times New Roman"/>
          <w:b/>
          <w:bCs/>
          <w:color w:val="000000" w:themeColor="text1"/>
          <w:szCs w:val="24"/>
        </w:rPr>
      </w:pPr>
      <w:r w:rsidRPr="00345836">
        <w:rPr>
          <w:rFonts w:ascii="Times New Roman" w:hAnsi="Times New Roman" w:cs="Times New Roman"/>
          <w:b/>
          <w:bCs/>
          <w:color w:val="000000" w:themeColor="text1"/>
          <w:szCs w:val="24"/>
        </w:rPr>
        <w:lastRenderedPageBreak/>
        <w:t>Reference List</w:t>
      </w:r>
      <w:bookmarkEnd w:id="4"/>
      <w:r w:rsidRPr="00345836">
        <w:rPr>
          <w:rFonts w:ascii="Times New Roman" w:hAnsi="Times New Roman" w:cs="Times New Roman"/>
          <w:b/>
          <w:bCs/>
          <w:color w:val="000000" w:themeColor="text1"/>
          <w:szCs w:val="24"/>
        </w:rPr>
        <w:t xml:space="preserve"> </w:t>
      </w:r>
    </w:p>
    <w:p w14:paraId="0111E3E3"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Albrecht, S. L., Bakker, A. B., Gruman, J. A., Macey, W. H., &amp; Saks, A. M. (2015). Employee engagement, human resource management practices and competitive advantage. </w:t>
      </w:r>
      <w:r w:rsidRPr="00452437">
        <w:rPr>
          <w:rFonts w:ascii="Times New Roman" w:hAnsi="Times New Roman" w:cs="Times New Roman"/>
          <w:i/>
          <w:iCs/>
          <w:color w:val="000000" w:themeColor="text1"/>
          <w:szCs w:val="24"/>
        </w:rPr>
        <w:t>Journal of Organizational Effectiveness: People and Performance, 2</w:t>
      </w:r>
      <w:r w:rsidRPr="00452437">
        <w:rPr>
          <w:rFonts w:ascii="Times New Roman" w:hAnsi="Times New Roman" w:cs="Times New Roman"/>
          <w:color w:val="000000" w:themeColor="text1"/>
          <w:szCs w:val="24"/>
        </w:rPr>
        <w:t>(1), 7–35. https://doi.org/10.1108/JOEPP-08-2014-0042</w:t>
      </w:r>
    </w:p>
    <w:p w14:paraId="26603C0E"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Baum, T. (2015). </w:t>
      </w:r>
      <w:r w:rsidRPr="00452437">
        <w:rPr>
          <w:rFonts w:ascii="Times New Roman" w:hAnsi="Times New Roman" w:cs="Times New Roman"/>
          <w:i/>
          <w:iCs/>
          <w:color w:val="000000" w:themeColor="text1"/>
          <w:szCs w:val="24"/>
        </w:rPr>
        <w:t>Human resource management for tourism, hospitality and leisure: An international perspective</w:t>
      </w:r>
      <w:r w:rsidRPr="00452437">
        <w:rPr>
          <w:rFonts w:ascii="Times New Roman" w:hAnsi="Times New Roman" w:cs="Times New Roman"/>
          <w:color w:val="000000" w:themeColor="text1"/>
          <w:szCs w:val="24"/>
        </w:rPr>
        <w:t xml:space="preserve"> (2nd ed.). Cengage Learning.</w:t>
      </w:r>
    </w:p>
    <w:p w14:paraId="54ECAE97"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Bitner, M. J., Ostrom, A. L., &amp; Morgan, F. N. (2008). Service blueprinting: A practical technique for service innovation. </w:t>
      </w:r>
      <w:r w:rsidRPr="00452437">
        <w:rPr>
          <w:rFonts w:ascii="Times New Roman" w:hAnsi="Times New Roman" w:cs="Times New Roman"/>
          <w:i/>
          <w:iCs/>
          <w:color w:val="000000" w:themeColor="text1"/>
          <w:szCs w:val="24"/>
        </w:rPr>
        <w:t>California Management Review, 50</w:t>
      </w:r>
      <w:r w:rsidRPr="00452437">
        <w:rPr>
          <w:rFonts w:ascii="Times New Roman" w:hAnsi="Times New Roman" w:cs="Times New Roman"/>
          <w:color w:val="000000" w:themeColor="text1"/>
          <w:szCs w:val="24"/>
        </w:rPr>
        <w:t>(3), 66–94. https://doi.org/10.2307/41166446</w:t>
      </w:r>
    </w:p>
    <w:p w14:paraId="16F2C378"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Grönroos, C. (2015). </w:t>
      </w:r>
      <w:r w:rsidRPr="00452437">
        <w:rPr>
          <w:rFonts w:ascii="Times New Roman" w:hAnsi="Times New Roman" w:cs="Times New Roman"/>
          <w:i/>
          <w:iCs/>
          <w:color w:val="000000" w:themeColor="text1"/>
          <w:szCs w:val="24"/>
        </w:rPr>
        <w:t>Service management and marketing: Managing the service profit logic</w:t>
      </w:r>
      <w:r w:rsidRPr="00452437">
        <w:rPr>
          <w:rFonts w:ascii="Times New Roman" w:hAnsi="Times New Roman" w:cs="Times New Roman"/>
          <w:color w:val="000000" w:themeColor="text1"/>
          <w:szCs w:val="24"/>
        </w:rPr>
        <w:t xml:space="preserve"> (4th ed.). Wiley.</w:t>
      </w:r>
    </w:p>
    <w:p w14:paraId="7A417DE6"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Johnston, R., &amp; Clark, G. (2018). </w:t>
      </w:r>
      <w:r w:rsidRPr="00452437">
        <w:rPr>
          <w:rFonts w:ascii="Times New Roman" w:hAnsi="Times New Roman" w:cs="Times New Roman"/>
          <w:i/>
          <w:iCs/>
          <w:color w:val="000000" w:themeColor="text1"/>
          <w:szCs w:val="24"/>
        </w:rPr>
        <w:t>Service operations management</w:t>
      </w:r>
      <w:r w:rsidRPr="00452437">
        <w:rPr>
          <w:rFonts w:ascii="Times New Roman" w:hAnsi="Times New Roman" w:cs="Times New Roman"/>
          <w:color w:val="000000" w:themeColor="text1"/>
          <w:szCs w:val="24"/>
        </w:rPr>
        <w:t xml:space="preserve"> (5th ed.). Pearson Education.</w:t>
      </w:r>
    </w:p>
    <w:p w14:paraId="3D87E04F" w14:textId="77777777" w:rsidR="00452437" w:rsidRPr="00452437" w:rsidRDefault="00452437" w:rsidP="00452437">
      <w:pPr>
        <w:spacing w:line="360" w:lineRule="auto"/>
        <w:rPr>
          <w:rFonts w:ascii="Times New Roman" w:hAnsi="Times New Roman" w:cs="Times New Roman"/>
          <w:color w:val="000000" w:themeColor="text1"/>
          <w:szCs w:val="24"/>
        </w:rPr>
      </w:pPr>
      <w:proofErr w:type="spellStart"/>
      <w:r w:rsidRPr="00452437">
        <w:rPr>
          <w:rFonts w:ascii="Times New Roman" w:hAnsi="Times New Roman" w:cs="Times New Roman"/>
          <w:color w:val="000000" w:themeColor="text1"/>
          <w:szCs w:val="24"/>
        </w:rPr>
        <w:t>Kandampully</w:t>
      </w:r>
      <w:proofErr w:type="spellEnd"/>
      <w:r w:rsidRPr="00452437">
        <w:rPr>
          <w:rFonts w:ascii="Times New Roman" w:hAnsi="Times New Roman" w:cs="Times New Roman"/>
          <w:color w:val="000000" w:themeColor="text1"/>
          <w:szCs w:val="24"/>
        </w:rPr>
        <w:t xml:space="preserve">, J., Zhang, T. C., &amp; Jaakkola, E. (2018). Customer experience management in hospitality: A literature synthesis and implications for future research. </w:t>
      </w:r>
      <w:r w:rsidRPr="00452437">
        <w:rPr>
          <w:rFonts w:ascii="Times New Roman" w:hAnsi="Times New Roman" w:cs="Times New Roman"/>
          <w:i/>
          <w:iCs/>
          <w:color w:val="000000" w:themeColor="text1"/>
          <w:szCs w:val="24"/>
        </w:rPr>
        <w:t>International Journal of Contemporary Hospitality Management, 30</w:t>
      </w:r>
      <w:r w:rsidRPr="00452437">
        <w:rPr>
          <w:rFonts w:ascii="Times New Roman" w:hAnsi="Times New Roman" w:cs="Times New Roman"/>
          <w:color w:val="000000" w:themeColor="text1"/>
          <w:szCs w:val="24"/>
        </w:rPr>
        <w:t>(1), 21–56. https://doi.org/10.1108/IJCHM-10-2015-0549</w:t>
      </w:r>
    </w:p>
    <w:p w14:paraId="20B50500"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Lashley, C. (2018). </w:t>
      </w:r>
      <w:r w:rsidRPr="00452437">
        <w:rPr>
          <w:rFonts w:ascii="Times New Roman" w:hAnsi="Times New Roman" w:cs="Times New Roman"/>
          <w:i/>
          <w:iCs/>
          <w:color w:val="000000" w:themeColor="text1"/>
          <w:szCs w:val="24"/>
        </w:rPr>
        <w:t>Hospitality management: A brief introduction</w:t>
      </w:r>
      <w:r w:rsidRPr="00452437">
        <w:rPr>
          <w:rFonts w:ascii="Times New Roman" w:hAnsi="Times New Roman" w:cs="Times New Roman"/>
          <w:color w:val="000000" w:themeColor="text1"/>
          <w:szCs w:val="24"/>
        </w:rPr>
        <w:t xml:space="preserve"> (2nd ed.). Routledge.</w:t>
      </w:r>
    </w:p>
    <w:p w14:paraId="5B8DA3B8"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Oakland, J. S. (2014). </w:t>
      </w:r>
      <w:r w:rsidRPr="00452437">
        <w:rPr>
          <w:rFonts w:ascii="Times New Roman" w:hAnsi="Times New Roman" w:cs="Times New Roman"/>
          <w:i/>
          <w:iCs/>
          <w:color w:val="000000" w:themeColor="text1"/>
          <w:szCs w:val="24"/>
        </w:rPr>
        <w:t>Total quality management and operational excellence: Text with cases</w:t>
      </w:r>
      <w:r w:rsidRPr="00452437">
        <w:rPr>
          <w:rFonts w:ascii="Times New Roman" w:hAnsi="Times New Roman" w:cs="Times New Roman"/>
          <w:color w:val="000000" w:themeColor="text1"/>
          <w:szCs w:val="24"/>
        </w:rPr>
        <w:t xml:space="preserve"> (4th ed.). Routledge.</w:t>
      </w:r>
    </w:p>
    <w:p w14:paraId="63CEB810"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Parasuraman, A., Zeithaml, V. A., &amp; Berry, L. L. (1988). SERVQUAL: A multiple-item scale for measuring consumer perceptions of service quality. </w:t>
      </w:r>
      <w:r w:rsidRPr="00452437">
        <w:rPr>
          <w:rFonts w:ascii="Times New Roman" w:hAnsi="Times New Roman" w:cs="Times New Roman"/>
          <w:i/>
          <w:iCs/>
          <w:color w:val="000000" w:themeColor="text1"/>
          <w:szCs w:val="24"/>
        </w:rPr>
        <w:t>Journal of Retailing, 64</w:t>
      </w:r>
      <w:r w:rsidRPr="00452437">
        <w:rPr>
          <w:rFonts w:ascii="Times New Roman" w:hAnsi="Times New Roman" w:cs="Times New Roman"/>
          <w:color w:val="000000" w:themeColor="text1"/>
          <w:szCs w:val="24"/>
        </w:rPr>
        <w:t>(1), 12–40.</w:t>
      </w:r>
    </w:p>
    <w:p w14:paraId="0C781F13"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Sigala, M. (2018). Implementing social customer relationship management in the hospitality industry. </w:t>
      </w:r>
      <w:r w:rsidRPr="00452437">
        <w:rPr>
          <w:rFonts w:ascii="Times New Roman" w:hAnsi="Times New Roman" w:cs="Times New Roman"/>
          <w:i/>
          <w:iCs/>
          <w:color w:val="000000" w:themeColor="text1"/>
          <w:szCs w:val="24"/>
        </w:rPr>
        <w:t>International Journal of Contemporary Hospitality Management, 30</w:t>
      </w:r>
      <w:r w:rsidRPr="00452437">
        <w:rPr>
          <w:rFonts w:ascii="Times New Roman" w:hAnsi="Times New Roman" w:cs="Times New Roman"/>
          <w:color w:val="000000" w:themeColor="text1"/>
          <w:szCs w:val="24"/>
        </w:rPr>
        <w:t>(7), 2692–2716. https://doi.org/10.1108/IJCHM-07-2016-0388</w:t>
      </w:r>
    </w:p>
    <w:p w14:paraId="774CC689"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lastRenderedPageBreak/>
        <w:t xml:space="preserve">Tax, S. S., Brown, S. W., &amp; </w:t>
      </w:r>
      <w:proofErr w:type="spellStart"/>
      <w:r w:rsidRPr="00452437">
        <w:rPr>
          <w:rFonts w:ascii="Times New Roman" w:hAnsi="Times New Roman" w:cs="Times New Roman"/>
          <w:color w:val="000000" w:themeColor="text1"/>
          <w:szCs w:val="24"/>
        </w:rPr>
        <w:t>Chandrashekaran</w:t>
      </w:r>
      <w:proofErr w:type="spellEnd"/>
      <w:r w:rsidRPr="00452437">
        <w:rPr>
          <w:rFonts w:ascii="Times New Roman" w:hAnsi="Times New Roman" w:cs="Times New Roman"/>
          <w:color w:val="000000" w:themeColor="text1"/>
          <w:szCs w:val="24"/>
        </w:rPr>
        <w:t xml:space="preserve">, M. (1998). Customer evaluations of service complaint experiences. </w:t>
      </w:r>
      <w:r w:rsidRPr="00452437">
        <w:rPr>
          <w:rFonts w:ascii="Times New Roman" w:hAnsi="Times New Roman" w:cs="Times New Roman"/>
          <w:i/>
          <w:iCs/>
          <w:color w:val="000000" w:themeColor="text1"/>
          <w:szCs w:val="24"/>
        </w:rPr>
        <w:t>Journal of Marketing, 62</w:t>
      </w:r>
      <w:r w:rsidRPr="00452437">
        <w:rPr>
          <w:rFonts w:ascii="Times New Roman" w:hAnsi="Times New Roman" w:cs="Times New Roman"/>
          <w:color w:val="000000" w:themeColor="text1"/>
          <w:szCs w:val="24"/>
        </w:rPr>
        <w:t xml:space="preserve">(2), 60–76. </w:t>
      </w:r>
      <w:hyperlink r:id="rId7" w:tgtFrame="_new" w:history="1">
        <w:r w:rsidRPr="00452437">
          <w:rPr>
            <w:rStyle w:val="Hyperlink"/>
            <w:rFonts w:ascii="Times New Roman" w:hAnsi="Times New Roman" w:cs="Times New Roman"/>
            <w:szCs w:val="24"/>
          </w:rPr>
          <w:t>https://doi.org/10.1177/002224299806200205</w:t>
        </w:r>
      </w:hyperlink>
    </w:p>
    <w:p w14:paraId="57695D2B"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Xiang, Z., Schwartz, Z., Gerdes, J. H., &amp; Uysal, M. (2017). What can big data and text analytics tell us about hotel guest experience and satisfaction? </w:t>
      </w:r>
      <w:r w:rsidRPr="00452437">
        <w:rPr>
          <w:rFonts w:ascii="Times New Roman" w:hAnsi="Times New Roman" w:cs="Times New Roman"/>
          <w:i/>
          <w:iCs/>
          <w:color w:val="000000" w:themeColor="text1"/>
          <w:szCs w:val="24"/>
        </w:rPr>
        <w:t>Tourism Management, 59</w:t>
      </w:r>
      <w:r w:rsidRPr="00452437">
        <w:rPr>
          <w:rFonts w:ascii="Times New Roman" w:hAnsi="Times New Roman" w:cs="Times New Roman"/>
          <w:color w:val="000000" w:themeColor="text1"/>
          <w:szCs w:val="24"/>
        </w:rPr>
        <w:t>, 295–305. https://doi.org/10.1016/j.tourman.2016.08.015</w:t>
      </w:r>
    </w:p>
    <w:p w14:paraId="00282DF1"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Zeithaml, V. A., Bitner, M. J., &amp; Gremler, D. D. (2020). </w:t>
      </w:r>
      <w:r w:rsidRPr="00452437">
        <w:rPr>
          <w:rFonts w:ascii="Times New Roman" w:hAnsi="Times New Roman" w:cs="Times New Roman"/>
          <w:i/>
          <w:iCs/>
          <w:color w:val="000000" w:themeColor="text1"/>
          <w:szCs w:val="24"/>
        </w:rPr>
        <w:t>Services marketing: Integrating customer focus across the firm</w:t>
      </w:r>
      <w:r w:rsidRPr="00452437">
        <w:rPr>
          <w:rFonts w:ascii="Times New Roman" w:hAnsi="Times New Roman" w:cs="Times New Roman"/>
          <w:color w:val="000000" w:themeColor="text1"/>
          <w:szCs w:val="24"/>
        </w:rPr>
        <w:t xml:space="preserve"> (7th ed.). McGraw-Hill Education.</w:t>
      </w:r>
    </w:p>
    <w:p w14:paraId="0471EDC4" w14:textId="77777777" w:rsidR="001E2A7C" w:rsidRPr="00345836" w:rsidRDefault="001E2A7C" w:rsidP="00452437">
      <w:pPr>
        <w:spacing w:line="360" w:lineRule="auto"/>
        <w:rPr>
          <w:rFonts w:ascii="Times New Roman" w:hAnsi="Times New Roman" w:cs="Times New Roman"/>
          <w:color w:val="000000" w:themeColor="text1"/>
          <w:szCs w:val="24"/>
        </w:rPr>
      </w:pPr>
    </w:p>
    <w:sectPr w:rsidR="001E2A7C" w:rsidRPr="0034583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870254"/>
    <w:multiLevelType w:val="multilevel"/>
    <w:tmpl w:val="E9447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033288"/>
    <w:multiLevelType w:val="multilevel"/>
    <w:tmpl w:val="83C45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38D6"/>
    <w:multiLevelType w:val="multilevel"/>
    <w:tmpl w:val="72466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141621"/>
    <w:multiLevelType w:val="multilevel"/>
    <w:tmpl w:val="65A6F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D54A33"/>
    <w:multiLevelType w:val="multilevel"/>
    <w:tmpl w:val="80F01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D37EA"/>
    <w:multiLevelType w:val="multilevel"/>
    <w:tmpl w:val="BAAAB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CD683E"/>
    <w:multiLevelType w:val="hybridMultilevel"/>
    <w:tmpl w:val="55AC3780"/>
    <w:lvl w:ilvl="0" w:tplc="6F184B8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FD124C7"/>
    <w:multiLevelType w:val="multilevel"/>
    <w:tmpl w:val="524A3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5C7993"/>
    <w:multiLevelType w:val="multilevel"/>
    <w:tmpl w:val="81483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A552A1"/>
    <w:multiLevelType w:val="multilevel"/>
    <w:tmpl w:val="4B3E1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A97B45"/>
    <w:multiLevelType w:val="multilevel"/>
    <w:tmpl w:val="BB309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FB5E8B"/>
    <w:multiLevelType w:val="multilevel"/>
    <w:tmpl w:val="8D7A2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381D2C"/>
    <w:multiLevelType w:val="multilevel"/>
    <w:tmpl w:val="AC76D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4A483A"/>
    <w:multiLevelType w:val="multilevel"/>
    <w:tmpl w:val="35127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F5B2BA1"/>
    <w:multiLevelType w:val="multilevel"/>
    <w:tmpl w:val="035C1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2A97346"/>
    <w:multiLevelType w:val="multilevel"/>
    <w:tmpl w:val="46FCB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5172CF5"/>
    <w:multiLevelType w:val="hybridMultilevel"/>
    <w:tmpl w:val="F920C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96F1663"/>
    <w:multiLevelType w:val="multilevel"/>
    <w:tmpl w:val="36D86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D326F6E"/>
    <w:multiLevelType w:val="multilevel"/>
    <w:tmpl w:val="38543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46773BC"/>
    <w:multiLevelType w:val="multilevel"/>
    <w:tmpl w:val="9664F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D380F19"/>
    <w:multiLevelType w:val="multilevel"/>
    <w:tmpl w:val="C470A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DE3308F"/>
    <w:multiLevelType w:val="hybridMultilevel"/>
    <w:tmpl w:val="D31C546A"/>
    <w:lvl w:ilvl="0" w:tplc="A020533E">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4"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7"/>
  </w:num>
  <w:num w:numId="2" w16cid:durableId="1928492258">
    <w:abstractNumId w:val="33"/>
  </w:num>
  <w:num w:numId="3" w16cid:durableId="1950237153">
    <w:abstractNumId w:val="4"/>
  </w:num>
  <w:num w:numId="4" w16cid:durableId="1363168827">
    <w:abstractNumId w:val="38"/>
  </w:num>
  <w:num w:numId="5" w16cid:durableId="357974320">
    <w:abstractNumId w:val="12"/>
  </w:num>
  <w:num w:numId="6" w16cid:durableId="579674841">
    <w:abstractNumId w:val="13"/>
  </w:num>
  <w:num w:numId="7" w16cid:durableId="359084666">
    <w:abstractNumId w:val="11"/>
  </w:num>
  <w:num w:numId="8" w16cid:durableId="1333096502">
    <w:abstractNumId w:val="34"/>
  </w:num>
  <w:num w:numId="9" w16cid:durableId="897087251">
    <w:abstractNumId w:val="42"/>
  </w:num>
  <w:num w:numId="10" w16cid:durableId="1949465594">
    <w:abstractNumId w:val="45"/>
  </w:num>
  <w:num w:numId="11" w16cid:durableId="540483361">
    <w:abstractNumId w:val="37"/>
  </w:num>
  <w:num w:numId="12" w16cid:durableId="949244108">
    <w:abstractNumId w:val="44"/>
  </w:num>
  <w:num w:numId="13" w16cid:durableId="646470493">
    <w:abstractNumId w:val="26"/>
  </w:num>
  <w:num w:numId="14" w16cid:durableId="1633947311">
    <w:abstractNumId w:val="49"/>
  </w:num>
  <w:num w:numId="15" w16cid:durableId="958996080">
    <w:abstractNumId w:val="35"/>
  </w:num>
  <w:num w:numId="16" w16cid:durableId="1218054281">
    <w:abstractNumId w:val="18"/>
  </w:num>
  <w:num w:numId="17" w16cid:durableId="303777591">
    <w:abstractNumId w:val="28"/>
  </w:num>
  <w:num w:numId="18" w16cid:durableId="802387298">
    <w:abstractNumId w:val="47"/>
  </w:num>
  <w:num w:numId="19" w16cid:durableId="1948197075">
    <w:abstractNumId w:val="0"/>
  </w:num>
  <w:num w:numId="20" w16cid:durableId="1655917397">
    <w:abstractNumId w:val="17"/>
  </w:num>
  <w:num w:numId="21" w16cid:durableId="1052074971">
    <w:abstractNumId w:val="3"/>
  </w:num>
  <w:num w:numId="22" w16cid:durableId="98644351">
    <w:abstractNumId w:val="53"/>
  </w:num>
  <w:num w:numId="23" w16cid:durableId="1674335103">
    <w:abstractNumId w:val="54"/>
  </w:num>
  <w:num w:numId="24" w16cid:durableId="1212956802">
    <w:abstractNumId w:val="1"/>
  </w:num>
  <w:num w:numId="25" w16cid:durableId="1806390333">
    <w:abstractNumId w:val="48"/>
  </w:num>
  <w:num w:numId="26" w16cid:durableId="1089423568">
    <w:abstractNumId w:val="5"/>
  </w:num>
  <w:num w:numId="27" w16cid:durableId="1158611673">
    <w:abstractNumId w:val="36"/>
  </w:num>
  <w:num w:numId="28" w16cid:durableId="839468264">
    <w:abstractNumId w:val="20"/>
  </w:num>
  <w:num w:numId="29" w16cid:durableId="1218474286">
    <w:abstractNumId w:val="25"/>
  </w:num>
  <w:num w:numId="30" w16cid:durableId="1486164698">
    <w:abstractNumId w:val="50"/>
  </w:num>
  <w:num w:numId="31" w16cid:durableId="2007511022">
    <w:abstractNumId w:val="41"/>
  </w:num>
  <w:num w:numId="32" w16cid:durableId="1795828787">
    <w:abstractNumId w:val="32"/>
  </w:num>
  <w:num w:numId="33" w16cid:durableId="1214391941">
    <w:abstractNumId w:val="39"/>
  </w:num>
  <w:num w:numId="34" w16cid:durableId="1134829281">
    <w:abstractNumId w:val="31"/>
  </w:num>
  <w:num w:numId="35" w16cid:durableId="1448162929">
    <w:abstractNumId w:val="52"/>
  </w:num>
  <w:num w:numId="36" w16cid:durableId="1113014580">
    <w:abstractNumId w:val="14"/>
  </w:num>
  <w:num w:numId="37" w16cid:durableId="1485929363">
    <w:abstractNumId w:val="51"/>
  </w:num>
  <w:num w:numId="38" w16cid:durableId="1894806096">
    <w:abstractNumId w:val="8"/>
  </w:num>
  <w:num w:numId="39" w16cid:durableId="2136019145">
    <w:abstractNumId w:val="23"/>
  </w:num>
  <w:num w:numId="40" w16cid:durableId="598485518">
    <w:abstractNumId w:val="19"/>
  </w:num>
  <w:num w:numId="41" w16cid:durableId="1668244470">
    <w:abstractNumId w:val="2"/>
  </w:num>
  <w:num w:numId="42" w16cid:durableId="819075572">
    <w:abstractNumId w:val="10"/>
  </w:num>
  <w:num w:numId="43" w16cid:durableId="799882261">
    <w:abstractNumId w:val="29"/>
  </w:num>
  <w:num w:numId="44" w16cid:durableId="943423275">
    <w:abstractNumId w:val="30"/>
  </w:num>
  <w:num w:numId="45" w16cid:durableId="723529735">
    <w:abstractNumId w:val="43"/>
  </w:num>
  <w:num w:numId="46" w16cid:durableId="911889532">
    <w:abstractNumId w:val="22"/>
  </w:num>
  <w:num w:numId="47" w16cid:durableId="767849633">
    <w:abstractNumId w:val="40"/>
  </w:num>
  <w:num w:numId="48" w16cid:durableId="306053586">
    <w:abstractNumId w:val="6"/>
  </w:num>
  <w:num w:numId="49" w16cid:durableId="1996687574">
    <w:abstractNumId w:val="46"/>
  </w:num>
  <w:num w:numId="50" w16cid:durableId="1322733977">
    <w:abstractNumId w:val="21"/>
  </w:num>
  <w:num w:numId="51" w16cid:durableId="615410072">
    <w:abstractNumId w:val="9"/>
  </w:num>
  <w:num w:numId="52" w16cid:durableId="1505240733">
    <w:abstractNumId w:val="16"/>
  </w:num>
  <w:num w:numId="53" w16cid:durableId="1035161215">
    <w:abstractNumId w:val="7"/>
  </w:num>
  <w:num w:numId="54" w16cid:durableId="419722029">
    <w:abstractNumId w:val="15"/>
  </w:num>
  <w:num w:numId="55" w16cid:durableId="185175198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2727"/>
    <w:rsid w:val="00023322"/>
    <w:rsid w:val="0002754F"/>
    <w:rsid w:val="000318AA"/>
    <w:rsid w:val="00041FAE"/>
    <w:rsid w:val="0004743A"/>
    <w:rsid w:val="0004774B"/>
    <w:rsid w:val="000512A3"/>
    <w:rsid w:val="00080111"/>
    <w:rsid w:val="0008320D"/>
    <w:rsid w:val="000A012D"/>
    <w:rsid w:val="000C4AFA"/>
    <w:rsid w:val="000D12EF"/>
    <w:rsid w:val="000E04F4"/>
    <w:rsid w:val="000E1A2C"/>
    <w:rsid w:val="00100191"/>
    <w:rsid w:val="00143A1A"/>
    <w:rsid w:val="00143D83"/>
    <w:rsid w:val="00151724"/>
    <w:rsid w:val="00153DD8"/>
    <w:rsid w:val="00160E9C"/>
    <w:rsid w:val="00174C04"/>
    <w:rsid w:val="0018722F"/>
    <w:rsid w:val="001E2A7C"/>
    <w:rsid w:val="001F1C7B"/>
    <w:rsid w:val="002027D2"/>
    <w:rsid w:val="00204C56"/>
    <w:rsid w:val="00234364"/>
    <w:rsid w:val="00245C4D"/>
    <w:rsid w:val="0025617E"/>
    <w:rsid w:val="002576A9"/>
    <w:rsid w:val="00257B2A"/>
    <w:rsid w:val="00261300"/>
    <w:rsid w:val="002647DA"/>
    <w:rsid w:val="00275EAE"/>
    <w:rsid w:val="002942F0"/>
    <w:rsid w:val="002A2098"/>
    <w:rsid w:val="002B0CE3"/>
    <w:rsid w:val="002C4726"/>
    <w:rsid w:val="002C6452"/>
    <w:rsid w:val="002D3DF8"/>
    <w:rsid w:val="002E7AD7"/>
    <w:rsid w:val="002F73F5"/>
    <w:rsid w:val="00305511"/>
    <w:rsid w:val="003124C8"/>
    <w:rsid w:val="003457EF"/>
    <w:rsid w:val="00345836"/>
    <w:rsid w:val="003666CD"/>
    <w:rsid w:val="00372955"/>
    <w:rsid w:val="00394C39"/>
    <w:rsid w:val="003A2BF6"/>
    <w:rsid w:val="003A4E80"/>
    <w:rsid w:val="003A63C5"/>
    <w:rsid w:val="003A6798"/>
    <w:rsid w:val="003C32F7"/>
    <w:rsid w:val="003F1C9D"/>
    <w:rsid w:val="00400A35"/>
    <w:rsid w:val="0042007A"/>
    <w:rsid w:val="00426EA7"/>
    <w:rsid w:val="00452437"/>
    <w:rsid w:val="00461DBF"/>
    <w:rsid w:val="00496E55"/>
    <w:rsid w:val="004A1F6F"/>
    <w:rsid w:val="004B02DB"/>
    <w:rsid w:val="004B2E2F"/>
    <w:rsid w:val="004B3DB2"/>
    <w:rsid w:val="004C1220"/>
    <w:rsid w:val="004C273B"/>
    <w:rsid w:val="004C34DB"/>
    <w:rsid w:val="004C7EC5"/>
    <w:rsid w:val="004D7D13"/>
    <w:rsid w:val="004E3186"/>
    <w:rsid w:val="004E3D1C"/>
    <w:rsid w:val="004E437F"/>
    <w:rsid w:val="0050522C"/>
    <w:rsid w:val="00506AB2"/>
    <w:rsid w:val="00506B86"/>
    <w:rsid w:val="0050739C"/>
    <w:rsid w:val="005137A6"/>
    <w:rsid w:val="00515206"/>
    <w:rsid w:val="00523564"/>
    <w:rsid w:val="005236D9"/>
    <w:rsid w:val="00531D00"/>
    <w:rsid w:val="005451DE"/>
    <w:rsid w:val="005636D9"/>
    <w:rsid w:val="005660B8"/>
    <w:rsid w:val="00582227"/>
    <w:rsid w:val="005868E6"/>
    <w:rsid w:val="00590BBC"/>
    <w:rsid w:val="00592DBF"/>
    <w:rsid w:val="00593CA3"/>
    <w:rsid w:val="005A0604"/>
    <w:rsid w:val="005A0794"/>
    <w:rsid w:val="005B0192"/>
    <w:rsid w:val="005C3E06"/>
    <w:rsid w:val="005F39DA"/>
    <w:rsid w:val="00626634"/>
    <w:rsid w:val="00641EEE"/>
    <w:rsid w:val="00643793"/>
    <w:rsid w:val="00645360"/>
    <w:rsid w:val="00654B4B"/>
    <w:rsid w:val="00661C0E"/>
    <w:rsid w:val="006640E0"/>
    <w:rsid w:val="006A1855"/>
    <w:rsid w:val="006A39D8"/>
    <w:rsid w:val="006A4481"/>
    <w:rsid w:val="006C39D6"/>
    <w:rsid w:val="006C6E7E"/>
    <w:rsid w:val="006D483F"/>
    <w:rsid w:val="00714A73"/>
    <w:rsid w:val="0073169A"/>
    <w:rsid w:val="007367D0"/>
    <w:rsid w:val="00751C25"/>
    <w:rsid w:val="007560CF"/>
    <w:rsid w:val="00770D56"/>
    <w:rsid w:val="00773FB7"/>
    <w:rsid w:val="00792C80"/>
    <w:rsid w:val="007975D2"/>
    <w:rsid w:val="007B37BD"/>
    <w:rsid w:val="007D6CCE"/>
    <w:rsid w:val="007E2C5A"/>
    <w:rsid w:val="007F2D81"/>
    <w:rsid w:val="00810849"/>
    <w:rsid w:val="008146F5"/>
    <w:rsid w:val="008302E2"/>
    <w:rsid w:val="00835BAE"/>
    <w:rsid w:val="00836494"/>
    <w:rsid w:val="00843EDD"/>
    <w:rsid w:val="00854D19"/>
    <w:rsid w:val="00857439"/>
    <w:rsid w:val="00857685"/>
    <w:rsid w:val="008649B5"/>
    <w:rsid w:val="0086710E"/>
    <w:rsid w:val="00867CF1"/>
    <w:rsid w:val="008C04A8"/>
    <w:rsid w:val="008C6497"/>
    <w:rsid w:val="009044A7"/>
    <w:rsid w:val="00921E93"/>
    <w:rsid w:val="0092274C"/>
    <w:rsid w:val="00933716"/>
    <w:rsid w:val="00934189"/>
    <w:rsid w:val="00951523"/>
    <w:rsid w:val="0095171B"/>
    <w:rsid w:val="0095220B"/>
    <w:rsid w:val="009541AC"/>
    <w:rsid w:val="00955509"/>
    <w:rsid w:val="009634A6"/>
    <w:rsid w:val="009745D8"/>
    <w:rsid w:val="00974FC7"/>
    <w:rsid w:val="00977624"/>
    <w:rsid w:val="00986E2A"/>
    <w:rsid w:val="00987C16"/>
    <w:rsid w:val="009956D6"/>
    <w:rsid w:val="009A1709"/>
    <w:rsid w:val="009C0009"/>
    <w:rsid w:val="009C0D07"/>
    <w:rsid w:val="009C3121"/>
    <w:rsid w:val="00A15772"/>
    <w:rsid w:val="00A163F2"/>
    <w:rsid w:val="00A22E5D"/>
    <w:rsid w:val="00A433D7"/>
    <w:rsid w:val="00A6019D"/>
    <w:rsid w:val="00A60CF1"/>
    <w:rsid w:val="00A628C6"/>
    <w:rsid w:val="00A63241"/>
    <w:rsid w:val="00A76781"/>
    <w:rsid w:val="00A76B20"/>
    <w:rsid w:val="00A84485"/>
    <w:rsid w:val="00A87B7E"/>
    <w:rsid w:val="00A91E57"/>
    <w:rsid w:val="00A94738"/>
    <w:rsid w:val="00A967E3"/>
    <w:rsid w:val="00AA1294"/>
    <w:rsid w:val="00AC3926"/>
    <w:rsid w:val="00AD05F9"/>
    <w:rsid w:val="00AD40B1"/>
    <w:rsid w:val="00B02610"/>
    <w:rsid w:val="00B02D87"/>
    <w:rsid w:val="00B06124"/>
    <w:rsid w:val="00B3019D"/>
    <w:rsid w:val="00B425D9"/>
    <w:rsid w:val="00B6174C"/>
    <w:rsid w:val="00B74633"/>
    <w:rsid w:val="00B75166"/>
    <w:rsid w:val="00B80826"/>
    <w:rsid w:val="00B83471"/>
    <w:rsid w:val="00B8435D"/>
    <w:rsid w:val="00B847AE"/>
    <w:rsid w:val="00BB783D"/>
    <w:rsid w:val="00BD23A3"/>
    <w:rsid w:val="00BD4725"/>
    <w:rsid w:val="00BD68D7"/>
    <w:rsid w:val="00BF0D10"/>
    <w:rsid w:val="00BF4BBC"/>
    <w:rsid w:val="00C1597C"/>
    <w:rsid w:val="00C435B3"/>
    <w:rsid w:val="00C65F2E"/>
    <w:rsid w:val="00C74CF2"/>
    <w:rsid w:val="00C82410"/>
    <w:rsid w:val="00CC17BF"/>
    <w:rsid w:val="00CE77A8"/>
    <w:rsid w:val="00D1330E"/>
    <w:rsid w:val="00D16B77"/>
    <w:rsid w:val="00D26761"/>
    <w:rsid w:val="00D30623"/>
    <w:rsid w:val="00D33052"/>
    <w:rsid w:val="00D40CED"/>
    <w:rsid w:val="00D455B5"/>
    <w:rsid w:val="00D6495A"/>
    <w:rsid w:val="00D67892"/>
    <w:rsid w:val="00D727D5"/>
    <w:rsid w:val="00D74A74"/>
    <w:rsid w:val="00D84E95"/>
    <w:rsid w:val="00D908BF"/>
    <w:rsid w:val="00DB3BF7"/>
    <w:rsid w:val="00DD48B2"/>
    <w:rsid w:val="00DF3FD0"/>
    <w:rsid w:val="00E01465"/>
    <w:rsid w:val="00E031DE"/>
    <w:rsid w:val="00E1266E"/>
    <w:rsid w:val="00E2656D"/>
    <w:rsid w:val="00E33913"/>
    <w:rsid w:val="00E34C40"/>
    <w:rsid w:val="00E47DA5"/>
    <w:rsid w:val="00E63B86"/>
    <w:rsid w:val="00E648E9"/>
    <w:rsid w:val="00E765CF"/>
    <w:rsid w:val="00E87329"/>
    <w:rsid w:val="00E952CA"/>
    <w:rsid w:val="00EB04D0"/>
    <w:rsid w:val="00EB175A"/>
    <w:rsid w:val="00EB264E"/>
    <w:rsid w:val="00EB37A9"/>
    <w:rsid w:val="00EC356C"/>
    <w:rsid w:val="00ED1841"/>
    <w:rsid w:val="00EF40F7"/>
    <w:rsid w:val="00EF6A04"/>
    <w:rsid w:val="00F10114"/>
    <w:rsid w:val="00F11085"/>
    <w:rsid w:val="00F20A8A"/>
    <w:rsid w:val="00F30576"/>
    <w:rsid w:val="00F33F4A"/>
    <w:rsid w:val="00F43E3F"/>
    <w:rsid w:val="00F46117"/>
    <w:rsid w:val="00F61F89"/>
    <w:rsid w:val="00F70264"/>
    <w:rsid w:val="00F72ED2"/>
    <w:rsid w:val="00FB14E7"/>
    <w:rsid w:val="00FB4CC9"/>
    <w:rsid w:val="00FB54B0"/>
    <w:rsid w:val="00FD21D2"/>
    <w:rsid w:val="00FD2546"/>
    <w:rsid w:val="00FE26D5"/>
    <w:rsid w:val="00FE2757"/>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doi.org/10.1177/00222429980620020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4885</Words>
  <Characters>27846</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2026-04-09T12:38:00Z</dcterms:created>
  <dcterms:modified xsi:type="dcterms:W3CDTF">2026-04-09T12:38:00Z</dcterms:modified>
</cp:coreProperties>
</file>