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5FD8F" w14:textId="77777777" w:rsidR="00823365" w:rsidRPr="00825F73" w:rsidRDefault="00823365" w:rsidP="00823365">
      <w:pPr>
        <w:spacing w:line="480" w:lineRule="auto"/>
        <w:rPr>
          <w:rFonts w:ascii="Arial" w:hAnsi="Arial" w:cs="Arial"/>
          <w:szCs w:val="24"/>
          <w:lang w:val="en-US"/>
        </w:rPr>
      </w:pPr>
      <w:r w:rsidRPr="00825F73">
        <w:rPr>
          <w:rFonts w:ascii="Arial" w:hAnsi="Arial" w:cs="Arial"/>
          <w:noProof/>
          <w:szCs w:val="24"/>
          <w:lang w:val="en-US"/>
        </w:rPr>
        <w:drawing>
          <wp:anchor distT="0" distB="0" distL="114300" distR="114300" simplePos="0" relativeHeight="251659264" behindDoc="1" locked="0" layoutInCell="1" allowOverlap="1" wp14:anchorId="34808B45" wp14:editId="426B9FF2">
            <wp:simplePos x="0" y="0"/>
            <wp:positionH relativeFrom="margin">
              <wp:posOffset>2328116</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95D18F7" w14:textId="77777777" w:rsidR="00823365" w:rsidRPr="00825F73" w:rsidRDefault="00823365" w:rsidP="00823365">
      <w:pPr>
        <w:spacing w:line="480" w:lineRule="auto"/>
        <w:rPr>
          <w:rFonts w:ascii="Arial" w:hAnsi="Arial" w:cs="Arial"/>
          <w:szCs w:val="24"/>
          <w:lang w:val="en-US"/>
        </w:rPr>
      </w:pPr>
    </w:p>
    <w:p w14:paraId="5393702E" w14:textId="77777777" w:rsidR="00823365" w:rsidRPr="00825F73" w:rsidRDefault="00823365" w:rsidP="00823365">
      <w:pPr>
        <w:spacing w:line="480" w:lineRule="auto"/>
        <w:rPr>
          <w:rFonts w:ascii="Arial" w:hAnsi="Arial" w:cs="Arial"/>
          <w:szCs w:val="24"/>
        </w:rPr>
      </w:pPr>
    </w:p>
    <w:p w14:paraId="5A43743E" w14:textId="77777777" w:rsidR="00823365" w:rsidRPr="00825F73" w:rsidRDefault="00823365" w:rsidP="00823365">
      <w:pPr>
        <w:spacing w:line="480" w:lineRule="auto"/>
        <w:jc w:val="center"/>
        <w:rPr>
          <w:rFonts w:ascii="Arial" w:hAnsi="Arial" w:cs="Arial"/>
          <w:b/>
          <w:bCs/>
          <w:szCs w:val="24"/>
        </w:rPr>
      </w:pPr>
      <w:proofErr w:type="gramStart"/>
      <w:r w:rsidRPr="00825F73">
        <w:rPr>
          <w:rFonts w:ascii="Arial" w:hAnsi="Arial" w:cs="Arial"/>
          <w:b/>
          <w:bCs/>
          <w:szCs w:val="24"/>
        </w:rPr>
        <w:t>Bachelor's</w:t>
      </w:r>
      <w:proofErr w:type="gramEnd"/>
      <w:r w:rsidRPr="00825F73">
        <w:rPr>
          <w:rFonts w:ascii="Arial" w:hAnsi="Arial" w:cs="Arial"/>
          <w:b/>
          <w:bCs/>
          <w:szCs w:val="24"/>
        </w:rPr>
        <w:t xml:space="preserve"> in Tourism and Recreation</w:t>
      </w:r>
    </w:p>
    <w:p w14:paraId="68CF5F10" w14:textId="77777777" w:rsidR="00823365" w:rsidRPr="0023731E" w:rsidRDefault="00823365" w:rsidP="00823365">
      <w:pPr>
        <w:spacing w:line="480" w:lineRule="auto"/>
        <w:jc w:val="center"/>
        <w:rPr>
          <w:rFonts w:ascii="Arial" w:hAnsi="Arial" w:cs="Arial"/>
          <w:b/>
          <w:bCs/>
          <w:szCs w:val="24"/>
        </w:rPr>
      </w:pPr>
      <w:r w:rsidRPr="0023731E">
        <w:rPr>
          <w:rFonts w:ascii="Arial" w:hAnsi="Arial" w:cs="Arial"/>
          <w:b/>
          <w:bCs/>
          <w:szCs w:val="24"/>
        </w:rPr>
        <w:t>Tourism Law</w:t>
      </w:r>
    </w:p>
    <w:p w14:paraId="767EE245" w14:textId="77777777" w:rsidR="00823365" w:rsidRPr="00825F73" w:rsidRDefault="00823365" w:rsidP="00823365">
      <w:pPr>
        <w:spacing w:line="480" w:lineRule="auto"/>
        <w:rPr>
          <w:rFonts w:ascii="Arial" w:hAnsi="Arial" w:cs="Arial"/>
          <w:b/>
          <w:bCs/>
          <w:szCs w:val="24"/>
          <w:lang w:val="en-US"/>
        </w:rPr>
      </w:pPr>
      <w:r w:rsidRPr="0006425E">
        <w:rPr>
          <w:rFonts w:ascii="Arial" w:hAnsi="Arial" w:cs="Arial"/>
          <w:b/>
          <w:bCs/>
          <w:szCs w:val="24"/>
          <w:lang w:val="en-US"/>
        </w:rPr>
        <w:drawing>
          <wp:inline distT="0" distB="0" distL="0" distR="0" wp14:anchorId="35E3E480" wp14:editId="02C1D753">
            <wp:extent cx="5943600" cy="3423285"/>
            <wp:effectExtent l="0" t="0" r="0" b="5715"/>
            <wp:docPr id="338470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70742" name=""/>
                    <pic:cNvPicPr/>
                  </pic:nvPicPr>
                  <pic:blipFill>
                    <a:blip r:embed="rId5"/>
                    <a:stretch>
                      <a:fillRect/>
                    </a:stretch>
                  </pic:blipFill>
                  <pic:spPr>
                    <a:xfrm>
                      <a:off x="0" y="0"/>
                      <a:ext cx="5943600" cy="3423285"/>
                    </a:xfrm>
                    <a:prstGeom prst="rect">
                      <a:avLst/>
                    </a:prstGeom>
                  </pic:spPr>
                </pic:pic>
              </a:graphicData>
            </a:graphic>
          </wp:inline>
        </w:drawing>
      </w:r>
    </w:p>
    <w:p w14:paraId="7CBB5BC3" w14:textId="77777777" w:rsidR="00823365" w:rsidRPr="00825F73" w:rsidRDefault="00823365" w:rsidP="00823365">
      <w:pPr>
        <w:spacing w:line="480" w:lineRule="auto"/>
        <w:rPr>
          <w:rFonts w:ascii="Arial" w:hAnsi="Arial" w:cs="Arial"/>
          <w:b/>
          <w:bCs/>
          <w:szCs w:val="24"/>
          <w:lang w:val="en-US"/>
        </w:rPr>
      </w:pPr>
    </w:p>
    <w:p w14:paraId="3ABC3ADB" w14:textId="77777777" w:rsidR="00823365" w:rsidRPr="00825F73" w:rsidRDefault="00823365" w:rsidP="00823365">
      <w:pPr>
        <w:spacing w:line="480" w:lineRule="auto"/>
        <w:rPr>
          <w:rFonts w:ascii="Arial" w:hAnsi="Arial" w:cs="Arial"/>
          <w:b/>
          <w:bCs/>
          <w:szCs w:val="24"/>
          <w:lang w:val="en-US"/>
        </w:rPr>
      </w:pPr>
    </w:p>
    <w:p w14:paraId="622AB681" w14:textId="77777777" w:rsidR="00823365" w:rsidRPr="00825F73" w:rsidRDefault="00823365" w:rsidP="00823365">
      <w:pPr>
        <w:spacing w:line="480" w:lineRule="auto"/>
        <w:rPr>
          <w:rFonts w:ascii="Arial" w:hAnsi="Arial" w:cs="Arial"/>
          <w:b/>
          <w:bCs/>
          <w:szCs w:val="24"/>
          <w:lang w:val="en-US"/>
        </w:rPr>
      </w:pPr>
    </w:p>
    <w:p w14:paraId="1BA84FA1" w14:textId="77777777" w:rsidR="00823365" w:rsidRDefault="00823365" w:rsidP="00823365">
      <w:pPr>
        <w:spacing w:line="480" w:lineRule="auto"/>
        <w:rPr>
          <w:rFonts w:ascii="Arial" w:hAnsi="Arial" w:cs="Arial"/>
          <w:b/>
          <w:bCs/>
          <w:szCs w:val="24"/>
          <w:lang w:val="en-US"/>
        </w:rPr>
      </w:pPr>
    </w:p>
    <w:p w14:paraId="23038205" w14:textId="77777777" w:rsidR="00823365" w:rsidRPr="00825F73" w:rsidRDefault="00823365" w:rsidP="00823365">
      <w:pPr>
        <w:spacing w:line="480" w:lineRule="auto"/>
        <w:rPr>
          <w:rFonts w:ascii="Arial" w:hAnsi="Arial" w:cs="Arial"/>
          <w:b/>
          <w:bCs/>
          <w:szCs w:val="24"/>
          <w:lang w:val="en-US"/>
        </w:rPr>
      </w:pPr>
    </w:p>
    <w:p w14:paraId="589FCBF0" w14:textId="77777777" w:rsidR="00823365" w:rsidRDefault="00823365" w:rsidP="00823365">
      <w:pPr>
        <w:spacing w:line="480" w:lineRule="auto"/>
        <w:rPr>
          <w:rStyle w:val="Heading1Char"/>
          <w:rFonts w:ascii="Arial" w:hAnsi="Arial" w:cs="Arial"/>
          <w:b/>
          <w:bCs/>
          <w:color w:val="auto"/>
          <w:sz w:val="24"/>
          <w:szCs w:val="24"/>
        </w:rPr>
      </w:pPr>
      <w:bookmarkStart w:id="0" w:name="_Toc221201954"/>
      <w:r w:rsidRPr="00825F73">
        <w:rPr>
          <w:rStyle w:val="Heading1Char"/>
          <w:rFonts w:ascii="Arial" w:hAnsi="Arial" w:cs="Arial"/>
          <w:b/>
          <w:bCs/>
          <w:color w:val="auto"/>
          <w:sz w:val="24"/>
          <w:szCs w:val="24"/>
        </w:rPr>
        <w:lastRenderedPageBreak/>
        <w:t>Abstract</w:t>
      </w:r>
      <w:bookmarkEnd w:id="0"/>
    </w:p>
    <w:p w14:paraId="4FD15E17" w14:textId="77777777" w:rsidR="00FF7183" w:rsidRPr="00FF7183" w:rsidRDefault="00FF7183" w:rsidP="00FF7183">
      <w:pPr>
        <w:spacing w:line="480" w:lineRule="auto"/>
        <w:rPr>
          <w:rFonts w:ascii="Arial" w:hAnsi="Arial" w:cs="Arial"/>
          <w:szCs w:val="24"/>
        </w:rPr>
      </w:pPr>
      <w:r w:rsidRPr="00FF7183">
        <w:rPr>
          <w:rFonts w:ascii="Arial" w:hAnsi="Arial" w:cs="Arial"/>
          <w:szCs w:val="24"/>
        </w:rPr>
        <w:t>Liability and legal risk management are important issues in the tourism industry because of service delivery, physical interaction and cross-border activities. Tourism businesses such as hotels, airlines, tour operators and tour guides regularly take on legal responsibilities in respect of customers, employees and third parties. These responsibilities present tourism providers with a broad spectrum of legal risks such as personal injury claims, property damage, breach of contract, and reputational damage. As tourism activities often encompass transportation, accommodation, recreational services and adventure experiences, the scope of the legal liability is considerably larger than in many other service industries.</w:t>
      </w:r>
    </w:p>
    <w:p w14:paraId="2E137A96" w14:textId="77777777" w:rsidR="00FF7183" w:rsidRPr="00FF7183" w:rsidRDefault="00FF7183" w:rsidP="00FF7183">
      <w:pPr>
        <w:spacing w:line="480" w:lineRule="auto"/>
        <w:rPr>
          <w:rFonts w:ascii="Arial" w:hAnsi="Arial" w:cs="Arial"/>
          <w:szCs w:val="24"/>
        </w:rPr>
      </w:pPr>
    </w:p>
    <w:p w14:paraId="3C52AB5A" w14:textId="77777777" w:rsidR="00FF7183" w:rsidRPr="00FF7183" w:rsidRDefault="00FF7183" w:rsidP="00FF7183">
      <w:pPr>
        <w:spacing w:line="480" w:lineRule="auto"/>
        <w:rPr>
          <w:rFonts w:ascii="Arial" w:hAnsi="Arial" w:cs="Arial"/>
          <w:szCs w:val="24"/>
        </w:rPr>
      </w:pPr>
      <w:r w:rsidRPr="00FF7183">
        <w:rPr>
          <w:rFonts w:ascii="Arial" w:hAnsi="Arial" w:cs="Arial"/>
          <w:szCs w:val="24"/>
        </w:rPr>
        <w:t>This assignment investigates the concept of liability in tourism law, as it specifically focuses on the legal obligations owed by tourism operators and tourism service providers to their customers. It discusses some key types of legal risk encountered by tourism businesses such as those involving allegations of negligence, those relating to strict liability and vicarious liability arising from the actions of employees or contractors. The study also examines the application of key legal principles in the tourism environment as well as how courts determine responsibility, duty of care, and causation in tourism-related disputes.</w:t>
      </w:r>
    </w:p>
    <w:p w14:paraId="4A8473E3" w14:textId="77777777" w:rsidR="00FF7183" w:rsidRPr="00FF7183" w:rsidRDefault="00FF7183" w:rsidP="00FF7183">
      <w:pPr>
        <w:spacing w:line="480" w:lineRule="auto"/>
        <w:rPr>
          <w:rFonts w:ascii="Arial" w:hAnsi="Arial" w:cs="Arial"/>
          <w:szCs w:val="24"/>
        </w:rPr>
      </w:pPr>
    </w:p>
    <w:p w14:paraId="73F6D522" w14:textId="565E9D49" w:rsidR="00FF7183" w:rsidRPr="00825F73" w:rsidRDefault="00FF7183" w:rsidP="00FF7183">
      <w:pPr>
        <w:spacing w:line="480" w:lineRule="auto"/>
        <w:rPr>
          <w:rFonts w:ascii="Arial" w:hAnsi="Arial" w:cs="Arial"/>
          <w:szCs w:val="24"/>
        </w:rPr>
      </w:pPr>
      <w:r w:rsidRPr="00FF7183">
        <w:rPr>
          <w:rFonts w:ascii="Arial" w:hAnsi="Arial" w:cs="Arial"/>
          <w:szCs w:val="24"/>
        </w:rPr>
        <w:t xml:space="preserve">In addition, the assignment includes an assessment of practical risk mitigation measures taken by tourism businesses, including insurance policies, waiver of liability, </w:t>
      </w:r>
      <w:r w:rsidRPr="00FF7183">
        <w:rPr>
          <w:rFonts w:ascii="Arial" w:hAnsi="Arial" w:cs="Arial"/>
          <w:szCs w:val="24"/>
        </w:rPr>
        <w:lastRenderedPageBreak/>
        <w:t>contractual limits, and comprehensive risk management measures. By discussing real-world legal cases involving tourism liability, the analysis shows the application of legal principles in practice and the influence of legal outcomes on industry standards. Overall, the assignment emphasizes how effective liability management is key in safeguarding consumers, minimizing legal liability, and facilitating sustainable operations in the global tourism industry.</w:t>
      </w:r>
    </w:p>
    <w:p w14:paraId="0ED2F0A2" w14:textId="77777777" w:rsidR="00823365" w:rsidRDefault="00823365" w:rsidP="00823365">
      <w:pPr>
        <w:rPr>
          <w:lang w:bidi="ar-SA"/>
        </w:rPr>
      </w:pPr>
    </w:p>
    <w:p w14:paraId="63F9C41B" w14:textId="77777777" w:rsidR="00823365" w:rsidRDefault="00823365" w:rsidP="00823365">
      <w:pPr>
        <w:rPr>
          <w:lang w:bidi="ar-SA"/>
        </w:rPr>
      </w:pPr>
    </w:p>
    <w:p w14:paraId="187C68C6" w14:textId="77777777" w:rsidR="00823365" w:rsidRDefault="00823365" w:rsidP="00823365">
      <w:pPr>
        <w:rPr>
          <w:lang w:bidi="ar-SA"/>
        </w:rPr>
      </w:pPr>
    </w:p>
    <w:p w14:paraId="6FE7FD3E" w14:textId="77777777" w:rsidR="00823365" w:rsidRDefault="00823365" w:rsidP="00823365">
      <w:pPr>
        <w:rPr>
          <w:lang w:bidi="ar-SA"/>
        </w:rPr>
      </w:pPr>
    </w:p>
    <w:p w14:paraId="239461B4" w14:textId="77777777" w:rsidR="00823365" w:rsidRDefault="00823365" w:rsidP="00823365">
      <w:pPr>
        <w:rPr>
          <w:lang w:bidi="ar-SA"/>
        </w:rPr>
      </w:pPr>
    </w:p>
    <w:p w14:paraId="395EB73D" w14:textId="77777777" w:rsidR="00823365" w:rsidRDefault="00823365" w:rsidP="00823365">
      <w:pPr>
        <w:rPr>
          <w:lang w:bidi="ar-SA"/>
        </w:rPr>
      </w:pPr>
    </w:p>
    <w:p w14:paraId="3750A582" w14:textId="77777777" w:rsidR="00823365" w:rsidRDefault="00823365" w:rsidP="00823365">
      <w:pPr>
        <w:rPr>
          <w:lang w:bidi="ar-SA"/>
        </w:rPr>
      </w:pPr>
    </w:p>
    <w:p w14:paraId="55AE75E3" w14:textId="77777777" w:rsidR="00823365" w:rsidRDefault="00823365" w:rsidP="00823365">
      <w:pPr>
        <w:rPr>
          <w:lang w:bidi="ar-SA"/>
        </w:rPr>
      </w:pPr>
    </w:p>
    <w:p w14:paraId="50DD9D6F" w14:textId="77777777" w:rsidR="00823365" w:rsidRDefault="00823365" w:rsidP="00823365">
      <w:pPr>
        <w:rPr>
          <w:lang w:bidi="ar-SA"/>
        </w:rPr>
      </w:pPr>
    </w:p>
    <w:p w14:paraId="13C6E62C" w14:textId="77777777" w:rsidR="00823365" w:rsidRDefault="00823365" w:rsidP="00823365">
      <w:pPr>
        <w:rPr>
          <w:lang w:bidi="ar-SA"/>
        </w:rPr>
      </w:pPr>
    </w:p>
    <w:p w14:paraId="4A5A7196" w14:textId="77777777" w:rsidR="00823365" w:rsidRDefault="00823365" w:rsidP="00823365">
      <w:pPr>
        <w:rPr>
          <w:lang w:bidi="ar-SA"/>
        </w:rPr>
      </w:pPr>
    </w:p>
    <w:p w14:paraId="2B8EC347" w14:textId="77777777" w:rsidR="00823365" w:rsidRDefault="00823365" w:rsidP="00823365">
      <w:pPr>
        <w:rPr>
          <w:lang w:bidi="ar-SA"/>
        </w:rPr>
      </w:pPr>
    </w:p>
    <w:p w14:paraId="49F2AAD1" w14:textId="77777777" w:rsidR="00FF7183" w:rsidRDefault="00FF7183" w:rsidP="00823365">
      <w:pPr>
        <w:rPr>
          <w:lang w:bidi="ar-SA"/>
        </w:rPr>
      </w:pPr>
    </w:p>
    <w:p w14:paraId="13A1A0E6" w14:textId="77777777" w:rsidR="00FF7183" w:rsidRDefault="00FF7183" w:rsidP="00823365">
      <w:pPr>
        <w:rPr>
          <w:lang w:bidi="ar-SA"/>
        </w:rPr>
      </w:pPr>
    </w:p>
    <w:p w14:paraId="193A3C57" w14:textId="77777777" w:rsidR="00FF7183" w:rsidRDefault="00FF7183" w:rsidP="00823365">
      <w:pPr>
        <w:rPr>
          <w:lang w:bidi="ar-SA"/>
        </w:rPr>
      </w:pPr>
    </w:p>
    <w:p w14:paraId="56547E1C" w14:textId="77777777" w:rsidR="00FF7183" w:rsidRDefault="00FF7183" w:rsidP="00823365">
      <w:pPr>
        <w:rPr>
          <w:lang w:bidi="ar-SA"/>
        </w:rPr>
      </w:pPr>
    </w:p>
    <w:p w14:paraId="0030973E" w14:textId="77777777" w:rsidR="00823365" w:rsidRDefault="00823365" w:rsidP="00823365">
      <w:pPr>
        <w:rPr>
          <w:lang w:bidi="ar-SA"/>
        </w:rPr>
      </w:pPr>
    </w:p>
    <w:p w14:paraId="62FB36B5" w14:textId="77777777" w:rsidR="00823365" w:rsidRPr="00823365" w:rsidRDefault="00823365" w:rsidP="00823365">
      <w:pPr>
        <w:rPr>
          <w:lang w:bidi="ar-SA"/>
        </w:rPr>
      </w:pPr>
    </w:p>
    <w:sdt>
      <w:sdtPr>
        <w:rPr>
          <w:rFonts w:ascii="Arial" w:hAnsi="Arial" w:cs="Arial"/>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6E6B58FE" w14:textId="77777777" w:rsidR="00823365" w:rsidRPr="00825F73" w:rsidRDefault="00823365" w:rsidP="00823365">
          <w:pPr>
            <w:pStyle w:val="TOCHeading"/>
            <w:spacing w:line="480" w:lineRule="auto"/>
            <w:rPr>
              <w:rFonts w:ascii="Arial" w:hAnsi="Arial" w:cs="Arial"/>
              <w:color w:val="auto"/>
              <w:sz w:val="24"/>
              <w:szCs w:val="24"/>
            </w:rPr>
          </w:pPr>
          <w:r w:rsidRPr="00825F73">
            <w:rPr>
              <w:rFonts w:ascii="Arial" w:hAnsi="Arial" w:cs="Arial"/>
              <w:color w:val="auto"/>
              <w:sz w:val="24"/>
              <w:szCs w:val="24"/>
            </w:rPr>
            <w:t>Contents</w:t>
          </w:r>
        </w:p>
        <w:p w14:paraId="27420BD9" w14:textId="77777777" w:rsidR="00823365" w:rsidRPr="00825F73" w:rsidRDefault="00823365" w:rsidP="00823365">
          <w:pPr>
            <w:pStyle w:val="TOC1"/>
            <w:tabs>
              <w:tab w:val="right" w:leader="dot" w:pos="9350"/>
            </w:tabs>
            <w:rPr>
              <w:rFonts w:ascii="Arial" w:hAnsi="Arial" w:cs="Arial"/>
              <w:noProof/>
              <w:kern w:val="2"/>
              <w:sz w:val="24"/>
              <w:szCs w:val="24"/>
              <w:lang w:val="en-GB" w:eastAsia="en-GB" w:bidi="hi-IN"/>
              <w14:ligatures w14:val="standardContextual"/>
            </w:rPr>
          </w:pPr>
          <w:r w:rsidRPr="00825F73">
            <w:rPr>
              <w:rFonts w:ascii="Arial" w:hAnsi="Arial" w:cs="Arial"/>
              <w:sz w:val="24"/>
              <w:szCs w:val="24"/>
            </w:rPr>
            <w:fldChar w:fldCharType="begin"/>
          </w:r>
          <w:r w:rsidRPr="00825F73">
            <w:rPr>
              <w:rFonts w:ascii="Arial" w:hAnsi="Arial" w:cs="Arial"/>
              <w:sz w:val="24"/>
              <w:szCs w:val="24"/>
            </w:rPr>
            <w:instrText xml:space="preserve"> TOC \o "1-3" \h \z \u </w:instrText>
          </w:r>
          <w:r w:rsidRPr="00825F73">
            <w:rPr>
              <w:rFonts w:ascii="Arial" w:hAnsi="Arial" w:cs="Arial"/>
              <w:sz w:val="24"/>
              <w:szCs w:val="24"/>
            </w:rPr>
            <w:fldChar w:fldCharType="separate"/>
          </w:r>
          <w:hyperlink w:anchor="_Toc221201954" w:history="1">
            <w:r w:rsidRPr="00825F73">
              <w:rPr>
                <w:rStyle w:val="Hyperlink"/>
                <w:rFonts w:ascii="Arial" w:hAnsi="Arial" w:cs="Arial"/>
                <w:noProof/>
                <w:color w:val="auto"/>
                <w:sz w:val="24"/>
                <w:szCs w:val="24"/>
              </w:rPr>
              <w:t>Abstract</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_Toc221201954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2</w:t>
            </w:r>
            <w:r w:rsidRPr="00825F73">
              <w:rPr>
                <w:rFonts w:ascii="Arial" w:hAnsi="Arial" w:cs="Arial"/>
                <w:noProof/>
                <w:webHidden/>
                <w:sz w:val="24"/>
                <w:szCs w:val="24"/>
              </w:rPr>
              <w:fldChar w:fldCharType="end"/>
            </w:r>
          </w:hyperlink>
        </w:p>
        <w:p w14:paraId="2BCD5C2D" w14:textId="77777777" w:rsidR="00823365" w:rsidRPr="00825F73" w:rsidRDefault="00823365" w:rsidP="00823365">
          <w:pPr>
            <w:pStyle w:val="TOC1"/>
            <w:tabs>
              <w:tab w:val="right" w:leader="dot" w:pos="9350"/>
            </w:tabs>
            <w:rPr>
              <w:rFonts w:ascii="Arial" w:hAnsi="Arial" w:cs="Arial"/>
              <w:noProof/>
              <w:kern w:val="2"/>
              <w:sz w:val="24"/>
              <w:szCs w:val="24"/>
              <w:lang w:val="en-GB" w:eastAsia="en-GB" w:bidi="hi-IN"/>
              <w14:ligatures w14:val="standardContextual"/>
            </w:rPr>
          </w:pPr>
          <w:hyperlink w:anchor="_Toc221201955" w:history="1">
            <w:r w:rsidRPr="00825F73">
              <w:rPr>
                <w:rStyle w:val="Hyperlink"/>
                <w:rFonts w:ascii="Arial" w:hAnsi="Arial" w:cs="Arial"/>
                <w:noProof/>
                <w:color w:val="auto"/>
                <w:sz w:val="24"/>
                <w:szCs w:val="24"/>
              </w:rPr>
              <w:t>1.Introduction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_Toc221201955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4</w:t>
            </w:r>
            <w:r w:rsidRPr="00825F73">
              <w:rPr>
                <w:rFonts w:ascii="Arial" w:hAnsi="Arial" w:cs="Arial"/>
                <w:noProof/>
                <w:webHidden/>
                <w:sz w:val="24"/>
                <w:szCs w:val="24"/>
              </w:rPr>
              <w:fldChar w:fldCharType="end"/>
            </w:r>
          </w:hyperlink>
        </w:p>
        <w:p w14:paraId="0055E3BF" w14:textId="77777777" w:rsidR="00823365" w:rsidRPr="00825F73" w:rsidRDefault="00823365" w:rsidP="00823365">
          <w:pPr>
            <w:pStyle w:val="TOC1"/>
            <w:tabs>
              <w:tab w:val="right" w:leader="dot" w:pos="9350"/>
            </w:tabs>
            <w:rPr>
              <w:rFonts w:ascii="Arial" w:hAnsi="Arial" w:cs="Arial"/>
              <w:noProof/>
              <w:kern w:val="2"/>
              <w:sz w:val="24"/>
              <w:szCs w:val="24"/>
              <w:lang w:val="en-GB" w:eastAsia="en-GB" w:bidi="hi-IN"/>
              <w14:ligatures w14:val="standardContextual"/>
            </w:rPr>
          </w:pPr>
          <w:hyperlink w:anchor="_Toc221201956" w:history="1">
            <w:r w:rsidRPr="00825F73">
              <w:rPr>
                <w:rStyle w:val="Hyperlink"/>
                <w:rFonts w:ascii="Arial" w:hAnsi="Arial" w:cs="Arial"/>
                <w:noProof/>
                <w:color w:val="auto"/>
                <w:sz w:val="24"/>
                <w:szCs w:val="24"/>
              </w:rPr>
              <w:t>2. Literature Review</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_Toc221201956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6</w:t>
            </w:r>
            <w:r w:rsidRPr="00825F73">
              <w:rPr>
                <w:rFonts w:ascii="Arial" w:hAnsi="Arial" w:cs="Arial"/>
                <w:noProof/>
                <w:webHidden/>
                <w:sz w:val="24"/>
                <w:szCs w:val="24"/>
              </w:rPr>
              <w:fldChar w:fldCharType="end"/>
            </w:r>
          </w:hyperlink>
        </w:p>
        <w:p w14:paraId="7A0ECF1B" w14:textId="77777777" w:rsidR="00823365" w:rsidRPr="00825F73" w:rsidRDefault="00823365" w:rsidP="00823365">
          <w:pPr>
            <w:pStyle w:val="TOC1"/>
            <w:tabs>
              <w:tab w:val="right" w:leader="dot" w:pos="9350"/>
            </w:tabs>
            <w:rPr>
              <w:rFonts w:ascii="Arial" w:hAnsi="Arial" w:cs="Arial"/>
              <w:noProof/>
              <w:kern w:val="2"/>
              <w:sz w:val="24"/>
              <w:szCs w:val="24"/>
              <w:lang w:val="en-GB" w:eastAsia="en-GB" w:bidi="hi-IN"/>
              <w14:ligatures w14:val="standardContextual"/>
            </w:rPr>
          </w:pPr>
          <w:hyperlink w:anchor="_Toc221201957" w:history="1">
            <w:r w:rsidRPr="00825F73">
              <w:rPr>
                <w:rStyle w:val="Hyperlink"/>
                <w:rFonts w:ascii="Arial" w:hAnsi="Arial" w:cs="Arial"/>
                <w:noProof/>
                <w:color w:val="auto"/>
                <w:sz w:val="24"/>
                <w:szCs w:val="24"/>
              </w:rPr>
              <w:t>3 Methodology</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_Toc221201957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11</w:t>
            </w:r>
            <w:r w:rsidRPr="00825F73">
              <w:rPr>
                <w:rFonts w:ascii="Arial" w:hAnsi="Arial" w:cs="Arial"/>
                <w:noProof/>
                <w:webHidden/>
                <w:sz w:val="24"/>
                <w:szCs w:val="24"/>
              </w:rPr>
              <w:fldChar w:fldCharType="end"/>
            </w:r>
          </w:hyperlink>
        </w:p>
        <w:p w14:paraId="252C2BE8" w14:textId="77777777" w:rsidR="00823365" w:rsidRPr="00825F73" w:rsidRDefault="00823365" w:rsidP="00823365">
          <w:pPr>
            <w:pStyle w:val="TOC1"/>
            <w:tabs>
              <w:tab w:val="right" w:leader="dot" w:pos="9350"/>
            </w:tabs>
            <w:rPr>
              <w:rFonts w:ascii="Arial" w:hAnsi="Arial" w:cs="Arial"/>
              <w:noProof/>
              <w:kern w:val="2"/>
              <w:sz w:val="24"/>
              <w:szCs w:val="24"/>
              <w:lang w:val="en-GB" w:eastAsia="en-GB" w:bidi="hi-IN"/>
              <w14:ligatures w14:val="standardContextual"/>
            </w:rPr>
          </w:pPr>
          <w:hyperlink w:anchor="_Toc221201958" w:history="1">
            <w:r w:rsidRPr="00825F73">
              <w:rPr>
                <w:rStyle w:val="Hyperlink"/>
                <w:rFonts w:ascii="Arial" w:hAnsi="Arial" w:cs="Arial"/>
                <w:noProof/>
                <w:color w:val="auto"/>
                <w:sz w:val="24"/>
                <w:szCs w:val="24"/>
              </w:rPr>
              <w:t>4 Finding</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_Toc221201958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15</w:t>
            </w:r>
            <w:r w:rsidRPr="00825F73">
              <w:rPr>
                <w:rFonts w:ascii="Arial" w:hAnsi="Arial" w:cs="Arial"/>
                <w:noProof/>
                <w:webHidden/>
                <w:sz w:val="24"/>
                <w:szCs w:val="24"/>
              </w:rPr>
              <w:fldChar w:fldCharType="end"/>
            </w:r>
          </w:hyperlink>
        </w:p>
        <w:p w14:paraId="2A9D3721" w14:textId="77777777" w:rsidR="00823365" w:rsidRPr="00825F73" w:rsidRDefault="00823365" w:rsidP="00823365">
          <w:pPr>
            <w:pStyle w:val="TOC1"/>
            <w:tabs>
              <w:tab w:val="right" w:leader="dot" w:pos="9350"/>
            </w:tabs>
            <w:rPr>
              <w:rFonts w:ascii="Arial" w:hAnsi="Arial" w:cs="Arial"/>
              <w:noProof/>
              <w:kern w:val="2"/>
              <w:sz w:val="24"/>
              <w:szCs w:val="24"/>
              <w:lang w:val="en-GB" w:eastAsia="en-GB" w:bidi="hi-IN"/>
              <w14:ligatures w14:val="standardContextual"/>
            </w:rPr>
          </w:pPr>
          <w:hyperlink w:anchor="_Toc221201959" w:history="1">
            <w:r w:rsidRPr="00825F73">
              <w:rPr>
                <w:rStyle w:val="Hyperlink"/>
                <w:rFonts w:ascii="Arial" w:hAnsi="Arial" w:cs="Arial"/>
                <w:noProof/>
                <w:color w:val="auto"/>
                <w:sz w:val="24"/>
                <w:szCs w:val="24"/>
              </w:rPr>
              <w:t>5. Discussion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_Toc221201959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17</w:t>
            </w:r>
            <w:r w:rsidRPr="00825F73">
              <w:rPr>
                <w:rFonts w:ascii="Arial" w:hAnsi="Arial" w:cs="Arial"/>
                <w:noProof/>
                <w:webHidden/>
                <w:sz w:val="24"/>
                <w:szCs w:val="24"/>
              </w:rPr>
              <w:fldChar w:fldCharType="end"/>
            </w:r>
          </w:hyperlink>
        </w:p>
        <w:p w14:paraId="6C58AA47" w14:textId="77777777" w:rsidR="00823365" w:rsidRPr="00825F73" w:rsidRDefault="00823365" w:rsidP="00823365">
          <w:pPr>
            <w:pStyle w:val="TOC1"/>
            <w:tabs>
              <w:tab w:val="right" w:leader="dot" w:pos="9350"/>
            </w:tabs>
            <w:rPr>
              <w:rFonts w:ascii="Arial" w:hAnsi="Arial" w:cs="Arial"/>
              <w:noProof/>
              <w:kern w:val="2"/>
              <w:sz w:val="24"/>
              <w:szCs w:val="24"/>
              <w:lang w:val="en-GB" w:eastAsia="en-GB" w:bidi="hi-IN"/>
              <w14:ligatures w14:val="standardContextual"/>
            </w:rPr>
          </w:pPr>
          <w:hyperlink w:anchor="_Toc221201960" w:history="1">
            <w:r w:rsidRPr="00825F73">
              <w:rPr>
                <w:rStyle w:val="Hyperlink"/>
                <w:rFonts w:ascii="Arial" w:hAnsi="Arial" w:cs="Arial"/>
                <w:noProof/>
                <w:color w:val="auto"/>
                <w:sz w:val="24"/>
                <w:szCs w:val="24"/>
              </w:rPr>
              <w:t>6. Conclusion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_Toc221201960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19</w:t>
            </w:r>
            <w:r w:rsidRPr="00825F73">
              <w:rPr>
                <w:rFonts w:ascii="Arial" w:hAnsi="Arial" w:cs="Arial"/>
                <w:noProof/>
                <w:webHidden/>
                <w:sz w:val="24"/>
                <w:szCs w:val="24"/>
              </w:rPr>
              <w:fldChar w:fldCharType="end"/>
            </w:r>
          </w:hyperlink>
        </w:p>
        <w:p w14:paraId="208955F6" w14:textId="77777777" w:rsidR="00823365" w:rsidRPr="00825F73" w:rsidRDefault="00823365" w:rsidP="00823365">
          <w:pPr>
            <w:pStyle w:val="TOC1"/>
            <w:tabs>
              <w:tab w:val="right" w:leader="dot" w:pos="9350"/>
            </w:tabs>
            <w:rPr>
              <w:rFonts w:ascii="Arial" w:hAnsi="Arial" w:cs="Arial"/>
              <w:noProof/>
              <w:kern w:val="2"/>
              <w:sz w:val="24"/>
              <w:szCs w:val="24"/>
              <w:lang w:val="en-GB" w:eastAsia="en-GB" w:bidi="hi-IN"/>
              <w14:ligatures w14:val="standardContextual"/>
            </w:rPr>
          </w:pPr>
          <w:hyperlink w:anchor="_Toc221201961" w:history="1">
            <w:r w:rsidRPr="00825F73">
              <w:rPr>
                <w:rStyle w:val="Hyperlink"/>
                <w:rFonts w:ascii="Arial" w:hAnsi="Arial" w:cs="Arial"/>
                <w:noProof/>
                <w:color w:val="auto"/>
                <w:sz w:val="24"/>
                <w:szCs w:val="24"/>
              </w:rPr>
              <w:t>Reference List</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_Toc221201961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20</w:t>
            </w:r>
            <w:r w:rsidRPr="00825F73">
              <w:rPr>
                <w:rFonts w:ascii="Arial" w:hAnsi="Arial" w:cs="Arial"/>
                <w:noProof/>
                <w:webHidden/>
                <w:sz w:val="24"/>
                <w:szCs w:val="24"/>
              </w:rPr>
              <w:fldChar w:fldCharType="end"/>
            </w:r>
          </w:hyperlink>
        </w:p>
        <w:p w14:paraId="4FB3950F" w14:textId="77777777" w:rsidR="00823365" w:rsidRPr="00825F73" w:rsidRDefault="00823365" w:rsidP="00823365">
          <w:pPr>
            <w:spacing w:line="480" w:lineRule="auto"/>
            <w:rPr>
              <w:rFonts w:ascii="Arial" w:hAnsi="Arial" w:cs="Arial"/>
              <w:szCs w:val="24"/>
            </w:rPr>
          </w:pPr>
          <w:r w:rsidRPr="00825F73">
            <w:rPr>
              <w:rFonts w:ascii="Arial" w:hAnsi="Arial" w:cs="Arial"/>
              <w:noProof/>
              <w:szCs w:val="24"/>
            </w:rPr>
            <w:fldChar w:fldCharType="end"/>
          </w:r>
        </w:p>
      </w:sdtContent>
    </w:sdt>
    <w:p w14:paraId="376A405C" w14:textId="77777777" w:rsidR="00823365" w:rsidRPr="00825F73" w:rsidRDefault="00823365" w:rsidP="00823365">
      <w:pPr>
        <w:spacing w:line="480" w:lineRule="auto"/>
        <w:rPr>
          <w:rFonts w:ascii="Arial" w:hAnsi="Arial" w:cs="Arial"/>
          <w:szCs w:val="24"/>
        </w:rPr>
      </w:pPr>
    </w:p>
    <w:p w14:paraId="0233D015" w14:textId="77777777" w:rsidR="00823365" w:rsidRPr="00825F73" w:rsidRDefault="00823365" w:rsidP="00823365">
      <w:pPr>
        <w:spacing w:line="480" w:lineRule="auto"/>
        <w:rPr>
          <w:rFonts w:ascii="Arial" w:hAnsi="Arial" w:cs="Arial"/>
          <w:szCs w:val="24"/>
        </w:rPr>
      </w:pPr>
    </w:p>
    <w:p w14:paraId="18C2741F" w14:textId="77777777" w:rsidR="00823365" w:rsidRPr="00825F73" w:rsidRDefault="00823365" w:rsidP="00823365">
      <w:pPr>
        <w:spacing w:line="480" w:lineRule="auto"/>
        <w:rPr>
          <w:rFonts w:ascii="Arial" w:hAnsi="Arial" w:cs="Arial"/>
          <w:szCs w:val="24"/>
        </w:rPr>
      </w:pPr>
      <w:r w:rsidRPr="00825F73">
        <w:rPr>
          <w:rFonts w:ascii="Arial" w:hAnsi="Arial" w:cs="Arial"/>
          <w:szCs w:val="24"/>
        </w:rPr>
        <w:br w:type="page"/>
      </w:r>
    </w:p>
    <w:p w14:paraId="76ED8F78" w14:textId="77777777" w:rsidR="00823365" w:rsidRPr="00825F73" w:rsidRDefault="00823365" w:rsidP="00823365">
      <w:pPr>
        <w:spacing w:line="480" w:lineRule="auto"/>
        <w:rPr>
          <w:rFonts w:ascii="Arial" w:hAnsi="Arial" w:cs="Arial"/>
          <w:szCs w:val="24"/>
        </w:rPr>
      </w:pPr>
      <w:bookmarkStart w:id="1" w:name="_Toc221201955"/>
      <w:r w:rsidRPr="00825F73">
        <w:rPr>
          <w:rStyle w:val="Heading1Char"/>
          <w:rFonts w:ascii="Arial" w:hAnsi="Arial" w:cs="Arial"/>
          <w:b/>
          <w:bCs/>
          <w:color w:val="auto"/>
          <w:sz w:val="24"/>
          <w:szCs w:val="24"/>
        </w:rPr>
        <w:lastRenderedPageBreak/>
        <w:t>1.Introduction</w:t>
      </w:r>
      <w:bookmarkEnd w:id="1"/>
      <w:r w:rsidRPr="00825F73">
        <w:rPr>
          <w:rStyle w:val="Heading1Char"/>
          <w:rFonts w:ascii="Arial" w:hAnsi="Arial" w:cs="Arial"/>
          <w:color w:val="auto"/>
          <w:sz w:val="24"/>
          <w:szCs w:val="24"/>
        </w:rPr>
        <w:t xml:space="preserve"> </w:t>
      </w:r>
    </w:p>
    <w:p w14:paraId="4C29B72C" w14:textId="02622F27" w:rsidR="007151E9" w:rsidRPr="007151E9" w:rsidRDefault="007151E9" w:rsidP="007151E9">
      <w:pPr>
        <w:spacing w:line="480" w:lineRule="auto"/>
        <w:rPr>
          <w:rFonts w:ascii="Arial" w:hAnsi="Arial" w:cs="Arial"/>
          <w:szCs w:val="24"/>
        </w:rPr>
      </w:pPr>
      <w:bookmarkStart w:id="2" w:name="_Toc221201956"/>
      <w:r w:rsidRPr="007151E9">
        <w:rPr>
          <w:rFonts w:ascii="Arial" w:hAnsi="Arial" w:cs="Arial"/>
          <w:szCs w:val="24"/>
        </w:rPr>
        <w:t>The tourism industry is a very complex and service-intensive area and one that requires constant interaction between businesses and consumers. Tourism operators such as hotels, airlines, tour guides, cruise companies, and adventure tourism providers have a legal obligation to their customers because of the nature of the services they offer. These services often involve transportation, lodging, and recreational activities that include risks of personal safety and property. As a result, liability and legal risk management has become a central issue in tourism law and business operations (Dickerson, 2021).</w:t>
      </w:r>
    </w:p>
    <w:p w14:paraId="7764E660" w14:textId="77777777" w:rsidR="007151E9" w:rsidRPr="007151E9" w:rsidRDefault="007151E9" w:rsidP="007151E9">
      <w:pPr>
        <w:spacing w:line="480" w:lineRule="auto"/>
        <w:rPr>
          <w:rFonts w:ascii="Arial" w:hAnsi="Arial" w:cs="Arial"/>
          <w:szCs w:val="24"/>
        </w:rPr>
      </w:pPr>
      <w:r w:rsidRPr="007151E9">
        <w:rPr>
          <w:rFonts w:ascii="Arial" w:hAnsi="Arial" w:cs="Arial"/>
          <w:szCs w:val="24"/>
        </w:rPr>
        <w:t xml:space="preserve">Liability in tourism law refers to the legal liability of tourism businesses for harm, loss or damage that is caused to customers </w:t>
      </w:r>
      <w:proofErr w:type="gramStart"/>
      <w:r w:rsidRPr="007151E9">
        <w:rPr>
          <w:rFonts w:ascii="Arial" w:hAnsi="Arial" w:cs="Arial"/>
          <w:szCs w:val="24"/>
        </w:rPr>
        <w:t>as a result of</w:t>
      </w:r>
      <w:proofErr w:type="gramEnd"/>
      <w:r w:rsidRPr="007151E9">
        <w:rPr>
          <w:rFonts w:ascii="Arial" w:hAnsi="Arial" w:cs="Arial"/>
          <w:szCs w:val="24"/>
        </w:rPr>
        <w:t xml:space="preserve"> service failure, unsafe conditions or breaching of contractual obligations. Tourism operators are expected to exercise a duty of care to ensure that services are provided safely and according to reasonable industry standards. Failure to meet this duty can lead to legal claims for negligence, breach of contract or statutory violations (Poole, 2020). Given the international nature of tourism, the liability issues are often made further complicated by jurisdictional differences and cross-border legal frameworks.</w:t>
      </w:r>
    </w:p>
    <w:p w14:paraId="74E6F771" w14:textId="77777777" w:rsidR="007151E9" w:rsidRPr="007151E9" w:rsidRDefault="007151E9" w:rsidP="007151E9">
      <w:pPr>
        <w:spacing w:line="480" w:lineRule="auto"/>
        <w:rPr>
          <w:rFonts w:ascii="Arial" w:hAnsi="Arial" w:cs="Arial"/>
          <w:szCs w:val="24"/>
        </w:rPr>
      </w:pPr>
    </w:p>
    <w:p w14:paraId="7E70C25B" w14:textId="08A51BAC" w:rsidR="007151E9" w:rsidRPr="007151E9" w:rsidRDefault="007151E9" w:rsidP="007151E9">
      <w:pPr>
        <w:spacing w:line="480" w:lineRule="auto"/>
        <w:rPr>
          <w:rFonts w:ascii="Arial" w:hAnsi="Arial" w:cs="Arial"/>
          <w:szCs w:val="24"/>
        </w:rPr>
      </w:pPr>
      <w:r w:rsidRPr="007151E9">
        <w:rPr>
          <w:rFonts w:ascii="Arial" w:hAnsi="Arial" w:cs="Arial"/>
          <w:szCs w:val="24"/>
        </w:rPr>
        <w:t xml:space="preserve">Tourism businesses are at risk for numerous legal issues, though the most common is that of personal injury claims. Slip and fall accidents in hotels, transportation-related injuries, food safety incidents, and injuries related to guided tours or other adventure activities often result in litigation. As well as individual physical harm, tourism operators </w:t>
      </w:r>
      <w:r w:rsidRPr="007151E9">
        <w:rPr>
          <w:rFonts w:ascii="Arial" w:hAnsi="Arial" w:cs="Arial"/>
          <w:szCs w:val="24"/>
        </w:rPr>
        <w:lastRenderedPageBreak/>
        <w:t>could be liable for damage to property, loss of personal belongings, and failure to deliver contracted services. Courts have become increasingly deeply scrutinising whether tourism providers have implemented both adequate safety measures and risk management systems (Hall, 2019).</w:t>
      </w:r>
    </w:p>
    <w:p w14:paraId="2A0C186F" w14:textId="41234D88" w:rsidR="007151E9" w:rsidRPr="007151E9" w:rsidRDefault="007151E9" w:rsidP="007151E9">
      <w:pPr>
        <w:spacing w:line="480" w:lineRule="auto"/>
        <w:rPr>
          <w:rFonts w:ascii="Arial" w:hAnsi="Arial" w:cs="Arial"/>
          <w:szCs w:val="24"/>
        </w:rPr>
      </w:pPr>
      <w:r w:rsidRPr="007151E9">
        <w:rPr>
          <w:rFonts w:ascii="Arial" w:hAnsi="Arial" w:cs="Arial"/>
          <w:szCs w:val="24"/>
        </w:rPr>
        <w:t>Key legal principles that underpin the concept of tourism liability are the principles of negligence, strict liability and vicarious liability. Negligence occurs when a tourism operator does not provide the required standard of care and as a result causes foreseeable harm to a customer. Strict liability may apply in situations where inherently dangerous activities are involved, and the liability is imposed with or without fault. Vicarious liability is the extension of responsibility on employers for the actions of the employees or agents acting within the scope of their duties (McDonald, 2020). These principles play a decisive role in determining the course of judicial outcome in tourism-related disputes.</w:t>
      </w:r>
    </w:p>
    <w:p w14:paraId="2D121B83" w14:textId="77777777" w:rsidR="007151E9" w:rsidRPr="007151E9" w:rsidRDefault="007151E9" w:rsidP="007151E9">
      <w:pPr>
        <w:spacing w:line="480" w:lineRule="auto"/>
        <w:rPr>
          <w:rFonts w:ascii="Arial" w:hAnsi="Arial" w:cs="Arial"/>
          <w:szCs w:val="24"/>
        </w:rPr>
      </w:pPr>
      <w:r w:rsidRPr="007151E9">
        <w:rPr>
          <w:rFonts w:ascii="Arial" w:hAnsi="Arial" w:cs="Arial"/>
          <w:szCs w:val="24"/>
        </w:rPr>
        <w:t>To minimise exposure to legal risk, tourism businesses increasingly exclude liability by using legal risk mitigation strategies such as liability insurance, contractual waiver, limitation clauses and structured risk management strategies. While such measures can make the financial exposure smaller, they do not alter the duty of care owed to consumers. Courts frequently consider the fairness and enforceability of waivers and contractual exclusions, especially when consumer protection is a factor (Weatherill, 2020).</w:t>
      </w:r>
    </w:p>
    <w:p w14:paraId="2AB64B7B" w14:textId="77777777" w:rsidR="007151E9" w:rsidRPr="007151E9" w:rsidRDefault="007151E9" w:rsidP="007151E9">
      <w:pPr>
        <w:spacing w:line="480" w:lineRule="auto"/>
        <w:rPr>
          <w:rFonts w:ascii="Arial" w:hAnsi="Arial" w:cs="Arial"/>
          <w:szCs w:val="24"/>
        </w:rPr>
      </w:pPr>
    </w:p>
    <w:p w14:paraId="20169649" w14:textId="2E7A6DD3" w:rsidR="00823365" w:rsidRDefault="007151E9" w:rsidP="007151E9">
      <w:pPr>
        <w:spacing w:line="480" w:lineRule="auto"/>
        <w:rPr>
          <w:rFonts w:ascii="Arial" w:hAnsi="Arial" w:cs="Arial"/>
          <w:szCs w:val="24"/>
        </w:rPr>
      </w:pPr>
      <w:r w:rsidRPr="007151E9">
        <w:rPr>
          <w:rFonts w:ascii="Arial" w:hAnsi="Arial" w:cs="Arial"/>
          <w:szCs w:val="24"/>
        </w:rPr>
        <w:lastRenderedPageBreak/>
        <w:t>This assignment involved a critical analysis of liability and legal risks in the tourism industry through the analysis of legal principles, business responsibilities, and real-world case outcomes. Through this analysis, the study shows how efficient liability management is necessary to ensure consumer protection, legal compliance, and sustainable tourism operations.</w:t>
      </w:r>
    </w:p>
    <w:p w14:paraId="44B90296" w14:textId="77777777" w:rsidR="007151E9" w:rsidRPr="00D349AA" w:rsidRDefault="007151E9" w:rsidP="007151E9">
      <w:pPr>
        <w:spacing w:line="480" w:lineRule="auto"/>
        <w:rPr>
          <w:rFonts w:ascii="Arial" w:hAnsi="Arial" w:cs="Arial"/>
          <w:szCs w:val="24"/>
        </w:rPr>
      </w:pPr>
    </w:p>
    <w:p w14:paraId="56BE464B" w14:textId="733940F6" w:rsidR="006179ED" w:rsidRPr="006179ED" w:rsidRDefault="00823365" w:rsidP="006179ED">
      <w:pPr>
        <w:spacing w:line="480" w:lineRule="auto"/>
        <w:rPr>
          <w:rFonts w:ascii="Arial" w:hAnsi="Arial" w:cs="Arial"/>
          <w:szCs w:val="24"/>
        </w:rPr>
      </w:pPr>
      <w:r w:rsidRPr="00825F73">
        <w:rPr>
          <w:rStyle w:val="Heading1Char"/>
          <w:rFonts w:ascii="Arial" w:hAnsi="Arial" w:cs="Arial"/>
          <w:b/>
          <w:bCs/>
          <w:color w:val="auto"/>
          <w:sz w:val="24"/>
          <w:szCs w:val="24"/>
        </w:rPr>
        <w:t>2. Literature Review</w:t>
      </w:r>
      <w:bookmarkEnd w:id="2"/>
      <w:r w:rsidRPr="00825F73">
        <w:rPr>
          <w:rFonts w:ascii="Arial" w:hAnsi="Arial" w:cs="Arial"/>
          <w:szCs w:val="24"/>
        </w:rPr>
        <w:t xml:space="preserve"> </w:t>
      </w:r>
      <w:r w:rsidRPr="00825F73">
        <w:rPr>
          <w:rFonts w:ascii="Arial" w:hAnsi="Arial" w:cs="Arial"/>
          <w:szCs w:val="24"/>
        </w:rPr>
        <w:br/>
      </w:r>
      <w:bookmarkStart w:id="3" w:name="_Toc221201957"/>
      <w:r w:rsidR="006179ED" w:rsidRPr="006179ED">
        <w:rPr>
          <w:rFonts w:ascii="Arial" w:hAnsi="Arial" w:cs="Arial"/>
          <w:szCs w:val="24"/>
        </w:rPr>
        <w:t xml:space="preserve">Liability and legal risk in the tourism industry </w:t>
      </w:r>
      <w:proofErr w:type="gramStart"/>
      <w:r w:rsidR="006179ED" w:rsidRPr="006179ED">
        <w:rPr>
          <w:rFonts w:ascii="Arial" w:hAnsi="Arial" w:cs="Arial"/>
          <w:szCs w:val="24"/>
        </w:rPr>
        <w:t>has</w:t>
      </w:r>
      <w:proofErr w:type="gramEnd"/>
      <w:r w:rsidR="006179ED" w:rsidRPr="006179ED">
        <w:rPr>
          <w:rFonts w:ascii="Arial" w:hAnsi="Arial" w:cs="Arial"/>
          <w:szCs w:val="24"/>
        </w:rPr>
        <w:t xml:space="preserve"> also grown in academic interest </w:t>
      </w:r>
      <w:proofErr w:type="gramStart"/>
      <w:r w:rsidR="006179ED" w:rsidRPr="006179ED">
        <w:rPr>
          <w:rFonts w:ascii="Arial" w:hAnsi="Arial" w:cs="Arial"/>
          <w:szCs w:val="24"/>
        </w:rPr>
        <w:t>as a result of</w:t>
      </w:r>
      <w:proofErr w:type="gramEnd"/>
      <w:r w:rsidR="006179ED" w:rsidRPr="006179ED">
        <w:rPr>
          <w:rFonts w:ascii="Arial" w:hAnsi="Arial" w:cs="Arial"/>
          <w:szCs w:val="24"/>
        </w:rPr>
        <w:t xml:space="preserve"> the exposure of this industry to physical, contractual and operational hazards. Tourism services often encompass transportation, accommodation, food services, and recreation activities, and all offer some risk to consumers. Scholars believe that the service-intensive and experiential nature of the tourism industry contributes to the high probability of legal disputes, when compared to other industries (Dickerson, 2021). As tourism markets continue to expand and grow </w:t>
      </w:r>
      <w:proofErr w:type="gramStart"/>
      <w:r w:rsidR="006179ED" w:rsidRPr="006179ED">
        <w:rPr>
          <w:rFonts w:ascii="Arial" w:hAnsi="Arial" w:cs="Arial"/>
          <w:szCs w:val="24"/>
        </w:rPr>
        <w:t>internationally, and</w:t>
      </w:r>
      <w:proofErr w:type="gramEnd"/>
      <w:r w:rsidR="006179ED" w:rsidRPr="006179ED">
        <w:rPr>
          <w:rFonts w:ascii="Arial" w:hAnsi="Arial" w:cs="Arial"/>
          <w:szCs w:val="24"/>
        </w:rPr>
        <w:t xml:space="preserve"> diversify into more adventure and experience-based offerings, it has become necessary to understand the principles of liability for legal academics and practitioners in the tourism industry alike.</w:t>
      </w:r>
    </w:p>
    <w:p w14:paraId="57D43191" w14:textId="767E2390" w:rsidR="006179ED" w:rsidRPr="006179ED" w:rsidRDefault="006179ED" w:rsidP="006179ED">
      <w:pPr>
        <w:spacing w:line="480" w:lineRule="auto"/>
        <w:rPr>
          <w:rFonts w:ascii="Arial" w:hAnsi="Arial" w:cs="Arial"/>
          <w:szCs w:val="24"/>
        </w:rPr>
      </w:pPr>
      <w:r w:rsidRPr="006179ED">
        <w:rPr>
          <w:rFonts w:ascii="Arial" w:hAnsi="Arial" w:cs="Arial"/>
          <w:szCs w:val="24"/>
        </w:rPr>
        <w:t>Liability in Tourism Law: Conceptual Foundations</w:t>
      </w:r>
    </w:p>
    <w:p w14:paraId="027E5A8D" w14:textId="77777777" w:rsidR="006179ED" w:rsidRPr="006179ED" w:rsidRDefault="006179ED" w:rsidP="006179ED">
      <w:pPr>
        <w:spacing w:line="480" w:lineRule="auto"/>
        <w:rPr>
          <w:rFonts w:ascii="Arial" w:hAnsi="Arial" w:cs="Arial"/>
          <w:szCs w:val="24"/>
        </w:rPr>
      </w:pPr>
      <w:r w:rsidRPr="006179ED">
        <w:rPr>
          <w:rFonts w:ascii="Arial" w:hAnsi="Arial" w:cs="Arial"/>
          <w:szCs w:val="24"/>
        </w:rPr>
        <w:t xml:space="preserve">The term liability, when applied to tourist law, refers to the legal responsibility of tourism operators and service providers for harm, loss or damage to customers. Academic literature differentiates tourism liability from ordinary Commercial Liability because of the higher duty of care required for tourism businesses. Unlike the sale of tangible goods, tourism services are often associated with close physical interaction and dependence of </w:t>
      </w:r>
      <w:r w:rsidRPr="006179ED">
        <w:rPr>
          <w:rFonts w:ascii="Arial" w:hAnsi="Arial" w:cs="Arial"/>
          <w:szCs w:val="24"/>
        </w:rPr>
        <w:lastRenderedPageBreak/>
        <w:t>customers on the knowledge and competence of service providers, resulting in higher expectations regarding safety and professionalism (Poole, 2020).</w:t>
      </w:r>
    </w:p>
    <w:p w14:paraId="446482A7" w14:textId="77777777" w:rsidR="006179ED" w:rsidRPr="006179ED" w:rsidRDefault="006179ED" w:rsidP="006179ED">
      <w:pPr>
        <w:spacing w:line="480" w:lineRule="auto"/>
        <w:rPr>
          <w:rFonts w:ascii="Arial" w:hAnsi="Arial" w:cs="Arial"/>
          <w:szCs w:val="24"/>
        </w:rPr>
      </w:pPr>
    </w:p>
    <w:p w14:paraId="5EF519AF" w14:textId="77777777" w:rsidR="006179ED" w:rsidRPr="006179ED" w:rsidRDefault="006179ED" w:rsidP="006179ED">
      <w:pPr>
        <w:spacing w:line="480" w:lineRule="auto"/>
        <w:rPr>
          <w:rFonts w:ascii="Arial" w:hAnsi="Arial" w:cs="Arial"/>
          <w:szCs w:val="24"/>
        </w:rPr>
      </w:pPr>
      <w:r w:rsidRPr="006179ED">
        <w:rPr>
          <w:rFonts w:ascii="Arial" w:hAnsi="Arial" w:cs="Arial"/>
          <w:szCs w:val="24"/>
        </w:rPr>
        <w:t xml:space="preserve">Scholars emphasise that tourism liability is influenced by several legal fields such as Contract Law, Tort Law, </w:t>
      </w:r>
      <w:proofErr w:type="gramStart"/>
      <w:r w:rsidRPr="006179ED">
        <w:rPr>
          <w:rFonts w:ascii="Arial" w:hAnsi="Arial" w:cs="Arial"/>
          <w:szCs w:val="24"/>
        </w:rPr>
        <w:t>and also</w:t>
      </w:r>
      <w:proofErr w:type="gramEnd"/>
      <w:r w:rsidRPr="006179ED">
        <w:rPr>
          <w:rFonts w:ascii="Arial" w:hAnsi="Arial" w:cs="Arial"/>
          <w:szCs w:val="24"/>
        </w:rPr>
        <w:t xml:space="preserve"> Statutory Regulation. Whereas contractual agreements shape expectations about service, tort considerations such as negligence govern the failure in safety and care. This overlapping means complex legal surroundings in which tourism businesses must manage both contractual duties and broader obligations of care (Hall, 2019).</w:t>
      </w:r>
    </w:p>
    <w:p w14:paraId="7BE73752" w14:textId="77777777" w:rsidR="006179ED" w:rsidRPr="006179ED" w:rsidRDefault="006179ED" w:rsidP="006179ED">
      <w:pPr>
        <w:spacing w:line="480" w:lineRule="auto"/>
        <w:rPr>
          <w:rFonts w:ascii="Arial" w:hAnsi="Arial" w:cs="Arial"/>
          <w:szCs w:val="24"/>
        </w:rPr>
      </w:pPr>
    </w:p>
    <w:p w14:paraId="38FBDA6B" w14:textId="60273170" w:rsidR="006179ED" w:rsidRPr="006179ED" w:rsidRDefault="006179ED" w:rsidP="006179ED">
      <w:pPr>
        <w:spacing w:line="480" w:lineRule="auto"/>
        <w:rPr>
          <w:rFonts w:ascii="Arial" w:hAnsi="Arial" w:cs="Arial"/>
          <w:szCs w:val="24"/>
        </w:rPr>
      </w:pPr>
      <w:r w:rsidRPr="006179ED">
        <w:rPr>
          <w:rFonts w:ascii="Arial" w:hAnsi="Arial" w:cs="Arial"/>
          <w:szCs w:val="24"/>
        </w:rPr>
        <w:t>Duty of Care and Negligence in Tourism</w:t>
      </w:r>
    </w:p>
    <w:p w14:paraId="10DFA76E" w14:textId="5AA085B4" w:rsidR="006179ED" w:rsidRPr="006179ED" w:rsidRDefault="006179ED" w:rsidP="006179ED">
      <w:pPr>
        <w:spacing w:line="480" w:lineRule="auto"/>
        <w:rPr>
          <w:rFonts w:ascii="Arial" w:hAnsi="Arial" w:cs="Arial"/>
          <w:szCs w:val="24"/>
        </w:rPr>
      </w:pPr>
      <w:r w:rsidRPr="006179ED">
        <w:rPr>
          <w:rFonts w:ascii="Arial" w:hAnsi="Arial" w:cs="Arial"/>
          <w:szCs w:val="24"/>
        </w:rPr>
        <w:t xml:space="preserve">Negligence is the </w:t>
      </w:r>
      <w:proofErr w:type="gramStart"/>
      <w:r w:rsidRPr="006179ED">
        <w:rPr>
          <w:rFonts w:ascii="Arial" w:hAnsi="Arial" w:cs="Arial"/>
          <w:szCs w:val="24"/>
        </w:rPr>
        <w:t>most commonly litigated</w:t>
      </w:r>
      <w:proofErr w:type="gramEnd"/>
      <w:r w:rsidRPr="006179ED">
        <w:rPr>
          <w:rFonts w:ascii="Arial" w:hAnsi="Arial" w:cs="Arial"/>
          <w:szCs w:val="24"/>
        </w:rPr>
        <w:t xml:space="preserve"> cause of liability in tourism-related cases. The literature shows four elements that are needed to establish negligence: duty of care, breach of duty, causation, and damage. Tourism operators are generally held to owe a duty of care towards their customers which can be argued that harm is often foreseeable in a tourism setting involving transport, accommodation or recreational activities (Rutherford &amp; O'Fallon, 2007).</w:t>
      </w:r>
    </w:p>
    <w:p w14:paraId="6F26F39C" w14:textId="77777777" w:rsidR="006179ED" w:rsidRPr="006179ED" w:rsidRDefault="006179ED" w:rsidP="006179ED">
      <w:pPr>
        <w:spacing w:line="480" w:lineRule="auto"/>
        <w:rPr>
          <w:rFonts w:ascii="Arial" w:hAnsi="Arial" w:cs="Arial"/>
          <w:szCs w:val="24"/>
        </w:rPr>
      </w:pPr>
      <w:r w:rsidRPr="006179ED">
        <w:rPr>
          <w:rFonts w:ascii="Arial" w:hAnsi="Arial" w:cs="Arial"/>
          <w:szCs w:val="24"/>
        </w:rPr>
        <w:t xml:space="preserve">Research suggests that courts are often considering whether tourism businesses have made reasonable efforts to prevent harm, e.g. maintaining safe premises, adequate warnings and ensuring employee competence. Failure to take appropriate safety measures may lead to liability even where risks are inherent to tourism activities. Scholars suggest that the standard of care in tourism is changing, with increasing </w:t>
      </w:r>
      <w:r w:rsidRPr="006179ED">
        <w:rPr>
          <w:rFonts w:ascii="Arial" w:hAnsi="Arial" w:cs="Arial"/>
          <w:szCs w:val="24"/>
        </w:rPr>
        <w:lastRenderedPageBreak/>
        <w:t>expectations on operators with the advancement in industry knowledge and safety technologies (Kasim and Wickens, 2016).</w:t>
      </w:r>
    </w:p>
    <w:p w14:paraId="445CA0E8" w14:textId="77777777" w:rsidR="006179ED" w:rsidRPr="006179ED" w:rsidRDefault="006179ED" w:rsidP="006179ED">
      <w:pPr>
        <w:spacing w:line="480" w:lineRule="auto"/>
        <w:rPr>
          <w:rFonts w:ascii="Arial" w:hAnsi="Arial" w:cs="Arial"/>
          <w:szCs w:val="24"/>
        </w:rPr>
      </w:pPr>
    </w:p>
    <w:p w14:paraId="7B1603A8" w14:textId="5B36396F" w:rsidR="006179ED" w:rsidRPr="006179ED" w:rsidRDefault="006179ED" w:rsidP="006179ED">
      <w:pPr>
        <w:spacing w:line="480" w:lineRule="auto"/>
        <w:rPr>
          <w:rFonts w:ascii="Arial" w:hAnsi="Arial" w:cs="Arial"/>
          <w:szCs w:val="24"/>
        </w:rPr>
      </w:pPr>
      <w:r w:rsidRPr="006179ED">
        <w:rPr>
          <w:rFonts w:ascii="Arial" w:hAnsi="Arial" w:cs="Arial"/>
          <w:szCs w:val="24"/>
        </w:rPr>
        <w:t>Strict Liability and Dangerous Activities</w:t>
      </w:r>
    </w:p>
    <w:p w14:paraId="41AEDFBD" w14:textId="4A463882" w:rsidR="006179ED" w:rsidRPr="006179ED" w:rsidRDefault="006179ED" w:rsidP="006179ED">
      <w:pPr>
        <w:spacing w:line="480" w:lineRule="auto"/>
        <w:rPr>
          <w:rFonts w:ascii="Arial" w:hAnsi="Arial" w:cs="Arial"/>
          <w:szCs w:val="24"/>
        </w:rPr>
      </w:pPr>
      <w:r w:rsidRPr="006179ED">
        <w:rPr>
          <w:rFonts w:ascii="Arial" w:hAnsi="Arial" w:cs="Arial"/>
          <w:szCs w:val="24"/>
        </w:rPr>
        <w:t>Strict liability is another significant area of tourism law, especially as it pertains to activities which are deemed inherently dangerous. Unlike negligence strict liability requires no proof of fault liability may be derived merely from participation in hazardous activities. Academic literature emphasizes that with activities such as scuba diving, skiing, and bungee jumping, adventure tourism appears to fall under strict liability principles in some jurisdictions (Mendelsohn, 2017).</w:t>
      </w:r>
    </w:p>
    <w:p w14:paraId="6CCA1FB0" w14:textId="77777777" w:rsidR="006179ED" w:rsidRPr="006179ED" w:rsidRDefault="006179ED" w:rsidP="006179ED">
      <w:pPr>
        <w:spacing w:line="480" w:lineRule="auto"/>
        <w:rPr>
          <w:rFonts w:ascii="Arial" w:hAnsi="Arial" w:cs="Arial"/>
          <w:szCs w:val="24"/>
        </w:rPr>
      </w:pPr>
      <w:r w:rsidRPr="006179ED">
        <w:rPr>
          <w:rFonts w:ascii="Arial" w:hAnsi="Arial" w:cs="Arial"/>
          <w:szCs w:val="24"/>
        </w:rPr>
        <w:t>Scholars argue about the fairness of strict liability in tourism, noting that it could create great burdens on tourism operators offering high-risk tourism experiences. However, others argue that strict liability is appropriate where consumers are very dependent on operator expertise and safety assurances. This debate echoes the wider conflict between consumer protection and business innovation within tourism markets (Hall, 2019).</w:t>
      </w:r>
    </w:p>
    <w:p w14:paraId="212E8E76" w14:textId="77777777" w:rsidR="006179ED" w:rsidRPr="006179ED" w:rsidRDefault="006179ED" w:rsidP="006179ED">
      <w:pPr>
        <w:spacing w:line="480" w:lineRule="auto"/>
        <w:rPr>
          <w:rFonts w:ascii="Arial" w:hAnsi="Arial" w:cs="Arial"/>
          <w:szCs w:val="24"/>
        </w:rPr>
      </w:pPr>
    </w:p>
    <w:p w14:paraId="59D8EE30" w14:textId="02F29D43" w:rsidR="006179ED" w:rsidRPr="006179ED" w:rsidRDefault="006179ED" w:rsidP="006179ED">
      <w:pPr>
        <w:spacing w:line="480" w:lineRule="auto"/>
        <w:rPr>
          <w:rFonts w:ascii="Arial" w:hAnsi="Arial" w:cs="Arial"/>
          <w:szCs w:val="24"/>
        </w:rPr>
      </w:pPr>
      <w:r w:rsidRPr="006179ED">
        <w:rPr>
          <w:rFonts w:ascii="Arial" w:hAnsi="Arial" w:cs="Arial"/>
          <w:szCs w:val="24"/>
        </w:rPr>
        <w:t>Vicarious Liability &amp; Employment Relationships</w:t>
      </w:r>
    </w:p>
    <w:p w14:paraId="2F6F1973" w14:textId="3087B223" w:rsidR="006179ED" w:rsidRPr="006179ED" w:rsidRDefault="006179ED" w:rsidP="006179ED">
      <w:pPr>
        <w:spacing w:line="480" w:lineRule="auto"/>
        <w:rPr>
          <w:rFonts w:ascii="Arial" w:hAnsi="Arial" w:cs="Arial"/>
          <w:szCs w:val="24"/>
        </w:rPr>
      </w:pPr>
      <w:r w:rsidRPr="006179ED">
        <w:rPr>
          <w:rFonts w:ascii="Arial" w:hAnsi="Arial" w:cs="Arial"/>
          <w:szCs w:val="24"/>
        </w:rPr>
        <w:t xml:space="preserve">Vicarious liability is an important source of legal risk for tourism businesses because of the number of employees, agents and subcontractors involved in the business. Under the principles of vicarious liability, employers may become legally liable for the wrongful </w:t>
      </w:r>
      <w:r w:rsidRPr="006179ED">
        <w:rPr>
          <w:rFonts w:ascii="Arial" w:hAnsi="Arial" w:cs="Arial"/>
          <w:szCs w:val="24"/>
        </w:rPr>
        <w:lastRenderedPageBreak/>
        <w:t>deeds of their employees, in the course of their employment. Tourism literature emphasizes the likelihood that incidents involving tour guides, hotel staff, drivers and activity instructors often lead to vicarious liability claims (McDonald, 2020).</w:t>
      </w:r>
    </w:p>
    <w:p w14:paraId="54302286" w14:textId="77777777" w:rsidR="006179ED" w:rsidRPr="006179ED" w:rsidRDefault="006179ED" w:rsidP="006179ED">
      <w:pPr>
        <w:spacing w:line="480" w:lineRule="auto"/>
        <w:rPr>
          <w:rFonts w:ascii="Arial" w:hAnsi="Arial" w:cs="Arial"/>
          <w:szCs w:val="24"/>
        </w:rPr>
      </w:pPr>
      <w:r w:rsidRPr="006179ED">
        <w:rPr>
          <w:rFonts w:ascii="Arial" w:hAnsi="Arial" w:cs="Arial"/>
          <w:szCs w:val="24"/>
        </w:rPr>
        <w:t>The rise of subcontractors and workers in the gig economy in tourism has complicated the implementation of vicarious liability. Scholars point out that courts often assess how much control the tourism businesses have over workers when accessing liability. With the changing models of tourism employment, vicarious liability has been a key subject of legal uncertainty and risk (</w:t>
      </w:r>
      <w:proofErr w:type="spellStart"/>
      <w:r w:rsidRPr="006179ED">
        <w:rPr>
          <w:rFonts w:ascii="Arial" w:hAnsi="Arial" w:cs="Arial"/>
          <w:szCs w:val="24"/>
        </w:rPr>
        <w:t>Buhalis</w:t>
      </w:r>
      <w:proofErr w:type="spellEnd"/>
      <w:r w:rsidRPr="006179ED">
        <w:rPr>
          <w:rFonts w:ascii="Arial" w:hAnsi="Arial" w:cs="Arial"/>
          <w:szCs w:val="24"/>
        </w:rPr>
        <w:t>, 2019).</w:t>
      </w:r>
    </w:p>
    <w:p w14:paraId="55A94F09" w14:textId="77777777" w:rsidR="006179ED" w:rsidRPr="006179ED" w:rsidRDefault="006179ED" w:rsidP="006179ED">
      <w:pPr>
        <w:spacing w:line="480" w:lineRule="auto"/>
        <w:rPr>
          <w:rFonts w:ascii="Arial" w:hAnsi="Arial" w:cs="Arial"/>
          <w:szCs w:val="24"/>
        </w:rPr>
      </w:pPr>
    </w:p>
    <w:p w14:paraId="4071AACA" w14:textId="60C9B54B" w:rsidR="006179ED" w:rsidRPr="006179ED" w:rsidRDefault="006179ED" w:rsidP="006179ED">
      <w:pPr>
        <w:spacing w:line="480" w:lineRule="auto"/>
        <w:rPr>
          <w:rFonts w:ascii="Arial" w:hAnsi="Arial" w:cs="Arial"/>
          <w:szCs w:val="24"/>
        </w:rPr>
      </w:pPr>
      <w:r w:rsidRPr="006179ED">
        <w:rPr>
          <w:rFonts w:ascii="Arial" w:hAnsi="Arial" w:cs="Arial"/>
          <w:szCs w:val="24"/>
        </w:rPr>
        <w:t>Contractual Liability and Contract Breakage</w:t>
      </w:r>
    </w:p>
    <w:p w14:paraId="377F3762" w14:textId="353CE127" w:rsidR="006179ED" w:rsidRPr="006179ED" w:rsidRDefault="006179ED" w:rsidP="006179ED">
      <w:pPr>
        <w:spacing w:line="480" w:lineRule="auto"/>
        <w:rPr>
          <w:rFonts w:ascii="Arial" w:hAnsi="Arial" w:cs="Arial"/>
          <w:szCs w:val="24"/>
        </w:rPr>
      </w:pPr>
      <w:r w:rsidRPr="006179ED">
        <w:rPr>
          <w:rFonts w:ascii="Arial" w:hAnsi="Arial" w:cs="Arial"/>
          <w:szCs w:val="24"/>
        </w:rPr>
        <w:t>Another important area of legal risk in tourism is breach of contract. Tourism contracts often contain detailed terms of service delivery, cancellation, and limitations of liability. Academic research indicates that conflicts often occur when services do not conform to descriptions of contract terms or are cancelled without proper compensation (Poole, 2020).</w:t>
      </w:r>
    </w:p>
    <w:p w14:paraId="267C80FF" w14:textId="77777777" w:rsidR="006179ED" w:rsidRPr="006179ED" w:rsidRDefault="006179ED" w:rsidP="006179ED">
      <w:pPr>
        <w:spacing w:line="480" w:lineRule="auto"/>
        <w:rPr>
          <w:rFonts w:ascii="Arial" w:hAnsi="Arial" w:cs="Arial"/>
          <w:szCs w:val="24"/>
        </w:rPr>
      </w:pPr>
      <w:r w:rsidRPr="006179ED">
        <w:rPr>
          <w:rFonts w:ascii="Arial" w:hAnsi="Arial" w:cs="Arial"/>
          <w:szCs w:val="24"/>
        </w:rPr>
        <w:t>Scholars call attention to how exclusion and limitation clauses in tourism contracts have been subjected to more scrutiny by the courts, especially in those situations where the consumers have less bargaining power. Contractual clauses that try to oust liability for negligence or personal injury may be held to be unenforceable in many jurisdictions. This strengthens the need for fair contract drafting and transparency in tourism contracts (Weatherill, 2020).</w:t>
      </w:r>
    </w:p>
    <w:p w14:paraId="116D7AAD" w14:textId="77777777" w:rsidR="006179ED" w:rsidRPr="006179ED" w:rsidRDefault="006179ED" w:rsidP="006179ED">
      <w:pPr>
        <w:spacing w:line="480" w:lineRule="auto"/>
        <w:rPr>
          <w:rFonts w:ascii="Arial" w:hAnsi="Arial" w:cs="Arial"/>
          <w:szCs w:val="24"/>
        </w:rPr>
      </w:pPr>
    </w:p>
    <w:p w14:paraId="3B80B07B" w14:textId="7B966603" w:rsidR="006179ED" w:rsidRPr="006179ED" w:rsidRDefault="006179ED" w:rsidP="006179ED">
      <w:pPr>
        <w:spacing w:line="480" w:lineRule="auto"/>
        <w:rPr>
          <w:rFonts w:ascii="Arial" w:hAnsi="Arial" w:cs="Arial"/>
          <w:szCs w:val="24"/>
        </w:rPr>
      </w:pPr>
      <w:r w:rsidRPr="006179ED">
        <w:rPr>
          <w:rFonts w:ascii="Arial" w:hAnsi="Arial" w:cs="Arial"/>
          <w:szCs w:val="24"/>
        </w:rPr>
        <w:lastRenderedPageBreak/>
        <w:t>Property Damage and Loss in Tourism</w:t>
      </w:r>
    </w:p>
    <w:p w14:paraId="235387EC" w14:textId="53D480EB" w:rsidR="006179ED" w:rsidRPr="006179ED" w:rsidRDefault="006179ED" w:rsidP="006179ED">
      <w:pPr>
        <w:spacing w:line="480" w:lineRule="auto"/>
        <w:rPr>
          <w:rFonts w:ascii="Arial" w:hAnsi="Arial" w:cs="Arial"/>
          <w:szCs w:val="24"/>
        </w:rPr>
      </w:pPr>
      <w:r w:rsidRPr="006179ED">
        <w:rPr>
          <w:rFonts w:ascii="Arial" w:hAnsi="Arial" w:cs="Arial"/>
          <w:szCs w:val="24"/>
        </w:rPr>
        <w:t>Liability for property damage and loss of personal possessions is a common problem in tourism litigation. Hotels, airlines and cruise operators can be subject to frequent claims regarding lost baggage, damaged property or theft. In the literature, it is noted that liability standards differ based on the type of service undertaken and legal frameworks in place, such as carrier liability conventions or hospitality rules (Dickerson, 2021).</w:t>
      </w:r>
    </w:p>
    <w:p w14:paraId="5692402D" w14:textId="77777777" w:rsidR="006179ED" w:rsidRPr="006179ED" w:rsidRDefault="006179ED" w:rsidP="006179ED">
      <w:pPr>
        <w:spacing w:line="480" w:lineRule="auto"/>
        <w:rPr>
          <w:rFonts w:ascii="Arial" w:hAnsi="Arial" w:cs="Arial"/>
          <w:szCs w:val="24"/>
        </w:rPr>
      </w:pPr>
      <w:r w:rsidRPr="006179ED">
        <w:rPr>
          <w:rFonts w:ascii="Arial" w:hAnsi="Arial" w:cs="Arial"/>
          <w:szCs w:val="24"/>
        </w:rPr>
        <w:t>Scholars reason that clear communication of liability limits and security measures is critical to the management of consumer expectations and lower disputes. However, contractual disclaimers alone are not always enough to prevent liability where negligence can be proved (Rutherford &amp; O'Fallon, 2007).</w:t>
      </w:r>
    </w:p>
    <w:p w14:paraId="43B4D736" w14:textId="77777777" w:rsidR="006179ED" w:rsidRPr="006179ED" w:rsidRDefault="006179ED" w:rsidP="006179ED">
      <w:pPr>
        <w:spacing w:line="480" w:lineRule="auto"/>
        <w:rPr>
          <w:rFonts w:ascii="Arial" w:hAnsi="Arial" w:cs="Arial"/>
          <w:szCs w:val="24"/>
        </w:rPr>
      </w:pPr>
    </w:p>
    <w:p w14:paraId="24AA59FC" w14:textId="1A628CB8" w:rsidR="006179ED" w:rsidRPr="006179ED" w:rsidRDefault="006179ED" w:rsidP="006179ED">
      <w:pPr>
        <w:spacing w:line="480" w:lineRule="auto"/>
        <w:rPr>
          <w:rFonts w:ascii="Arial" w:hAnsi="Arial" w:cs="Arial"/>
          <w:szCs w:val="24"/>
        </w:rPr>
      </w:pPr>
      <w:r w:rsidRPr="006179ED">
        <w:rPr>
          <w:rFonts w:ascii="Arial" w:hAnsi="Arial" w:cs="Arial"/>
          <w:szCs w:val="24"/>
        </w:rPr>
        <w:t>Risk Management and Mitigation of Liability</w:t>
      </w:r>
    </w:p>
    <w:p w14:paraId="4DF9F3A8" w14:textId="51BD1E0C" w:rsidR="006179ED" w:rsidRPr="006179ED" w:rsidRDefault="006179ED" w:rsidP="006179ED">
      <w:pPr>
        <w:spacing w:line="480" w:lineRule="auto"/>
        <w:rPr>
          <w:rFonts w:ascii="Arial" w:hAnsi="Arial" w:cs="Arial"/>
          <w:szCs w:val="24"/>
        </w:rPr>
      </w:pPr>
      <w:r w:rsidRPr="006179ED">
        <w:rPr>
          <w:rFonts w:ascii="Arial" w:hAnsi="Arial" w:cs="Arial"/>
          <w:szCs w:val="24"/>
        </w:rPr>
        <w:t>One of the key themes in tourism liability research has been risk management. Scholars emphasise that proactive risk management practices such as safety audits, staff training, and incident reporting systems can go a long way in minimising the legal exposure. Insurance coverage is widely considered to be a vital tool in managing the financial risk, but this does not supersede the responsibility to exercise a duty of care towards consumers (Kasim &amp; Wickens, 2016</w:t>
      </w:r>
      <w:proofErr w:type="gramStart"/>
      <w:r w:rsidRPr="006179ED">
        <w:rPr>
          <w:rFonts w:ascii="Arial" w:hAnsi="Arial" w:cs="Arial"/>
          <w:szCs w:val="24"/>
        </w:rPr>
        <w:t>).The</w:t>
      </w:r>
      <w:proofErr w:type="gramEnd"/>
      <w:r w:rsidRPr="006179ED">
        <w:rPr>
          <w:rFonts w:ascii="Arial" w:hAnsi="Arial" w:cs="Arial"/>
          <w:szCs w:val="24"/>
        </w:rPr>
        <w:t xml:space="preserve"> use of liability waivers is also well discussed in the literature. While waivers may restrict liability in some circumstances, courts often review them for clarity, fairness, and compliance with consumer protection laws. Research suggests that poorly drafted waivers offer limited protection </w:t>
      </w:r>
      <w:proofErr w:type="gramStart"/>
      <w:r w:rsidRPr="006179ED">
        <w:rPr>
          <w:rFonts w:ascii="Arial" w:hAnsi="Arial" w:cs="Arial"/>
          <w:szCs w:val="24"/>
        </w:rPr>
        <w:t>and also</w:t>
      </w:r>
      <w:proofErr w:type="gramEnd"/>
      <w:r w:rsidRPr="006179ED">
        <w:rPr>
          <w:rFonts w:ascii="Arial" w:hAnsi="Arial" w:cs="Arial"/>
          <w:szCs w:val="24"/>
        </w:rPr>
        <w:t xml:space="preserve"> may create legal risk (Mendelsohn, 2017).</w:t>
      </w:r>
    </w:p>
    <w:p w14:paraId="09056301" w14:textId="77777777" w:rsidR="006179ED" w:rsidRPr="006179ED" w:rsidRDefault="006179ED" w:rsidP="006179ED">
      <w:pPr>
        <w:spacing w:line="480" w:lineRule="auto"/>
        <w:rPr>
          <w:rFonts w:ascii="Arial" w:hAnsi="Arial" w:cs="Arial"/>
          <w:szCs w:val="24"/>
        </w:rPr>
      </w:pPr>
    </w:p>
    <w:p w14:paraId="436DF921" w14:textId="5F369CD5" w:rsidR="006179ED" w:rsidRPr="006179ED" w:rsidRDefault="006179ED" w:rsidP="006179ED">
      <w:pPr>
        <w:spacing w:line="480" w:lineRule="auto"/>
        <w:rPr>
          <w:rFonts w:ascii="Arial" w:hAnsi="Arial" w:cs="Arial"/>
          <w:szCs w:val="24"/>
        </w:rPr>
      </w:pPr>
      <w:r w:rsidRPr="006179ED">
        <w:rPr>
          <w:rFonts w:ascii="Arial" w:hAnsi="Arial" w:cs="Arial"/>
          <w:szCs w:val="24"/>
        </w:rPr>
        <w:t>Case Law and Judicial Trends</w:t>
      </w:r>
    </w:p>
    <w:p w14:paraId="6CFB5222" w14:textId="77777777" w:rsidR="006179ED" w:rsidRPr="006179ED" w:rsidRDefault="006179ED" w:rsidP="006179ED">
      <w:pPr>
        <w:spacing w:line="480" w:lineRule="auto"/>
        <w:rPr>
          <w:rFonts w:ascii="Arial" w:hAnsi="Arial" w:cs="Arial"/>
          <w:szCs w:val="24"/>
        </w:rPr>
      </w:pPr>
      <w:r w:rsidRPr="006179ED">
        <w:rPr>
          <w:rFonts w:ascii="Arial" w:hAnsi="Arial" w:cs="Arial"/>
          <w:szCs w:val="24"/>
        </w:rPr>
        <w:t>Academic analysis of tourism related case law shows a trend towards increased judicial scrutiny of tourism business practices. Courts are increasingly looking at whether operators have followed industry best practices and complied with regulatory standards. This trend is representative of a broader trend toward accountability and consumer protection in tourism law (Hall, 2019).</w:t>
      </w:r>
    </w:p>
    <w:p w14:paraId="008AD8D1" w14:textId="77777777" w:rsidR="006179ED" w:rsidRPr="006179ED" w:rsidRDefault="006179ED" w:rsidP="006179ED">
      <w:pPr>
        <w:spacing w:line="480" w:lineRule="auto"/>
        <w:rPr>
          <w:rFonts w:ascii="Arial" w:hAnsi="Arial" w:cs="Arial"/>
          <w:szCs w:val="24"/>
        </w:rPr>
      </w:pPr>
    </w:p>
    <w:p w14:paraId="1A565E74" w14:textId="4D2B757D" w:rsidR="006179ED" w:rsidRPr="006179ED" w:rsidRDefault="006179ED" w:rsidP="006179ED">
      <w:pPr>
        <w:spacing w:line="480" w:lineRule="auto"/>
        <w:rPr>
          <w:rFonts w:ascii="Arial" w:hAnsi="Arial" w:cs="Arial"/>
          <w:szCs w:val="24"/>
        </w:rPr>
      </w:pPr>
      <w:r w:rsidRPr="006179ED">
        <w:rPr>
          <w:rFonts w:ascii="Arial" w:hAnsi="Arial" w:cs="Arial"/>
          <w:szCs w:val="24"/>
        </w:rPr>
        <w:t>Gaps in Research and Future Directions</w:t>
      </w:r>
    </w:p>
    <w:p w14:paraId="02F52514" w14:textId="17471BA6" w:rsidR="006179ED" w:rsidRPr="006179ED" w:rsidRDefault="006179ED" w:rsidP="006179ED">
      <w:pPr>
        <w:spacing w:line="480" w:lineRule="auto"/>
        <w:rPr>
          <w:rFonts w:ascii="Arial" w:hAnsi="Arial" w:cs="Arial"/>
          <w:szCs w:val="24"/>
        </w:rPr>
      </w:pPr>
      <w:r w:rsidRPr="006179ED">
        <w:rPr>
          <w:rFonts w:ascii="Arial" w:hAnsi="Arial" w:cs="Arial"/>
          <w:szCs w:val="24"/>
        </w:rPr>
        <w:t>Despite a large body of scholarship, there are still gaps in the literature on tourism liability. Much of the current research is conducted on developed tourism markets with little attention to emerging tourism destinations where regulatory enforcement may be weaker. Additionally, rapid digitalisation and platform-based tourism services pose new liability questions which are not adequately addressed yet in legal scholarship.</w:t>
      </w:r>
    </w:p>
    <w:p w14:paraId="01E1A435" w14:textId="119C2159" w:rsidR="00823365" w:rsidRDefault="006179ED" w:rsidP="006179ED">
      <w:pPr>
        <w:spacing w:line="480" w:lineRule="auto"/>
        <w:rPr>
          <w:rFonts w:ascii="Arial" w:hAnsi="Arial" w:cs="Arial"/>
          <w:szCs w:val="24"/>
        </w:rPr>
      </w:pPr>
      <w:r w:rsidRPr="006179ED">
        <w:rPr>
          <w:rFonts w:ascii="Arial" w:hAnsi="Arial" w:cs="Arial"/>
          <w:szCs w:val="24"/>
        </w:rPr>
        <w:t>Overall, the literature supports the conclusion that liability and legal risk are key issues in the tourism industry. Effective legal frameworks and proactive risk management are critical for protecting consumers and ensuring sustainable tourism operations.</w:t>
      </w:r>
    </w:p>
    <w:p w14:paraId="3CB944CE" w14:textId="77777777" w:rsidR="006179ED" w:rsidRDefault="006179ED" w:rsidP="006179ED">
      <w:pPr>
        <w:spacing w:line="480" w:lineRule="auto"/>
        <w:rPr>
          <w:rFonts w:ascii="Arial" w:hAnsi="Arial" w:cs="Arial"/>
          <w:szCs w:val="24"/>
        </w:rPr>
      </w:pPr>
    </w:p>
    <w:p w14:paraId="6E9900BF" w14:textId="77777777" w:rsidR="006179ED" w:rsidRDefault="006179ED" w:rsidP="006179ED">
      <w:pPr>
        <w:spacing w:line="480" w:lineRule="auto"/>
        <w:rPr>
          <w:rFonts w:ascii="Arial" w:hAnsi="Arial" w:cs="Arial"/>
          <w:szCs w:val="24"/>
        </w:rPr>
      </w:pPr>
    </w:p>
    <w:p w14:paraId="7178FB8C" w14:textId="77777777" w:rsidR="006179ED" w:rsidRDefault="006179ED" w:rsidP="006179ED">
      <w:pPr>
        <w:spacing w:line="480" w:lineRule="auto"/>
        <w:rPr>
          <w:rFonts w:ascii="Arial" w:hAnsi="Arial" w:cs="Arial"/>
          <w:szCs w:val="24"/>
        </w:rPr>
      </w:pPr>
    </w:p>
    <w:p w14:paraId="309C320F" w14:textId="77777777" w:rsidR="006179ED" w:rsidRPr="00825F73" w:rsidRDefault="006179ED" w:rsidP="006179ED">
      <w:pPr>
        <w:spacing w:line="480" w:lineRule="auto"/>
        <w:rPr>
          <w:rStyle w:val="Heading1Char"/>
          <w:rFonts w:ascii="Arial" w:hAnsi="Arial" w:cs="Arial"/>
          <w:b/>
          <w:bCs/>
          <w:color w:val="auto"/>
          <w:sz w:val="24"/>
          <w:szCs w:val="24"/>
        </w:rPr>
      </w:pPr>
    </w:p>
    <w:p w14:paraId="70E3FE81" w14:textId="77777777" w:rsidR="00A1105F" w:rsidRPr="00A1105F" w:rsidRDefault="00823365" w:rsidP="00A1105F">
      <w:pPr>
        <w:spacing w:line="480" w:lineRule="auto"/>
        <w:rPr>
          <w:rFonts w:ascii="Arial" w:hAnsi="Arial" w:cs="Arial"/>
          <w:szCs w:val="24"/>
        </w:rPr>
      </w:pPr>
      <w:r w:rsidRPr="00825F73">
        <w:rPr>
          <w:rStyle w:val="Heading1Char"/>
          <w:rFonts w:ascii="Arial" w:hAnsi="Arial" w:cs="Arial"/>
          <w:b/>
          <w:bCs/>
          <w:color w:val="auto"/>
          <w:sz w:val="24"/>
          <w:szCs w:val="24"/>
        </w:rPr>
        <w:lastRenderedPageBreak/>
        <w:t>3 Methodology</w:t>
      </w:r>
      <w:bookmarkEnd w:id="3"/>
      <w:r w:rsidRPr="00825F73">
        <w:rPr>
          <w:rFonts w:ascii="Arial" w:hAnsi="Arial" w:cs="Arial"/>
          <w:b/>
          <w:bCs/>
          <w:szCs w:val="24"/>
        </w:rPr>
        <w:t xml:space="preserve"> </w:t>
      </w:r>
      <w:r w:rsidRPr="00825F73">
        <w:rPr>
          <w:rFonts w:ascii="Arial" w:hAnsi="Arial" w:cs="Arial"/>
          <w:szCs w:val="24"/>
        </w:rPr>
        <w:br/>
      </w:r>
      <w:r w:rsidR="00A1105F" w:rsidRPr="00A1105F">
        <w:rPr>
          <w:rFonts w:ascii="Arial" w:hAnsi="Arial" w:cs="Arial"/>
          <w:szCs w:val="24"/>
        </w:rPr>
        <w:t xml:space="preserve">This study uses a qualitative doctrine research methodology in </w:t>
      </w:r>
      <w:proofErr w:type="spellStart"/>
      <w:r w:rsidR="00A1105F" w:rsidRPr="00A1105F">
        <w:rPr>
          <w:rFonts w:ascii="Arial" w:hAnsi="Arial" w:cs="Arial"/>
          <w:szCs w:val="24"/>
        </w:rPr>
        <w:t>analyzing</w:t>
      </w:r>
      <w:proofErr w:type="spellEnd"/>
      <w:r w:rsidR="00A1105F" w:rsidRPr="00A1105F">
        <w:rPr>
          <w:rFonts w:ascii="Arial" w:hAnsi="Arial" w:cs="Arial"/>
          <w:szCs w:val="24"/>
        </w:rPr>
        <w:t xml:space="preserve"> the liability and the legal risks in the tourism industry. Doctrinal research is popular in legal scholarship when it is concerned with the systematic analysis and interpretation of legal principles, statutes, judicial decisions and academic commentary. Given that the objective of this assignment is to analyse legal responsibilities and risk exposure faced by tourism businesses rather than collecting empirical data from participants, the doctrinal approach </w:t>
      </w:r>
      <w:proofErr w:type="gramStart"/>
      <w:r w:rsidR="00A1105F" w:rsidRPr="00A1105F">
        <w:rPr>
          <w:rFonts w:ascii="Arial" w:hAnsi="Arial" w:cs="Arial"/>
          <w:szCs w:val="24"/>
        </w:rPr>
        <w:t>is considered to be</w:t>
      </w:r>
      <w:proofErr w:type="gramEnd"/>
      <w:r w:rsidR="00A1105F" w:rsidRPr="00A1105F">
        <w:rPr>
          <w:rFonts w:ascii="Arial" w:hAnsi="Arial" w:cs="Arial"/>
          <w:szCs w:val="24"/>
        </w:rPr>
        <w:t xml:space="preserve"> the most suitable research method (Poole, 2020).</w:t>
      </w:r>
    </w:p>
    <w:p w14:paraId="75A78F26" w14:textId="77777777" w:rsidR="00A1105F" w:rsidRPr="00A1105F" w:rsidRDefault="00A1105F" w:rsidP="00A1105F">
      <w:pPr>
        <w:spacing w:line="480" w:lineRule="auto"/>
        <w:rPr>
          <w:rFonts w:ascii="Arial" w:hAnsi="Arial" w:cs="Arial"/>
          <w:szCs w:val="24"/>
        </w:rPr>
      </w:pPr>
    </w:p>
    <w:p w14:paraId="382BA169"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Research Design</w:t>
      </w:r>
    </w:p>
    <w:p w14:paraId="7CDC15AD" w14:textId="77777777" w:rsidR="00A1105F" w:rsidRPr="00A1105F" w:rsidRDefault="00A1105F" w:rsidP="00A1105F">
      <w:pPr>
        <w:spacing w:line="480" w:lineRule="auto"/>
        <w:rPr>
          <w:rFonts w:ascii="Arial" w:hAnsi="Arial" w:cs="Arial"/>
          <w:szCs w:val="24"/>
        </w:rPr>
      </w:pPr>
    </w:p>
    <w:p w14:paraId="22389A91"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The design of the research is descriptive analytics. The descriptive element details the main legal principles relating to liability in tourism, such as negligence, strict liability and vicarious liability. It also identifies common sources of legal risk such as claims for personal injury, property damage and breach of contract. The analytical component is critical of the application of these principles in tourism contexts, and the way courts consider responsibility, duty of care and causation in tourism-related disputes. This dual approach can provide a thorough grasp of both the theoretical and practical aspects of tourism liability (Dickerson, 2021).</w:t>
      </w:r>
    </w:p>
    <w:p w14:paraId="708E64F2" w14:textId="77777777" w:rsidR="00A1105F" w:rsidRPr="00A1105F" w:rsidRDefault="00A1105F" w:rsidP="00A1105F">
      <w:pPr>
        <w:spacing w:line="480" w:lineRule="auto"/>
        <w:rPr>
          <w:rFonts w:ascii="Arial" w:hAnsi="Arial" w:cs="Arial"/>
          <w:szCs w:val="24"/>
        </w:rPr>
      </w:pPr>
    </w:p>
    <w:p w14:paraId="21C38191" w14:textId="77777777" w:rsidR="00A1105F" w:rsidRPr="00A1105F" w:rsidRDefault="00A1105F" w:rsidP="00A1105F">
      <w:pPr>
        <w:spacing w:line="480" w:lineRule="auto"/>
        <w:rPr>
          <w:rFonts w:ascii="Arial" w:hAnsi="Arial" w:cs="Arial"/>
          <w:szCs w:val="24"/>
        </w:rPr>
      </w:pPr>
      <w:r w:rsidRPr="00A1105F">
        <w:rPr>
          <w:rFonts w:ascii="Arial" w:hAnsi="Arial" w:cs="Arial"/>
          <w:szCs w:val="24"/>
        </w:rPr>
        <w:lastRenderedPageBreak/>
        <w:t xml:space="preserve">This design lends itself especially well to the study of law and tourism because the issues of liability commonly stem from the interplay between </w:t>
      </w:r>
      <w:proofErr w:type="gramStart"/>
      <w:r w:rsidRPr="00A1105F">
        <w:rPr>
          <w:rFonts w:ascii="Arial" w:hAnsi="Arial" w:cs="Arial"/>
          <w:szCs w:val="24"/>
        </w:rPr>
        <w:t>a number of</w:t>
      </w:r>
      <w:proofErr w:type="gramEnd"/>
      <w:r w:rsidRPr="00A1105F">
        <w:rPr>
          <w:rFonts w:ascii="Arial" w:hAnsi="Arial" w:cs="Arial"/>
          <w:szCs w:val="24"/>
        </w:rPr>
        <w:t xml:space="preserve"> different areas of law, including tort law, contract law, and the regulation of activities by statute. By combining these domains, the study gives a holistic analysis of legal risk exposure in tourism operations.</w:t>
      </w:r>
    </w:p>
    <w:p w14:paraId="644E4FA5" w14:textId="77777777" w:rsidR="00A1105F" w:rsidRPr="00A1105F" w:rsidRDefault="00A1105F" w:rsidP="00A1105F">
      <w:pPr>
        <w:spacing w:line="480" w:lineRule="auto"/>
        <w:rPr>
          <w:rFonts w:ascii="Arial" w:hAnsi="Arial" w:cs="Arial"/>
          <w:szCs w:val="24"/>
        </w:rPr>
      </w:pPr>
    </w:p>
    <w:p w14:paraId="2B526115"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Sources of Data</w:t>
      </w:r>
    </w:p>
    <w:p w14:paraId="12632AF0" w14:textId="77777777" w:rsidR="00A1105F" w:rsidRPr="00A1105F" w:rsidRDefault="00A1105F" w:rsidP="00A1105F">
      <w:pPr>
        <w:spacing w:line="480" w:lineRule="auto"/>
        <w:rPr>
          <w:rFonts w:ascii="Arial" w:hAnsi="Arial" w:cs="Arial"/>
          <w:szCs w:val="24"/>
        </w:rPr>
      </w:pPr>
    </w:p>
    <w:p w14:paraId="0172F788"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The study is based solely on the secondary sources of data which are regarded as an authoritative and suitable sources for doctrinal legal research. Information found in peer-reviewed academic journal articles, legal textbooks, analyses of judicial cases, and policy reports relating to tourism law and risk management are all considered as sources. Key sources also include regulatory guidance published by international and regional groupings involved in tourism governance and consumer protection.</w:t>
      </w:r>
    </w:p>
    <w:p w14:paraId="328ED4AE" w14:textId="77777777" w:rsidR="00A1105F" w:rsidRPr="00A1105F" w:rsidRDefault="00A1105F" w:rsidP="00A1105F">
      <w:pPr>
        <w:spacing w:line="480" w:lineRule="auto"/>
        <w:rPr>
          <w:rFonts w:ascii="Arial" w:hAnsi="Arial" w:cs="Arial"/>
          <w:szCs w:val="24"/>
        </w:rPr>
      </w:pPr>
    </w:p>
    <w:p w14:paraId="2C81DA80"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 xml:space="preserve">Judicial rulings that involve tourism-related liability claims are reviewed to demonstrate how legal principles are interpreted and applied. These cases throw light on Judicial expectations with regards to safety standards, duty of care and risk mitigation. Emphasis is given to the use of current sources </w:t>
      </w:r>
      <w:proofErr w:type="gramStart"/>
      <w:r w:rsidRPr="00A1105F">
        <w:rPr>
          <w:rFonts w:ascii="Arial" w:hAnsi="Arial" w:cs="Arial"/>
          <w:szCs w:val="24"/>
        </w:rPr>
        <w:t>in order to</w:t>
      </w:r>
      <w:proofErr w:type="gramEnd"/>
      <w:r w:rsidRPr="00A1105F">
        <w:rPr>
          <w:rFonts w:ascii="Arial" w:hAnsi="Arial" w:cs="Arial"/>
          <w:szCs w:val="24"/>
        </w:rPr>
        <w:t xml:space="preserve"> represent the latest progress in tourism operations, especially in areas such as adventure tourism, transport services, and hospitality management (Hall, 2019).</w:t>
      </w:r>
    </w:p>
    <w:p w14:paraId="0CA823D4" w14:textId="77777777" w:rsidR="00A1105F" w:rsidRPr="00A1105F" w:rsidRDefault="00A1105F" w:rsidP="00A1105F">
      <w:pPr>
        <w:spacing w:line="480" w:lineRule="auto"/>
        <w:rPr>
          <w:rFonts w:ascii="Arial" w:hAnsi="Arial" w:cs="Arial"/>
          <w:szCs w:val="24"/>
        </w:rPr>
      </w:pPr>
    </w:p>
    <w:p w14:paraId="29732424"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Analytical Framework</w:t>
      </w:r>
    </w:p>
    <w:p w14:paraId="413E4A0A" w14:textId="77777777" w:rsidR="00A1105F" w:rsidRPr="00A1105F" w:rsidRDefault="00A1105F" w:rsidP="00A1105F">
      <w:pPr>
        <w:spacing w:line="480" w:lineRule="auto"/>
        <w:rPr>
          <w:rFonts w:ascii="Arial" w:hAnsi="Arial" w:cs="Arial"/>
          <w:szCs w:val="24"/>
        </w:rPr>
      </w:pPr>
    </w:p>
    <w:p w14:paraId="0DAB325F"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Data analysis is carried out through thematic legal analysis, a technique that entails searching for repetitive legal themes across legislation, case-law and academic literature. Key themes analysed in this study include duty of care, foreseeability of harm, breach of safety obligations, employer responsibility and contractual risk allocation. Each theme is discussed in terms of various types of tourism, including hotels, airlines, tour operators, and guided activity providers.</w:t>
      </w:r>
    </w:p>
    <w:p w14:paraId="7BB8224D" w14:textId="77777777" w:rsidR="00A1105F" w:rsidRPr="00A1105F" w:rsidRDefault="00A1105F" w:rsidP="00A1105F">
      <w:pPr>
        <w:spacing w:line="480" w:lineRule="auto"/>
        <w:rPr>
          <w:rFonts w:ascii="Arial" w:hAnsi="Arial" w:cs="Arial"/>
          <w:szCs w:val="24"/>
        </w:rPr>
      </w:pPr>
    </w:p>
    <w:p w14:paraId="6208E23A"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A comparative approach is also used in examining the interpretation of the principles of liability in a variety of jurisdictions. Given the international nature of tourism, comparative analysis assists in identifying differences in legal standards, enforcement practices and risk exposure of tourism businesses operating across the borders (Weatherill, 2020).</w:t>
      </w:r>
    </w:p>
    <w:p w14:paraId="09DBA776" w14:textId="77777777" w:rsidR="00A1105F" w:rsidRPr="00A1105F" w:rsidRDefault="00A1105F" w:rsidP="00A1105F">
      <w:pPr>
        <w:spacing w:line="480" w:lineRule="auto"/>
        <w:rPr>
          <w:rFonts w:ascii="Arial" w:hAnsi="Arial" w:cs="Arial"/>
          <w:szCs w:val="24"/>
        </w:rPr>
      </w:pPr>
    </w:p>
    <w:p w14:paraId="4AB40BEB"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Ethical Considerations</w:t>
      </w:r>
    </w:p>
    <w:p w14:paraId="783A1D18" w14:textId="77777777" w:rsidR="00A1105F" w:rsidRPr="00A1105F" w:rsidRDefault="00A1105F" w:rsidP="00A1105F">
      <w:pPr>
        <w:spacing w:line="480" w:lineRule="auto"/>
        <w:rPr>
          <w:rFonts w:ascii="Arial" w:hAnsi="Arial" w:cs="Arial"/>
          <w:szCs w:val="24"/>
        </w:rPr>
      </w:pPr>
    </w:p>
    <w:p w14:paraId="687B230B"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 xml:space="preserve">As the nature of the study is purely secondary, no ethical issues regarding human participants exist. Academic integrity has been preserved by accurate citation and </w:t>
      </w:r>
      <w:r w:rsidRPr="00A1105F">
        <w:rPr>
          <w:rFonts w:ascii="Arial" w:hAnsi="Arial" w:cs="Arial"/>
          <w:szCs w:val="24"/>
        </w:rPr>
        <w:lastRenderedPageBreak/>
        <w:t>objective analysis of legal principles. The research is bias-free by recognizing the differences in judicial interpretation and scholarly opinions where applicable.</w:t>
      </w:r>
    </w:p>
    <w:p w14:paraId="56FC4A9D" w14:textId="77777777" w:rsidR="00A1105F" w:rsidRPr="00A1105F" w:rsidRDefault="00A1105F" w:rsidP="00A1105F">
      <w:pPr>
        <w:spacing w:line="480" w:lineRule="auto"/>
        <w:rPr>
          <w:rFonts w:ascii="Arial" w:hAnsi="Arial" w:cs="Arial"/>
          <w:szCs w:val="24"/>
        </w:rPr>
      </w:pPr>
    </w:p>
    <w:p w14:paraId="27C75F46"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Limitations of the Methodology</w:t>
      </w:r>
    </w:p>
    <w:p w14:paraId="269ECC09" w14:textId="77777777" w:rsidR="00A1105F" w:rsidRPr="00A1105F" w:rsidRDefault="00A1105F" w:rsidP="00A1105F">
      <w:pPr>
        <w:spacing w:line="480" w:lineRule="auto"/>
        <w:rPr>
          <w:rFonts w:ascii="Arial" w:hAnsi="Arial" w:cs="Arial"/>
          <w:szCs w:val="24"/>
        </w:rPr>
      </w:pPr>
    </w:p>
    <w:p w14:paraId="35063350" w14:textId="77777777" w:rsidR="00A1105F" w:rsidRPr="00A1105F" w:rsidRDefault="00A1105F" w:rsidP="00A1105F">
      <w:pPr>
        <w:spacing w:line="480" w:lineRule="auto"/>
        <w:rPr>
          <w:rFonts w:ascii="Arial" w:hAnsi="Arial" w:cs="Arial"/>
          <w:szCs w:val="24"/>
        </w:rPr>
      </w:pPr>
      <w:r w:rsidRPr="00A1105F">
        <w:rPr>
          <w:rFonts w:ascii="Arial" w:hAnsi="Arial" w:cs="Arial"/>
          <w:szCs w:val="24"/>
        </w:rPr>
        <w:t>Despite the strengths, this methodology is not without limitations. The use of secondary data means that the study does not reflect lived experience of tourists or business end perspectives of tourism businesses. Additionally, variations in legal systems and enforcement capacity between jurisdictions can constrict the generalisability of results. However, these limitations cannot compromise the validity of the study since its main purpose is to offer a legal and analytical analysis of liability and legal risks in tourism.</w:t>
      </w:r>
    </w:p>
    <w:p w14:paraId="49EB46D3" w14:textId="77777777" w:rsidR="00A1105F" w:rsidRPr="00A1105F" w:rsidRDefault="00A1105F" w:rsidP="00A1105F">
      <w:pPr>
        <w:spacing w:line="480" w:lineRule="auto"/>
        <w:rPr>
          <w:rFonts w:ascii="Arial" w:hAnsi="Arial" w:cs="Arial"/>
          <w:szCs w:val="24"/>
        </w:rPr>
      </w:pPr>
    </w:p>
    <w:p w14:paraId="4CDEC9C4" w14:textId="6208E06C" w:rsidR="00823365" w:rsidRPr="00825F73" w:rsidRDefault="00A1105F" w:rsidP="00A1105F">
      <w:pPr>
        <w:spacing w:line="480" w:lineRule="auto"/>
        <w:rPr>
          <w:rStyle w:val="Heading1Char"/>
          <w:rFonts w:ascii="Arial" w:hAnsi="Arial" w:cs="Arial"/>
          <w:b/>
          <w:bCs/>
          <w:color w:val="auto"/>
          <w:sz w:val="24"/>
          <w:szCs w:val="24"/>
        </w:rPr>
      </w:pPr>
      <w:r w:rsidRPr="00A1105F">
        <w:rPr>
          <w:rFonts w:ascii="Arial" w:hAnsi="Arial" w:cs="Arial"/>
          <w:szCs w:val="24"/>
        </w:rPr>
        <w:t>Overall, the methodology used is a solid, rigorous framework for analysing liability principle and legal risk management in the tourism industry.</w:t>
      </w:r>
    </w:p>
    <w:p w14:paraId="19EF550C" w14:textId="77777777" w:rsidR="00823365" w:rsidRPr="00825F73" w:rsidRDefault="00823365" w:rsidP="00823365">
      <w:pPr>
        <w:spacing w:line="480" w:lineRule="auto"/>
        <w:rPr>
          <w:rStyle w:val="Heading1Char"/>
          <w:rFonts w:ascii="Arial" w:hAnsi="Arial" w:cs="Arial"/>
          <w:b/>
          <w:bCs/>
          <w:color w:val="auto"/>
          <w:sz w:val="24"/>
          <w:szCs w:val="24"/>
        </w:rPr>
      </w:pPr>
    </w:p>
    <w:p w14:paraId="0D9E75F8" w14:textId="77777777" w:rsidR="00823365" w:rsidRPr="00825F73" w:rsidRDefault="00823365" w:rsidP="00823365">
      <w:pPr>
        <w:spacing w:line="480" w:lineRule="auto"/>
        <w:rPr>
          <w:rStyle w:val="Heading1Char"/>
          <w:rFonts w:ascii="Arial" w:hAnsi="Arial" w:cs="Arial"/>
          <w:b/>
          <w:bCs/>
          <w:color w:val="auto"/>
          <w:sz w:val="24"/>
          <w:szCs w:val="24"/>
        </w:rPr>
      </w:pPr>
    </w:p>
    <w:p w14:paraId="13205EF2" w14:textId="77777777" w:rsidR="00823365" w:rsidRPr="00825F73" w:rsidRDefault="00823365" w:rsidP="00823365">
      <w:pPr>
        <w:spacing w:line="480" w:lineRule="auto"/>
        <w:rPr>
          <w:rStyle w:val="Heading1Char"/>
          <w:rFonts w:ascii="Arial" w:hAnsi="Arial" w:cs="Arial"/>
          <w:b/>
          <w:bCs/>
          <w:color w:val="auto"/>
          <w:sz w:val="24"/>
          <w:szCs w:val="24"/>
        </w:rPr>
      </w:pPr>
    </w:p>
    <w:p w14:paraId="5BE73810" w14:textId="77777777" w:rsidR="00823365" w:rsidRPr="00825F73" w:rsidRDefault="00823365" w:rsidP="00823365">
      <w:pPr>
        <w:spacing w:line="480" w:lineRule="auto"/>
        <w:rPr>
          <w:rStyle w:val="Heading1Char"/>
          <w:rFonts w:ascii="Arial" w:hAnsi="Arial" w:cs="Arial"/>
          <w:b/>
          <w:bCs/>
          <w:color w:val="auto"/>
          <w:sz w:val="24"/>
          <w:szCs w:val="24"/>
        </w:rPr>
      </w:pPr>
    </w:p>
    <w:p w14:paraId="505EA8F6" w14:textId="77777777" w:rsidR="00823365" w:rsidRDefault="00823365" w:rsidP="00823365">
      <w:pPr>
        <w:spacing w:line="480" w:lineRule="auto"/>
        <w:rPr>
          <w:rStyle w:val="Heading1Char"/>
          <w:rFonts w:ascii="Arial" w:hAnsi="Arial" w:cs="Arial"/>
          <w:b/>
          <w:bCs/>
          <w:color w:val="auto"/>
          <w:sz w:val="24"/>
          <w:szCs w:val="24"/>
        </w:rPr>
      </w:pPr>
    </w:p>
    <w:p w14:paraId="375F67C0" w14:textId="77777777" w:rsidR="00823365" w:rsidRPr="00825F73" w:rsidRDefault="00823365" w:rsidP="00823365">
      <w:pPr>
        <w:spacing w:line="480" w:lineRule="auto"/>
        <w:rPr>
          <w:rStyle w:val="Heading1Char"/>
          <w:rFonts w:ascii="Arial" w:hAnsi="Arial" w:cs="Arial"/>
          <w:b/>
          <w:bCs/>
          <w:color w:val="auto"/>
          <w:sz w:val="24"/>
          <w:szCs w:val="24"/>
        </w:rPr>
      </w:pPr>
    </w:p>
    <w:p w14:paraId="621C0B30" w14:textId="77777777" w:rsidR="00823365" w:rsidRPr="00825F73" w:rsidRDefault="00823365" w:rsidP="00823365">
      <w:pPr>
        <w:spacing w:line="480" w:lineRule="auto"/>
        <w:rPr>
          <w:rStyle w:val="Heading1Char"/>
          <w:rFonts w:ascii="Arial" w:hAnsi="Arial" w:cs="Arial"/>
          <w:b/>
          <w:bCs/>
          <w:color w:val="auto"/>
          <w:sz w:val="24"/>
          <w:szCs w:val="24"/>
        </w:rPr>
      </w:pPr>
      <w:bookmarkStart w:id="4" w:name="_Toc221201958"/>
      <w:r w:rsidRPr="00825F73">
        <w:rPr>
          <w:rStyle w:val="Heading1Char"/>
          <w:rFonts w:ascii="Arial" w:hAnsi="Arial" w:cs="Arial"/>
          <w:b/>
          <w:bCs/>
          <w:color w:val="auto"/>
          <w:sz w:val="24"/>
          <w:szCs w:val="24"/>
        </w:rPr>
        <w:lastRenderedPageBreak/>
        <w:t>4 Finding</w:t>
      </w:r>
      <w:bookmarkEnd w:id="4"/>
    </w:p>
    <w:p w14:paraId="2BB9EBA0" w14:textId="77777777" w:rsidR="003D4FB9" w:rsidRPr="003D4FB9" w:rsidRDefault="003D4FB9" w:rsidP="003D4FB9">
      <w:pPr>
        <w:spacing w:line="480" w:lineRule="auto"/>
        <w:rPr>
          <w:rFonts w:ascii="Arial" w:hAnsi="Arial" w:cs="Arial"/>
          <w:szCs w:val="24"/>
        </w:rPr>
      </w:pPr>
      <w:r w:rsidRPr="003D4FB9">
        <w:rPr>
          <w:rFonts w:ascii="Arial" w:hAnsi="Arial" w:cs="Arial"/>
          <w:szCs w:val="24"/>
        </w:rPr>
        <w:t xml:space="preserve">The analysis of legal literature, policy documents and judicial decisions indicates that the issue of liability and legal risk pervade the tourism industry. One of the most significant findings is that tourism businesses are exposed to a higher level of legal risk because of the nature of tourism services and the </w:t>
      </w:r>
      <w:proofErr w:type="gramStart"/>
      <w:r w:rsidRPr="003D4FB9">
        <w:rPr>
          <w:rFonts w:ascii="Arial" w:hAnsi="Arial" w:cs="Arial"/>
          <w:szCs w:val="24"/>
        </w:rPr>
        <w:t>often physical</w:t>
      </w:r>
      <w:proofErr w:type="gramEnd"/>
      <w:r w:rsidRPr="003D4FB9">
        <w:rPr>
          <w:rFonts w:ascii="Arial" w:hAnsi="Arial" w:cs="Arial"/>
          <w:szCs w:val="24"/>
        </w:rPr>
        <w:t xml:space="preserve"> movement, recreational activities and close interaction with customers. This exposure results in an increased potential for personal injury claims, property damage disputes, as well as contractual litigation (Dickerson, 2021).</w:t>
      </w:r>
    </w:p>
    <w:p w14:paraId="1691155F" w14:textId="77777777" w:rsidR="003D4FB9" w:rsidRPr="003D4FB9" w:rsidRDefault="003D4FB9" w:rsidP="003D4FB9">
      <w:pPr>
        <w:spacing w:line="480" w:lineRule="auto"/>
        <w:rPr>
          <w:rFonts w:ascii="Arial" w:hAnsi="Arial" w:cs="Arial"/>
          <w:szCs w:val="24"/>
        </w:rPr>
      </w:pPr>
    </w:p>
    <w:p w14:paraId="56ED927C" w14:textId="77777777" w:rsidR="003D4FB9" w:rsidRPr="003D4FB9" w:rsidRDefault="003D4FB9" w:rsidP="003D4FB9">
      <w:pPr>
        <w:spacing w:line="480" w:lineRule="auto"/>
        <w:rPr>
          <w:rFonts w:ascii="Arial" w:hAnsi="Arial" w:cs="Arial"/>
          <w:szCs w:val="24"/>
        </w:rPr>
      </w:pPr>
      <w:r w:rsidRPr="003D4FB9">
        <w:rPr>
          <w:rFonts w:ascii="Arial" w:hAnsi="Arial" w:cs="Arial"/>
          <w:szCs w:val="24"/>
        </w:rPr>
        <w:t>A key finding is in relation to the centrality of negligence in tourism liability cases. Courts have recognised over time that tourism operators owe a duty of care to their customers, since harm is often foreseeable in tourism environments such as hotels, transport services, guided activities and so on. The findings show that liability is a common situation where businesses simply fail to keep their premises safe, provide adequate supervision, or warn customers of known risks. Judicial decisions show that the standard of care expected of tourism operators has progressed over the years and reflects changes in the industries understanding of safety and best practice (Hall, 2019).</w:t>
      </w:r>
    </w:p>
    <w:p w14:paraId="731988FE" w14:textId="77777777" w:rsidR="003D4FB9" w:rsidRPr="003D4FB9" w:rsidRDefault="003D4FB9" w:rsidP="003D4FB9">
      <w:pPr>
        <w:spacing w:line="480" w:lineRule="auto"/>
        <w:rPr>
          <w:rFonts w:ascii="Arial" w:hAnsi="Arial" w:cs="Arial"/>
          <w:szCs w:val="24"/>
        </w:rPr>
      </w:pPr>
    </w:p>
    <w:p w14:paraId="35A97255" w14:textId="77777777" w:rsidR="003D4FB9" w:rsidRPr="003D4FB9" w:rsidRDefault="003D4FB9" w:rsidP="003D4FB9">
      <w:pPr>
        <w:spacing w:line="480" w:lineRule="auto"/>
        <w:rPr>
          <w:rFonts w:ascii="Arial" w:hAnsi="Arial" w:cs="Arial"/>
          <w:szCs w:val="24"/>
        </w:rPr>
      </w:pPr>
      <w:r w:rsidRPr="003D4FB9">
        <w:rPr>
          <w:rFonts w:ascii="Arial" w:hAnsi="Arial" w:cs="Arial"/>
          <w:szCs w:val="24"/>
        </w:rPr>
        <w:t xml:space="preserve">The findings also show the increasing relevance of strict liability in the context of tourism-related activities. In case of inherently dangerous activities like adventure tourism and specialised recreational experiences, liability could be imposed without any fault. This indicates judicial acceptance that consumers have a high degree of reliance </w:t>
      </w:r>
      <w:r w:rsidRPr="003D4FB9">
        <w:rPr>
          <w:rFonts w:ascii="Arial" w:hAnsi="Arial" w:cs="Arial"/>
          <w:szCs w:val="24"/>
        </w:rPr>
        <w:lastRenderedPageBreak/>
        <w:t>on the expertise and assurances of operators charged with delivering safety in a high-risk tourism activity. While strict liability has the risk of high exposure from a legal standpoint for tourism businesses, it also serves as a motivator towards implementing higher safety protocols and professional standards (Mendelsohn, 2017).</w:t>
      </w:r>
    </w:p>
    <w:p w14:paraId="4093FCAC" w14:textId="77777777" w:rsidR="003D4FB9" w:rsidRPr="003D4FB9" w:rsidRDefault="003D4FB9" w:rsidP="003D4FB9">
      <w:pPr>
        <w:spacing w:line="480" w:lineRule="auto"/>
        <w:rPr>
          <w:rFonts w:ascii="Arial" w:hAnsi="Arial" w:cs="Arial"/>
          <w:szCs w:val="24"/>
        </w:rPr>
      </w:pPr>
    </w:p>
    <w:p w14:paraId="08512B81" w14:textId="77777777" w:rsidR="003D4FB9" w:rsidRPr="003D4FB9" w:rsidRDefault="003D4FB9" w:rsidP="003D4FB9">
      <w:pPr>
        <w:spacing w:line="480" w:lineRule="auto"/>
        <w:rPr>
          <w:rFonts w:ascii="Arial" w:hAnsi="Arial" w:cs="Arial"/>
          <w:szCs w:val="24"/>
        </w:rPr>
      </w:pPr>
      <w:r w:rsidRPr="003D4FB9">
        <w:rPr>
          <w:rFonts w:ascii="Arial" w:hAnsi="Arial" w:cs="Arial"/>
          <w:szCs w:val="24"/>
        </w:rPr>
        <w:t>Another important finding concerns vicarious liability that stems from an employment relationship. Tourism enterprises often rely on employees, guides, drivers, and subcontractors for service. Courts have frequently found employers legally liable for the negligent acts of their employees in the course of their duties. The findings show that disputes are often caused by staff misconduct, insufficient training or failure to adhere to safety procedures. This underlines the significance of effective recruitment, training, and supervision in the reduction of legal risk (McDonald, 2020).</w:t>
      </w:r>
    </w:p>
    <w:p w14:paraId="2CFE9F40" w14:textId="77777777" w:rsidR="003D4FB9" w:rsidRPr="003D4FB9" w:rsidRDefault="003D4FB9" w:rsidP="003D4FB9">
      <w:pPr>
        <w:spacing w:line="480" w:lineRule="auto"/>
        <w:rPr>
          <w:rFonts w:ascii="Arial" w:hAnsi="Arial" w:cs="Arial"/>
          <w:szCs w:val="24"/>
        </w:rPr>
      </w:pPr>
    </w:p>
    <w:p w14:paraId="3F30143F" w14:textId="77777777" w:rsidR="003D4FB9" w:rsidRPr="003D4FB9" w:rsidRDefault="003D4FB9" w:rsidP="003D4FB9">
      <w:pPr>
        <w:spacing w:line="480" w:lineRule="auto"/>
        <w:rPr>
          <w:rFonts w:ascii="Arial" w:hAnsi="Arial" w:cs="Arial"/>
          <w:szCs w:val="24"/>
        </w:rPr>
      </w:pPr>
      <w:r w:rsidRPr="003D4FB9">
        <w:rPr>
          <w:rFonts w:ascii="Arial" w:hAnsi="Arial" w:cs="Arial"/>
          <w:szCs w:val="24"/>
        </w:rPr>
        <w:t>Contractual liability is also identified as a major source of legal risk in tourism. The analysis reveals that disputes are often frequent due to services not being as described in the contracts, services being cancelled without appropriate compensation, or improper terms and conditions. Courts are increasingly looking hard at exclusion and limitation clauses in contracts between tourists and tour operators, especially those that put consumers in a position of limited bargaining power. Clauses that try to exclude liability for personal injury or negligence are frequently found to be unenforceable, thus stressing the importance of fair and transparent contract drafting (Poole, 2020).</w:t>
      </w:r>
    </w:p>
    <w:p w14:paraId="32857EFE" w14:textId="77777777" w:rsidR="003D4FB9" w:rsidRPr="003D4FB9" w:rsidRDefault="003D4FB9" w:rsidP="003D4FB9">
      <w:pPr>
        <w:spacing w:line="480" w:lineRule="auto"/>
        <w:rPr>
          <w:rFonts w:ascii="Arial" w:hAnsi="Arial" w:cs="Arial"/>
          <w:szCs w:val="24"/>
        </w:rPr>
      </w:pPr>
    </w:p>
    <w:p w14:paraId="4665A267" w14:textId="77777777" w:rsidR="003D4FB9" w:rsidRPr="003D4FB9" w:rsidRDefault="003D4FB9" w:rsidP="003D4FB9">
      <w:pPr>
        <w:spacing w:line="480" w:lineRule="auto"/>
        <w:rPr>
          <w:rFonts w:ascii="Arial" w:hAnsi="Arial" w:cs="Arial"/>
          <w:szCs w:val="24"/>
        </w:rPr>
      </w:pPr>
      <w:r w:rsidRPr="003D4FB9">
        <w:rPr>
          <w:rFonts w:ascii="Arial" w:hAnsi="Arial" w:cs="Arial"/>
          <w:szCs w:val="24"/>
        </w:rPr>
        <w:lastRenderedPageBreak/>
        <w:t>Liability for loss of property and personal belongings becomes another recurring problem. Hotels, airlines and cruise companies regularly carry out legal proceedings concerning lost luggage, damaged property or theft. The findings suggest that although liability limits may apply under certain legal frameworks, tourism businesses may still be held liable, where negligence may be proven. This underlies the importance of security measures and clear communication of the liability policies to the customers (Rutherford &amp; O'Fallon, 2007).</w:t>
      </w:r>
    </w:p>
    <w:p w14:paraId="441411E0" w14:textId="77777777" w:rsidR="003D4FB9" w:rsidRPr="003D4FB9" w:rsidRDefault="003D4FB9" w:rsidP="003D4FB9">
      <w:pPr>
        <w:spacing w:line="480" w:lineRule="auto"/>
        <w:rPr>
          <w:rFonts w:ascii="Arial" w:hAnsi="Arial" w:cs="Arial"/>
          <w:szCs w:val="24"/>
        </w:rPr>
      </w:pPr>
    </w:p>
    <w:p w14:paraId="50FE8AA7" w14:textId="77777777" w:rsidR="003D4FB9" w:rsidRPr="003D4FB9" w:rsidRDefault="003D4FB9" w:rsidP="003D4FB9">
      <w:pPr>
        <w:spacing w:line="480" w:lineRule="auto"/>
        <w:rPr>
          <w:rFonts w:ascii="Arial" w:hAnsi="Arial" w:cs="Arial"/>
          <w:szCs w:val="24"/>
        </w:rPr>
      </w:pPr>
      <w:r w:rsidRPr="003D4FB9">
        <w:rPr>
          <w:rFonts w:ascii="Arial" w:hAnsi="Arial" w:cs="Arial"/>
          <w:szCs w:val="24"/>
        </w:rPr>
        <w:t>The findings also further underscore the role of risk mitigation strategies in mitigating legal exposure. Tourism businesses come to increasingly depend on insurance cover, liability waivers, and structured risk management systems. However, the analysis shows that such measures do not remove legal responsibility. Courts frequently review the clarity, fairness, and lawfulness of liability waivers, and crudely drafted waivers offer little protection. Effective management of risk therefore requires both preventative safety measures and staff training, as well as legal compliance (Kasim &amp; Wickens, 2016).</w:t>
      </w:r>
    </w:p>
    <w:p w14:paraId="5019FF0F" w14:textId="77777777" w:rsidR="003D4FB9" w:rsidRPr="003D4FB9" w:rsidRDefault="003D4FB9" w:rsidP="003D4FB9">
      <w:pPr>
        <w:spacing w:line="480" w:lineRule="auto"/>
        <w:rPr>
          <w:rFonts w:ascii="Arial" w:hAnsi="Arial" w:cs="Arial"/>
          <w:szCs w:val="24"/>
        </w:rPr>
      </w:pPr>
    </w:p>
    <w:p w14:paraId="39B56E8F" w14:textId="067177FA" w:rsidR="00823365" w:rsidRPr="00825F73" w:rsidRDefault="003D4FB9" w:rsidP="00823365">
      <w:pPr>
        <w:spacing w:line="480" w:lineRule="auto"/>
        <w:rPr>
          <w:rStyle w:val="Heading1Char"/>
          <w:rFonts w:ascii="Arial" w:hAnsi="Arial" w:cs="Arial"/>
          <w:b/>
          <w:bCs/>
          <w:color w:val="auto"/>
          <w:sz w:val="24"/>
          <w:szCs w:val="24"/>
        </w:rPr>
      </w:pPr>
      <w:r w:rsidRPr="003D4FB9">
        <w:rPr>
          <w:rFonts w:ascii="Arial" w:hAnsi="Arial" w:cs="Arial"/>
          <w:szCs w:val="24"/>
        </w:rPr>
        <w:t>Overall, the results do affirm the existence of liability and legal risks inherent in tourism operations. Legal exposure is shaped by operational practices, contractual arrangements and judicial expectations regarding duty of care. Tourism businesses that are proactive about risk management and prioritize consumer safety are better equipped to minimize liability and continue to operate sustainably.</w:t>
      </w:r>
    </w:p>
    <w:p w14:paraId="3B250578" w14:textId="77777777" w:rsidR="00823365" w:rsidRPr="00825F73" w:rsidRDefault="00823365" w:rsidP="00823365">
      <w:pPr>
        <w:spacing w:line="480" w:lineRule="auto"/>
        <w:rPr>
          <w:rStyle w:val="Heading1Char"/>
          <w:rFonts w:ascii="Arial" w:hAnsi="Arial" w:cs="Arial"/>
          <w:b/>
          <w:bCs/>
          <w:color w:val="auto"/>
          <w:sz w:val="24"/>
          <w:szCs w:val="24"/>
        </w:rPr>
      </w:pPr>
    </w:p>
    <w:p w14:paraId="117E90B0" w14:textId="77777777" w:rsidR="0092339A" w:rsidRPr="0092339A" w:rsidRDefault="00823365" w:rsidP="0092339A">
      <w:pPr>
        <w:spacing w:line="480" w:lineRule="auto"/>
        <w:rPr>
          <w:rFonts w:ascii="Arial" w:hAnsi="Arial" w:cs="Arial"/>
          <w:szCs w:val="24"/>
        </w:rPr>
      </w:pPr>
      <w:bookmarkStart w:id="5" w:name="_Toc221201959"/>
      <w:r w:rsidRPr="00825F73">
        <w:rPr>
          <w:rStyle w:val="Heading1Char"/>
          <w:rFonts w:ascii="Arial" w:hAnsi="Arial" w:cs="Arial"/>
          <w:b/>
          <w:bCs/>
          <w:color w:val="auto"/>
          <w:sz w:val="24"/>
          <w:szCs w:val="24"/>
        </w:rPr>
        <w:lastRenderedPageBreak/>
        <w:t>5. Discussion</w:t>
      </w:r>
      <w:bookmarkEnd w:id="5"/>
      <w:r w:rsidRPr="00825F73">
        <w:rPr>
          <w:rFonts w:ascii="Arial" w:hAnsi="Arial" w:cs="Arial"/>
          <w:szCs w:val="24"/>
        </w:rPr>
        <w:t xml:space="preserve"> </w:t>
      </w:r>
      <w:r w:rsidRPr="00825F73">
        <w:rPr>
          <w:rFonts w:ascii="Arial" w:hAnsi="Arial" w:cs="Arial"/>
          <w:szCs w:val="24"/>
        </w:rPr>
        <w:br/>
      </w:r>
      <w:r w:rsidR="0092339A" w:rsidRPr="0092339A">
        <w:rPr>
          <w:rFonts w:ascii="Arial" w:hAnsi="Arial" w:cs="Arial"/>
          <w:szCs w:val="24"/>
        </w:rPr>
        <w:t>The findings of this study confirm that liability and legal risk are inherent and inimitable elements of tourism operations. Unlike many other service industries, tourism is based on physical movement, unfamiliar environments, and experiential consumption and the probability of harm to consumers is likely much greater. The prominence of negligence-based claims in the tourism litigation realm indicates the significance of the duty of care that tourism businesses must exert to their customers. Courts have increasingly placed the burden on tourism operators to anticipate foreseeable risks and take reasonable safety precautions, indicating a move towards a higher standard of care in the industry (Hall, 2019).</w:t>
      </w:r>
    </w:p>
    <w:p w14:paraId="3F815A7F" w14:textId="77777777" w:rsidR="0092339A" w:rsidRPr="0092339A" w:rsidRDefault="0092339A" w:rsidP="0092339A">
      <w:pPr>
        <w:spacing w:line="480" w:lineRule="auto"/>
        <w:rPr>
          <w:rFonts w:ascii="Arial" w:hAnsi="Arial" w:cs="Arial"/>
          <w:szCs w:val="24"/>
        </w:rPr>
      </w:pPr>
    </w:p>
    <w:p w14:paraId="60799A91" w14:textId="77777777" w:rsidR="0092339A" w:rsidRPr="0092339A" w:rsidRDefault="0092339A" w:rsidP="0092339A">
      <w:pPr>
        <w:spacing w:line="480" w:lineRule="auto"/>
        <w:rPr>
          <w:rFonts w:ascii="Arial" w:hAnsi="Arial" w:cs="Arial"/>
          <w:szCs w:val="24"/>
        </w:rPr>
      </w:pPr>
      <w:r w:rsidRPr="0092339A">
        <w:rPr>
          <w:rFonts w:ascii="Arial" w:hAnsi="Arial" w:cs="Arial"/>
          <w:szCs w:val="24"/>
        </w:rPr>
        <w:t>One of the most important matters that is emerging from the findings is the changing interpretation of negligence in tourism contexts. Judicial decisions suggest that what constitutes "reasonable care" is not static but changes as industry knowledge, technology and safety standards advance. Tourism operators can no longer afford to rely on minimum compliance or industry custom and instead are expected to put proactive risk management strategies in place encompassing staff training, safety auditing and effective supervision. This development highlights the legal expectation that tourism businesses will take steps to manage risk and not merely react to incidents after they have happened (Kasim &amp; Wickens, 2016).</w:t>
      </w:r>
    </w:p>
    <w:p w14:paraId="342BA41D" w14:textId="77777777" w:rsidR="0092339A" w:rsidRPr="0092339A" w:rsidRDefault="0092339A" w:rsidP="0092339A">
      <w:pPr>
        <w:spacing w:line="480" w:lineRule="auto"/>
        <w:rPr>
          <w:rFonts w:ascii="Arial" w:hAnsi="Arial" w:cs="Arial"/>
          <w:szCs w:val="24"/>
        </w:rPr>
      </w:pPr>
    </w:p>
    <w:p w14:paraId="0943B48B" w14:textId="77777777" w:rsidR="0092339A" w:rsidRPr="0092339A" w:rsidRDefault="0092339A" w:rsidP="0092339A">
      <w:pPr>
        <w:spacing w:line="480" w:lineRule="auto"/>
        <w:rPr>
          <w:rFonts w:ascii="Arial" w:hAnsi="Arial" w:cs="Arial"/>
          <w:szCs w:val="24"/>
        </w:rPr>
      </w:pPr>
      <w:r w:rsidRPr="0092339A">
        <w:rPr>
          <w:rFonts w:ascii="Arial" w:hAnsi="Arial" w:cs="Arial"/>
          <w:szCs w:val="24"/>
        </w:rPr>
        <w:lastRenderedPageBreak/>
        <w:t>The increasing relevance of strict liability in adventure and high-risk tourism activities also raises some important legal and ethical considerations. While strict liability does provide a greater level of consumer protection, by removing the burden of proof of fault responsibility from the consumer, it also places tourism operators at greater legal risk. This creates a tension between the encouragement of innovative tourism experiences and ensuring the safety of consumers. The purpose of the discussion is that strict liability can provide a strong incentive for operators to invest in professional standards, certification, and risk mitigation systems, as well as contributing to safer tourism environments in general (Mendelsohn, 2017).</w:t>
      </w:r>
    </w:p>
    <w:p w14:paraId="05720155" w14:textId="77777777" w:rsidR="0092339A" w:rsidRPr="0092339A" w:rsidRDefault="0092339A" w:rsidP="0092339A">
      <w:pPr>
        <w:spacing w:line="480" w:lineRule="auto"/>
        <w:rPr>
          <w:rFonts w:ascii="Arial" w:hAnsi="Arial" w:cs="Arial"/>
          <w:szCs w:val="24"/>
        </w:rPr>
      </w:pPr>
    </w:p>
    <w:p w14:paraId="01A9BC46" w14:textId="77777777" w:rsidR="0092339A" w:rsidRPr="0092339A" w:rsidRDefault="0092339A" w:rsidP="0092339A">
      <w:pPr>
        <w:spacing w:line="480" w:lineRule="auto"/>
        <w:rPr>
          <w:rFonts w:ascii="Arial" w:hAnsi="Arial" w:cs="Arial"/>
          <w:szCs w:val="24"/>
        </w:rPr>
      </w:pPr>
      <w:r w:rsidRPr="0092339A">
        <w:rPr>
          <w:rFonts w:ascii="Arial" w:hAnsi="Arial" w:cs="Arial"/>
          <w:szCs w:val="24"/>
        </w:rPr>
        <w:t>Vicarious liability also adds to the legal risk associated with tourism because of the industry's dependence on employees, guides, and subcontractors. The findings show that courts frequently hold employers responsible for the actions of their employees, even when wrongdoing takes place accidentally. This underlines the legal significance of recruitment practices, training programmes and operational supervision. As tourism businesses have moved to more flexible employment models and subcontracting arrangements, there may be added uncertainty around employment status and control, which creates further complexity in liability exposure (McDonald, 2020).</w:t>
      </w:r>
    </w:p>
    <w:p w14:paraId="67A88B37" w14:textId="77777777" w:rsidR="0092339A" w:rsidRPr="0092339A" w:rsidRDefault="0092339A" w:rsidP="0092339A">
      <w:pPr>
        <w:spacing w:line="480" w:lineRule="auto"/>
        <w:rPr>
          <w:rFonts w:ascii="Arial" w:hAnsi="Arial" w:cs="Arial"/>
          <w:szCs w:val="24"/>
        </w:rPr>
      </w:pPr>
    </w:p>
    <w:p w14:paraId="47F1A941" w14:textId="77777777" w:rsidR="0092339A" w:rsidRPr="0092339A" w:rsidRDefault="0092339A" w:rsidP="0092339A">
      <w:pPr>
        <w:spacing w:line="480" w:lineRule="auto"/>
        <w:rPr>
          <w:rFonts w:ascii="Arial" w:hAnsi="Arial" w:cs="Arial"/>
          <w:szCs w:val="24"/>
        </w:rPr>
      </w:pPr>
      <w:r w:rsidRPr="0092339A">
        <w:rPr>
          <w:rFonts w:ascii="Arial" w:hAnsi="Arial" w:cs="Arial"/>
          <w:szCs w:val="24"/>
        </w:rPr>
        <w:t xml:space="preserve">Contractual liability is yet another important area of legal risk. While tourism contracts often contain limitation and exclusion clauses, Jurado's discussion emphasizes that these kinds of clauses are subject to strict judicial scrutiny especially when consumers </w:t>
      </w:r>
      <w:r w:rsidRPr="0092339A">
        <w:rPr>
          <w:rFonts w:ascii="Arial" w:hAnsi="Arial" w:cs="Arial"/>
          <w:szCs w:val="24"/>
        </w:rPr>
        <w:lastRenderedPageBreak/>
        <w:t>do not have the bargaining power. Courts often strike down clauses that seek to disclaim liability for personal injury or negligence, underscoring the rule that allocation of contractual risk cannot prevent the fundamental duties of care (Poole, 2020). This finding highlights the importance of transparency and fairness in the contract drafting process in tourism operations.</w:t>
      </w:r>
    </w:p>
    <w:p w14:paraId="1CF6F39D" w14:textId="77777777" w:rsidR="0092339A" w:rsidRPr="0092339A" w:rsidRDefault="0092339A" w:rsidP="0092339A">
      <w:pPr>
        <w:spacing w:line="480" w:lineRule="auto"/>
        <w:rPr>
          <w:rFonts w:ascii="Arial" w:hAnsi="Arial" w:cs="Arial"/>
          <w:szCs w:val="24"/>
        </w:rPr>
      </w:pPr>
    </w:p>
    <w:p w14:paraId="48EC8F13" w14:textId="77777777" w:rsidR="0092339A" w:rsidRPr="0092339A" w:rsidRDefault="0092339A" w:rsidP="0092339A">
      <w:pPr>
        <w:spacing w:line="480" w:lineRule="auto"/>
        <w:rPr>
          <w:rFonts w:ascii="Arial" w:hAnsi="Arial" w:cs="Arial"/>
          <w:szCs w:val="24"/>
        </w:rPr>
      </w:pPr>
      <w:r w:rsidRPr="0092339A">
        <w:rPr>
          <w:rFonts w:ascii="Arial" w:hAnsi="Arial" w:cs="Arial"/>
          <w:szCs w:val="24"/>
        </w:rPr>
        <w:t xml:space="preserve">The role of risk mitigation schemes such as insurance and liability waivers is also critically assessed. Although insurance takes the financial risk, it does not exempt tourism businesses from the legal obligation. Similarly, liability waivers only work if they are carefully drafted, fairly presented, and not in conflict with consumer protection legislation. Overreliance on waivers without substantive safety measures might increase rather than decrease legal </w:t>
      </w:r>
      <w:proofErr w:type="gramStart"/>
      <w:r w:rsidRPr="0092339A">
        <w:rPr>
          <w:rFonts w:ascii="Arial" w:hAnsi="Arial" w:cs="Arial"/>
          <w:szCs w:val="24"/>
        </w:rPr>
        <w:t>risk(</w:t>
      </w:r>
      <w:proofErr w:type="gramEnd"/>
      <w:r w:rsidRPr="0092339A">
        <w:rPr>
          <w:rFonts w:ascii="Arial" w:hAnsi="Arial" w:cs="Arial"/>
          <w:szCs w:val="24"/>
        </w:rPr>
        <w:t>Weatherill, 2020)</w:t>
      </w:r>
    </w:p>
    <w:p w14:paraId="363998DB" w14:textId="77777777" w:rsidR="0092339A" w:rsidRPr="0092339A" w:rsidRDefault="0092339A" w:rsidP="0092339A">
      <w:pPr>
        <w:spacing w:line="480" w:lineRule="auto"/>
        <w:rPr>
          <w:rFonts w:ascii="Arial" w:hAnsi="Arial" w:cs="Arial"/>
          <w:szCs w:val="24"/>
        </w:rPr>
      </w:pPr>
    </w:p>
    <w:p w14:paraId="002DDE2D" w14:textId="5AA9D1F0" w:rsidR="00823365" w:rsidRPr="00825F73" w:rsidRDefault="0092339A" w:rsidP="0092339A">
      <w:pPr>
        <w:spacing w:line="480" w:lineRule="auto"/>
        <w:rPr>
          <w:rFonts w:ascii="Arial" w:hAnsi="Arial" w:cs="Arial"/>
          <w:szCs w:val="24"/>
        </w:rPr>
      </w:pPr>
      <w:r w:rsidRPr="0092339A">
        <w:rPr>
          <w:rFonts w:ascii="Arial" w:hAnsi="Arial" w:cs="Arial"/>
          <w:szCs w:val="24"/>
        </w:rPr>
        <w:t xml:space="preserve">Overall, the discussion shows that liability law is not only a mechanism of compensation, but also a regulatory tool to shape industry behaviour. By applying legal sanctions for unsafe or negligent practices, liability law promotes higher standards of safety and responsible business operation in </w:t>
      </w:r>
      <w:proofErr w:type="gramStart"/>
      <w:r w:rsidRPr="0092339A">
        <w:rPr>
          <w:rFonts w:ascii="Arial" w:hAnsi="Arial" w:cs="Arial"/>
          <w:szCs w:val="24"/>
        </w:rPr>
        <w:t>tourists</w:t>
      </w:r>
      <w:proofErr w:type="gramEnd"/>
      <w:r w:rsidRPr="0092339A">
        <w:rPr>
          <w:rFonts w:ascii="Arial" w:hAnsi="Arial" w:cs="Arial"/>
          <w:szCs w:val="24"/>
        </w:rPr>
        <w:t xml:space="preserve"> markets.</w:t>
      </w:r>
    </w:p>
    <w:p w14:paraId="7AB11BF1" w14:textId="77777777" w:rsidR="00823365" w:rsidRPr="00825F73" w:rsidRDefault="00823365" w:rsidP="00823365">
      <w:pPr>
        <w:spacing w:line="480" w:lineRule="auto"/>
        <w:rPr>
          <w:rFonts w:ascii="Arial" w:hAnsi="Arial" w:cs="Arial"/>
          <w:szCs w:val="24"/>
        </w:rPr>
      </w:pPr>
    </w:p>
    <w:p w14:paraId="7789E436" w14:textId="77777777" w:rsidR="00823365" w:rsidRPr="00825F73" w:rsidRDefault="00823365" w:rsidP="00823365">
      <w:pPr>
        <w:spacing w:line="480" w:lineRule="auto"/>
        <w:rPr>
          <w:rFonts w:ascii="Arial" w:hAnsi="Arial" w:cs="Arial"/>
          <w:szCs w:val="24"/>
        </w:rPr>
      </w:pPr>
    </w:p>
    <w:p w14:paraId="0004D6FE" w14:textId="77777777" w:rsidR="00823365" w:rsidRPr="00825F73" w:rsidRDefault="00823365" w:rsidP="00823365">
      <w:pPr>
        <w:spacing w:line="480" w:lineRule="auto"/>
        <w:rPr>
          <w:rFonts w:ascii="Arial" w:hAnsi="Arial" w:cs="Arial"/>
          <w:szCs w:val="24"/>
        </w:rPr>
      </w:pPr>
    </w:p>
    <w:p w14:paraId="0A063D3C" w14:textId="77777777" w:rsidR="00823365" w:rsidRPr="00825F73" w:rsidRDefault="00823365" w:rsidP="00823365">
      <w:pPr>
        <w:spacing w:line="480" w:lineRule="auto"/>
        <w:rPr>
          <w:rFonts w:ascii="Arial" w:hAnsi="Arial" w:cs="Arial"/>
          <w:szCs w:val="24"/>
        </w:rPr>
      </w:pPr>
    </w:p>
    <w:p w14:paraId="2C67EE6E" w14:textId="77777777" w:rsidR="00823365" w:rsidRPr="00825F73" w:rsidRDefault="00823365" w:rsidP="00823365">
      <w:pPr>
        <w:spacing w:line="480" w:lineRule="auto"/>
        <w:rPr>
          <w:rFonts w:ascii="Arial" w:hAnsi="Arial" w:cs="Arial"/>
          <w:szCs w:val="24"/>
        </w:rPr>
      </w:pPr>
    </w:p>
    <w:p w14:paraId="6A219DD5" w14:textId="77777777" w:rsidR="00A301FA" w:rsidRPr="00A301FA" w:rsidRDefault="00823365" w:rsidP="00A301FA">
      <w:pPr>
        <w:spacing w:line="480" w:lineRule="auto"/>
        <w:rPr>
          <w:rFonts w:ascii="Arial" w:hAnsi="Arial" w:cs="Arial"/>
          <w:szCs w:val="24"/>
        </w:rPr>
      </w:pPr>
      <w:bookmarkStart w:id="6" w:name="_Toc221201960"/>
      <w:r w:rsidRPr="00825F73">
        <w:rPr>
          <w:rStyle w:val="Heading1Char"/>
          <w:rFonts w:ascii="Arial" w:hAnsi="Arial" w:cs="Arial"/>
          <w:b/>
          <w:bCs/>
          <w:color w:val="auto"/>
          <w:sz w:val="24"/>
          <w:szCs w:val="24"/>
        </w:rPr>
        <w:t>6. Conclusion</w:t>
      </w:r>
      <w:bookmarkEnd w:id="6"/>
      <w:r w:rsidRPr="00825F73">
        <w:rPr>
          <w:rFonts w:ascii="Arial" w:hAnsi="Arial" w:cs="Arial"/>
          <w:b/>
          <w:bCs/>
          <w:szCs w:val="24"/>
        </w:rPr>
        <w:t xml:space="preserve"> </w:t>
      </w:r>
      <w:r w:rsidRPr="00825F73">
        <w:rPr>
          <w:rFonts w:ascii="Arial" w:hAnsi="Arial" w:cs="Arial"/>
          <w:szCs w:val="24"/>
        </w:rPr>
        <w:br/>
      </w:r>
      <w:r w:rsidR="00A301FA" w:rsidRPr="00A301FA">
        <w:rPr>
          <w:rFonts w:ascii="Arial" w:hAnsi="Arial" w:cs="Arial"/>
          <w:szCs w:val="24"/>
        </w:rPr>
        <w:t>This assignment has examined liability and legal risks in the tourism industry, highlighting the complex legal responsibilities faced by tourism businesses. The analysis demonstrates that tourism operators are exposed to heightened legal risk due to the experiential, service-based, and often hazardous nature of tourism activities. Negligence, strict liability, vicarious liability, and contractual breaches emerge as key sources of legal exposure, particularly in relation to personal injury, service failure, and property loss.</w:t>
      </w:r>
    </w:p>
    <w:p w14:paraId="26B0E18D"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The findings and discussion confirm that courts increasingly expect tourism businesses to adopt proactive risk management practices and uphold high standards of care. Legal liability is no longer confined to isolated incidents but reflects broader expectations regarding safety, professionalism, and consumer protection. While contractual clauses, waivers, and insurance can mitigate financial exposure, they cannot replace the fundamental duty of care owed to consumers.</w:t>
      </w:r>
    </w:p>
    <w:p w14:paraId="6AC9AAA6"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Overall, effective liability management is essential for protecting tourists, maintaining legal compliance, and ensuring sustainable tourism operations. As tourism continues to evolve through digitalisation, adventure experiences, and global mobility, tourism businesses must continuously adapt their legal and risk management strategies to meet growing legal and ethical expectations.</w:t>
      </w:r>
    </w:p>
    <w:p w14:paraId="55A486A2" w14:textId="18DC0DFD" w:rsidR="00A301FA" w:rsidRDefault="00A301FA" w:rsidP="00A301FA">
      <w:pPr>
        <w:spacing w:line="480" w:lineRule="auto"/>
        <w:rPr>
          <w:rFonts w:ascii="Arial" w:hAnsi="Arial" w:cs="Arial"/>
          <w:szCs w:val="24"/>
        </w:rPr>
      </w:pPr>
    </w:p>
    <w:p w14:paraId="44BEAD15" w14:textId="77777777" w:rsidR="00A301FA" w:rsidRPr="00A301FA" w:rsidRDefault="00A301FA" w:rsidP="00A301FA">
      <w:pPr>
        <w:spacing w:line="480" w:lineRule="auto"/>
        <w:rPr>
          <w:rFonts w:ascii="Arial" w:hAnsi="Arial" w:cs="Arial"/>
          <w:szCs w:val="24"/>
        </w:rPr>
      </w:pPr>
    </w:p>
    <w:p w14:paraId="23CDD716" w14:textId="4D1165D2" w:rsidR="00A301FA" w:rsidRPr="00A301FA" w:rsidRDefault="00A301FA" w:rsidP="00A301FA">
      <w:pPr>
        <w:spacing w:line="480" w:lineRule="auto"/>
        <w:rPr>
          <w:rFonts w:ascii="Arial" w:hAnsi="Arial" w:cs="Arial"/>
          <w:b/>
          <w:bCs/>
          <w:szCs w:val="24"/>
        </w:rPr>
      </w:pPr>
      <w:r w:rsidRPr="00A301FA">
        <w:rPr>
          <w:rFonts w:ascii="Arial" w:hAnsi="Arial" w:cs="Arial"/>
          <w:b/>
          <w:bCs/>
          <w:szCs w:val="24"/>
        </w:rPr>
        <w:lastRenderedPageBreak/>
        <w:t xml:space="preserve">References </w:t>
      </w:r>
    </w:p>
    <w:p w14:paraId="2AC11F7D"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Dickerson, T. A. (2021). </w:t>
      </w:r>
      <w:r w:rsidRPr="00A301FA">
        <w:rPr>
          <w:rFonts w:ascii="Arial" w:hAnsi="Arial" w:cs="Arial"/>
          <w:i/>
          <w:iCs/>
          <w:szCs w:val="24"/>
        </w:rPr>
        <w:t>Travel law</w:t>
      </w:r>
      <w:r w:rsidRPr="00A301FA">
        <w:rPr>
          <w:rFonts w:ascii="Arial" w:hAnsi="Arial" w:cs="Arial"/>
          <w:szCs w:val="24"/>
        </w:rPr>
        <w:t xml:space="preserve"> (7th ed.). Law Journal Press.</w:t>
      </w:r>
    </w:p>
    <w:p w14:paraId="4DE1D69A"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Hall, C. M. (2019). Tourism and risk: Global perspectives. </w:t>
      </w:r>
      <w:r w:rsidRPr="00A301FA">
        <w:rPr>
          <w:rFonts w:ascii="Arial" w:hAnsi="Arial" w:cs="Arial"/>
          <w:i/>
          <w:iCs/>
          <w:szCs w:val="24"/>
        </w:rPr>
        <w:t>Journal of Sustainable Tourism, 27</w:t>
      </w:r>
      <w:r w:rsidRPr="00A301FA">
        <w:rPr>
          <w:rFonts w:ascii="Arial" w:hAnsi="Arial" w:cs="Arial"/>
          <w:szCs w:val="24"/>
        </w:rPr>
        <w:t>(4), 558–576. https://doi.org/10.1080/09669582.2018.1526291</w:t>
      </w:r>
    </w:p>
    <w:p w14:paraId="6BF2A3C4"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Kasim, A., &amp; Wickens, E. (2016). Risk management in tourism. </w:t>
      </w:r>
      <w:r w:rsidRPr="00A301FA">
        <w:rPr>
          <w:rFonts w:ascii="Arial" w:hAnsi="Arial" w:cs="Arial"/>
          <w:i/>
          <w:iCs/>
          <w:szCs w:val="24"/>
        </w:rPr>
        <w:t>International Journal of Contemporary Hospitality Management, 28</w:t>
      </w:r>
      <w:r w:rsidRPr="00A301FA">
        <w:rPr>
          <w:rFonts w:ascii="Arial" w:hAnsi="Arial" w:cs="Arial"/>
          <w:szCs w:val="24"/>
        </w:rPr>
        <w:t>(8), 1591–1607. https://doi.org/10.1108/IJCHM-10-2014-0509</w:t>
      </w:r>
    </w:p>
    <w:p w14:paraId="56817D87"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McDonald, J. (2020). Employer liability and risk exposure in service industries. </w:t>
      </w:r>
      <w:r w:rsidRPr="00A301FA">
        <w:rPr>
          <w:rFonts w:ascii="Arial" w:hAnsi="Arial" w:cs="Arial"/>
          <w:i/>
          <w:iCs/>
          <w:szCs w:val="24"/>
        </w:rPr>
        <w:t>International Journal of Law and Management, 62</w:t>
      </w:r>
      <w:r w:rsidRPr="00A301FA">
        <w:rPr>
          <w:rFonts w:ascii="Arial" w:hAnsi="Arial" w:cs="Arial"/>
          <w:szCs w:val="24"/>
        </w:rPr>
        <w:t>(3), 233–248. https://doi.org/10.1108/IJLMA-06-2019-0142</w:t>
      </w:r>
    </w:p>
    <w:p w14:paraId="40B99077"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Mendelsohn, M. (2017). Liability waivers and enforceability in tourism. </w:t>
      </w:r>
      <w:r w:rsidRPr="00A301FA">
        <w:rPr>
          <w:rFonts w:ascii="Arial" w:hAnsi="Arial" w:cs="Arial"/>
          <w:i/>
          <w:iCs/>
          <w:szCs w:val="24"/>
        </w:rPr>
        <w:t>Journal of Travel Research, 56</w:t>
      </w:r>
      <w:r w:rsidRPr="00A301FA">
        <w:rPr>
          <w:rFonts w:ascii="Arial" w:hAnsi="Arial" w:cs="Arial"/>
          <w:szCs w:val="24"/>
        </w:rPr>
        <w:t>(6), 768–780. https://doi.org/10.1177/0047287516669051</w:t>
      </w:r>
    </w:p>
    <w:p w14:paraId="29E7F8B4"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Poole, J. (2020). </w:t>
      </w:r>
      <w:r w:rsidRPr="00A301FA">
        <w:rPr>
          <w:rFonts w:ascii="Arial" w:hAnsi="Arial" w:cs="Arial"/>
          <w:i/>
          <w:iCs/>
          <w:szCs w:val="24"/>
        </w:rPr>
        <w:t>Textbook on contract law</w:t>
      </w:r>
      <w:r w:rsidRPr="00A301FA">
        <w:rPr>
          <w:rFonts w:ascii="Arial" w:hAnsi="Arial" w:cs="Arial"/>
          <w:szCs w:val="24"/>
        </w:rPr>
        <w:t xml:space="preserve"> (15th ed.). Oxford University Press.</w:t>
      </w:r>
    </w:p>
    <w:p w14:paraId="433CD234"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Rutherford, D. G., &amp; O’Fallon, M. J. (2007). Hotel liability and safety. </w:t>
      </w:r>
      <w:r w:rsidRPr="00A301FA">
        <w:rPr>
          <w:rFonts w:ascii="Arial" w:hAnsi="Arial" w:cs="Arial"/>
          <w:i/>
          <w:iCs/>
          <w:szCs w:val="24"/>
        </w:rPr>
        <w:t>Cornell Hotel and Restaurant Administration Quarterly, 48</w:t>
      </w:r>
      <w:r w:rsidRPr="00A301FA">
        <w:rPr>
          <w:rFonts w:ascii="Arial" w:hAnsi="Arial" w:cs="Arial"/>
          <w:szCs w:val="24"/>
        </w:rPr>
        <w:t>(2), 144–155. https://doi.org/10.1177/0010880407299538</w:t>
      </w:r>
    </w:p>
    <w:p w14:paraId="0F58F34E"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Weatherill, S. (2020). </w:t>
      </w:r>
      <w:r w:rsidRPr="00A301FA">
        <w:rPr>
          <w:rFonts w:ascii="Arial" w:hAnsi="Arial" w:cs="Arial"/>
          <w:i/>
          <w:iCs/>
          <w:szCs w:val="24"/>
        </w:rPr>
        <w:t>EU consumer law and policy</w:t>
      </w:r>
      <w:r w:rsidRPr="00A301FA">
        <w:rPr>
          <w:rFonts w:ascii="Arial" w:hAnsi="Arial" w:cs="Arial"/>
          <w:szCs w:val="24"/>
        </w:rPr>
        <w:t xml:space="preserve"> (2nd ed.). Edward Elgar Publishing. https://doi.org/10.4337/9781788979673</w:t>
      </w:r>
    </w:p>
    <w:p w14:paraId="627AA5B7" w14:textId="77777777" w:rsidR="00A301FA" w:rsidRPr="00A301FA" w:rsidRDefault="00A301FA" w:rsidP="00A301FA">
      <w:pPr>
        <w:spacing w:line="480" w:lineRule="auto"/>
        <w:rPr>
          <w:rFonts w:ascii="Arial" w:hAnsi="Arial" w:cs="Arial"/>
          <w:szCs w:val="24"/>
        </w:rPr>
      </w:pPr>
      <w:proofErr w:type="spellStart"/>
      <w:r w:rsidRPr="00A301FA">
        <w:rPr>
          <w:rFonts w:ascii="Arial" w:hAnsi="Arial" w:cs="Arial"/>
          <w:szCs w:val="24"/>
        </w:rPr>
        <w:t>Buhalis</w:t>
      </w:r>
      <w:proofErr w:type="spellEnd"/>
      <w:r w:rsidRPr="00A301FA">
        <w:rPr>
          <w:rFonts w:ascii="Arial" w:hAnsi="Arial" w:cs="Arial"/>
          <w:szCs w:val="24"/>
        </w:rPr>
        <w:t xml:space="preserve">, D. (2019). Technology and risk management in tourism. </w:t>
      </w:r>
      <w:r w:rsidRPr="00A301FA">
        <w:rPr>
          <w:rFonts w:ascii="Arial" w:hAnsi="Arial" w:cs="Arial"/>
          <w:i/>
          <w:iCs/>
          <w:szCs w:val="24"/>
        </w:rPr>
        <w:t>Tourism Management Perspectives, 30</w:t>
      </w:r>
      <w:r w:rsidRPr="00A301FA">
        <w:rPr>
          <w:rFonts w:ascii="Arial" w:hAnsi="Arial" w:cs="Arial"/>
          <w:szCs w:val="24"/>
        </w:rPr>
        <w:t>, 216–224. https://doi.org/10.1016/j.tmp.2019.02.005</w:t>
      </w:r>
    </w:p>
    <w:p w14:paraId="16344808" w14:textId="77777777" w:rsidR="00A301FA" w:rsidRPr="00A301FA" w:rsidRDefault="00A301FA" w:rsidP="00A301FA">
      <w:pPr>
        <w:spacing w:line="480" w:lineRule="auto"/>
        <w:rPr>
          <w:rFonts w:ascii="Arial" w:hAnsi="Arial" w:cs="Arial"/>
          <w:szCs w:val="24"/>
        </w:rPr>
      </w:pPr>
      <w:r w:rsidRPr="00A301FA">
        <w:rPr>
          <w:rFonts w:ascii="Arial" w:hAnsi="Arial" w:cs="Arial"/>
          <w:szCs w:val="24"/>
        </w:rPr>
        <w:lastRenderedPageBreak/>
        <w:t xml:space="preserve">Hall, C. M., Timothy, D. J., &amp; Duval, D. T. (2015). </w:t>
      </w:r>
      <w:r w:rsidRPr="00A301FA">
        <w:rPr>
          <w:rFonts w:ascii="Arial" w:hAnsi="Arial" w:cs="Arial"/>
          <w:i/>
          <w:iCs/>
          <w:szCs w:val="24"/>
        </w:rPr>
        <w:t>Safety and security in tourism</w:t>
      </w:r>
      <w:r w:rsidRPr="00A301FA">
        <w:rPr>
          <w:rFonts w:ascii="Arial" w:hAnsi="Arial" w:cs="Arial"/>
          <w:szCs w:val="24"/>
        </w:rPr>
        <w:t>. Routledge. https://doi.org/10.4324/9781315727629</w:t>
      </w:r>
    </w:p>
    <w:p w14:paraId="6EBC199E" w14:textId="77777777" w:rsidR="00A301FA" w:rsidRPr="00A301FA" w:rsidRDefault="00A301FA" w:rsidP="00A301FA">
      <w:pPr>
        <w:spacing w:line="480" w:lineRule="auto"/>
        <w:rPr>
          <w:rFonts w:ascii="Arial" w:hAnsi="Arial" w:cs="Arial"/>
          <w:szCs w:val="24"/>
        </w:rPr>
      </w:pPr>
      <w:proofErr w:type="spellStart"/>
      <w:r w:rsidRPr="00A301FA">
        <w:rPr>
          <w:rFonts w:ascii="Arial" w:hAnsi="Arial" w:cs="Arial"/>
          <w:szCs w:val="24"/>
        </w:rPr>
        <w:t>Pizam</w:t>
      </w:r>
      <w:proofErr w:type="spellEnd"/>
      <w:r w:rsidRPr="00A301FA">
        <w:rPr>
          <w:rFonts w:ascii="Arial" w:hAnsi="Arial" w:cs="Arial"/>
          <w:szCs w:val="24"/>
        </w:rPr>
        <w:t xml:space="preserve">, A. (2010). Tourism risk and safety. </w:t>
      </w:r>
      <w:r w:rsidRPr="00A301FA">
        <w:rPr>
          <w:rFonts w:ascii="Arial" w:hAnsi="Arial" w:cs="Arial"/>
          <w:i/>
          <w:iCs/>
          <w:szCs w:val="24"/>
        </w:rPr>
        <w:t>Tourism Economics, 16</w:t>
      </w:r>
      <w:r w:rsidRPr="00A301FA">
        <w:rPr>
          <w:rFonts w:ascii="Arial" w:hAnsi="Arial" w:cs="Arial"/>
          <w:szCs w:val="24"/>
        </w:rPr>
        <w:t>(1), 217–225. https://doi.org/10.5367/000000010790872015</w:t>
      </w:r>
    </w:p>
    <w:p w14:paraId="412FC3E0"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Sigala, M. (2020). Tourism risk, crisis, and resilience. </w:t>
      </w:r>
      <w:r w:rsidRPr="00A301FA">
        <w:rPr>
          <w:rFonts w:ascii="Arial" w:hAnsi="Arial" w:cs="Arial"/>
          <w:i/>
          <w:iCs/>
          <w:szCs w:val="24"/>
        </w:rPr>
        <w:t>Tourism Management Perspectives, 35</w:t>
      </w:r>
      <w:r w:rsidRPr="00A301FA">
        <w:rPr>
          <w:rFonts w:ascii="Arial" w:hAnsi="Arial" w:cs="Arial"/>
          <w:szCs w:val="24"/>
        </w:rPr>
        <w:t>, 100713. https://doi.org/10.1016/j.tmp.2020.100713</w:t>
      </w:r>
    </w:p>
    <w:p w14:paraId="607A3D6B"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Tarlow, P. (2014). Tourism security and safety. </w:t>
      </w:r>
      <w:r w:rsidRPr="00A301FA">
        <w:rPr>
          <w:rFonts w:ascii="Arial" w:hAnsi="Arial" w:cs="Arial"/>
          <w:i/>
          <w:iCs/>
          <w:szCs w:val="24"/>
        </w:rPr>
        <w:t>Tourism Review, 69</w:t>
      </w:r>
      <w:r w:rsidRPr="00A301FA">
        <w:rPr>
          <w:rFonts w:ascii="Arial" w:hAnsi="Arial" w:cs="Arial"/>
          <w:szCs w:val="24"/>
        </w:rPr>
        <w:t>(3), 137–144. https://doi.org/10.1108/TR-07-2014-0036</w:t>
      </w:r>
    </w:p>
    <w:p w14:paraId="4C9311EE"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UN World Tourism Organization. (2021). </w:t>
      </w:r>
      <w:r w:rsidRPr="00A301FA">
        <w:rPr>
          <w:rFonts w:ascii="Arial" w:hAnsi="Arial" w:cs="Arial"/>
          <w:i/>
          <w:iCs/>
          <w:szCs w:val="24"/>
        </w:rPr>
        <w:t>International code for the protection of tourists</w:t>
      </w:r>
      <w:r w:rsidRPr="00A301FA">
        <w:rPr>
          <w:rFonts w:ascii="Arial" w:hAnsi="Arial" w:cs="Arial"/>
          <w:szCs w:val="24"/>
        </w:rPr>
        <w:t xml:space="preserve">. </w:t>
      </w:r>
      <w:hyperlink r:id="rId6" w:tgtFrame="_new" w:history="1">
        <w:r w:rsidRPr="00A301FA">
          <w:rPr>
            <w:rStyle w:val="Hyperlink"/>
            <w:rFonts w:ascii="Arial" w:hAnsi="Arial" w:cs="Arial"/>
            <w:szCs w:val="24"/>
          </w:rPr>
          <w:t>https://www.unwto.org</w:t>
        </w:r>
      </w:hyperlink>
    </w:p>
    <w:p w14:paraId="4123AC0E" w14:textId="77777777" w:rsidR="00A301FA" w:rsidRPr="00A301FA" w:rsidRDefault="00A301FA" w:rsidP="00A301FA">
      <w:pPr>
        <w:spacing w:line="480" w:lineRule="auto"/>
        <w:rPr>
          <w:rFonts w:ascii="Arial" w:hAnsi="Arial" w:cs="Arial"/>
          <w:szCs w:val="24"/>
        </w:rPr>
      </w:pPr>
      <w:r w:rsidRPr="00A301FA">
        <w:rPr>
          <w:rFonts w:ascii="Arial" w:hAnsi="Arial" w:cs="Arial"/>
          <w:szCs w:val="24"/>
        </w:rPr>
        <w:t xml:space="preserve">European Commission. (2022). </w:t>
      </w:r>
      <w:r w:rsidRPr="00A301FA">
        <w:rPr>
          <w:rFonts w:ascii="Arial" w:hAnsi="Arial" w:cs="Arial"/>
          <w:i/>
          <w:iCs/>
          <w:szCs w:val="24"/>
        </w:rPr>
        <w:t>Liability and safety obligations in tourism services</w:t>
      </w:r>
      <w:r w:rsidRPr="00A301FA">
        <w:rPr>
          <w:rFonts w:ascii="Arial" w:hAnsi="Arial" w:cs="Arial"/>
          <w:szCs w:val="24"/>
        </w:rPr>
        <w:t xml:space="preserve">. </w:t>
      </w:r>
      <w:hyperlink r:id="rId7" w:tgtFrame="_new" w:history="1">
        <w:r w:rsidRPr="00A301FA">
          <w:rPr>
            <w:rStyle w:val="Hyperlink"/>
            <w:rFonts w:ascii="Arial" w:hAnsi="Arial" w:cs="Arial"/>
            <w:szCs w:val="24"/>
          </w:rPr>
          <w:t>https://commission.europa.eu</w:t>
        </w:r>
      </w:hyperlink>
    </w:p>
    <w:p w14:paraId="6CF38146" w14:textId="108C71B3" w:rsidR="00823365" w:rsidRDefault="00823365" w:rsidP="00A301FA">
      <w:pPr>
        <w:spacing w:line="480" w:lineRule="auto"/>
      </w:pPr>
    </w:p>
    <w:sectPr w:rsidR="008233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365"/>
    <w:rsid w:val="003D4FB9"/>
    <w:rsid w:val="006179ED"/>
    <w:rsid w:val="007151E9"/>
    <w:rsid w:val="00823365"/>
    <w:rsid w:val="0092339A"/>
    <w:rsid w:val="009551BB"/>
    <w:rsid w:val="00A1105F"/>
    <w:rsid w:val="00A301FA"/>
    <w:rsid w:val="00FF718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BCA67"/>
  <w15:chartTrackingRefBased/>
  <w15:docId w15:val="{1B444D5A-2189-4E74-8F07-3A31569E3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365"/>
  </w:style>
  <w:style w:type="paragraph" w:styleId="Heading1">
    <w:name w:val="heading 1"/>
    <w:basedOn w:val="Normal"/>
    <w:next w:val="Normal"/>
    <w:link w:val="Heading1Char"/>
    <w:uiPriority w:val="9"/>
    <w:qFormat/>
    <w:rsid w:val="0082336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82336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82336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8233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3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3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3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3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3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36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82336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82336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8233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3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3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3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3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365"/>
    <w:rPr>
      <w:rFonts w:eastAsiaTheme="majorEastAsia" w:cstheme="majorBidi"/>
      <w:color w:val="272727" w:themeColor="text1" w:themeTint="D8"/>
    </w:rPr>
  </w:style>
  <w:style w:type="paragraph" w:styleId="Title">
    <w:name w:val="Title"/>
    <w:basedOn w:val="Normal"/>
    <w:next w:val="Normal"/>
    <w:link w:val="TitleChar"/>
    <w:uiPriority w:val="10"/>
    <w:qFormat/>
    <w:rsid w:val="0082336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82336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82336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82336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823365"/>
    <w:pPr>
      <w:spacing w:before="160"/>
      <w:jc w:val="center"/>
    </w:pPr>
    <w:rPr>
      <w:i/>
      <w:iCs/>
      <w:color w:val="404040" w:themeColor="text1" w:themeTint="BF"/>
    </w:rPr>
  </w:style>
  <w:style w:type="character" w:customStyle="1" w:styleId="QuoteChar">
    <w:name w:val="Quote Char"/>
    <w:basedOn w:val="DefaultParagraphFont"/>
    <w:link w:val="Quote"/>
    <w:uiPriority w:val="29"/>
    <w:rsid w:val="00823365"/>
    <w:rPr>
      <w:i/>
      <w:iCs/>
      <w:color w:val="404040" w:themeColor="text1" w:themeTint="BF"/>
    </w:rPr>
  </w:style>
  <w:style w:type="paragraph" w:styleId="ListParagraph">
    <w:name w:val="List Paragraph"/>
    <w:basedOn w:val="Normal"/>
    <w:uiPriority w:val="34"/>
    <w:qFormat/>
    <w:rsid w:val="00823365"/>
    <w:pPr>
      <w:ind w:left="720"/>
      <w:contextualSpacing/>
    </w:pPr>
  </w:style>
  <w:style w:type="character" w:styleId="IntenseEmphasis">
    <w:name w:val="Intense Emphasis"/>
    <w:basedOn w:val="DefaultParagraphFont"/>
    <w:uiPriority w:val="21"/>
    <w:qFormat/>
    <w:rsid w:val="00823365"/>
    <w:rPr>
      <w:i/>
      <w:iCs/>
      <w:color w:val="0F4761" w:themeColor="accent1" w:themeShade="BF"/>
    </w:rPr>
  </w:style>
  <w:style w:type="paragraph" w:styleId="IntenseQuote">
    <w:name w:val="Intense Quote"/>
    <w:basedOn w:val="Normal"/>
    <w:next w:val="Normal"/>
    <w:link w:val="IntenseQuoteChar"/>
    <w:uiPriority w:val="30"/>
    <w:qFormat/>
    <w:rsid w:val="008233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365"/>
    <w:rPr>
      <w:i/>
      <w:iCs/>
      <w:color w:val="0F4761" w:themeColor="accent1" w:themeShade="BF"/>
    </w:rPr>
  </w:style>
  <w:style w:type="character" w:styleId="IntenseReference">
    <w:name w:val="Intense Reference"/>
    <w:basedOn w:val="DefaultParagraphFont"/>
    <w:uiPriority w:val="32"/>
    <w:qFormat/>
    <w:rsid w:val="00823365"/>
    <w:rPr>
      <w:b/>
      <w:bCs/>
      <w:smallCaps/>
      <w:color w:val="0F4761" w:themeColor="accent1" w:themeShade="BF"/>
      <w:spacing w:val="5"/>
    </w:rPr>
  </w:style>
  <w:style w:type="paragraph" w:styleId="TOCHeading">
    <w:name w:val="TOC Heading"/>
    <w:basedOn w:val="Heading1"/>
    <w:next w:val="Normal"/>
    <w:uiPriority w:val="39"/>
    <w:unhideWhenUsed/>
    <w:qFormat/>
    <w:rsid w:val="00823365"/>
    <w:pPr>
      <w:spacing w:before="240" w:after="0" w:line="259" w:lineRule="auto"/>
      <w:outlineLvl w:val="9"/>
    </w:pPr>
    <w:rPr>
      <w:kern w:val="0"/>
      <w:sz w:val="32"/>
      <w:szCs w:val="32"/>
      <w:lang w:val="en-US" w:bidi="ar-SA"/>
      <w14:ligatures w14:val="none"/>
    </w:rPr>
  </w:style>
  <w:style w:type="character" w:styleId="Hyperlink">
    <w:name w:val="Hyperlink"/>
    <w:basedOn w:val="DefaultParagraphFont"/>
    <w:uiPriority w:val="99"/>
    <w:unhideWhenUsed/>
    <w:rsid w:val="00823365"/>
    <w:rPr>
      <w:color w:val="467886" w:themeColor="hyperlink"/>
      <w:u w:val="single"/>
    </w:rPr>
  </w:style>
  <w:style w:type="paragraph" w:styleId="TOC1">
    <w:name w:val="toc 1"/>
    <w:basedOn w:val="Normal"/>
    <w:next w:val="Normal"/>
    <w:autoRedefine/>
    <w:uiPriority w:val="39"/>
    <w:unhideWhenUsed/>
    <w:rsid w:val="00823365"/>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A301FA"/>
    <w:rPr>
      <w:rFonts w:ascii="Times New Roman" w:hAnsi="Times New Roman" w:cs="Mangal"/>
    </w:rPr>
  </w:style>
  <w:style w:type="character" w:styleId="UnresolvedMention">
    <w:name w:val="Unresolved Mention"/>
    <w:basedOn w:val="DefaultParagraphFont"/>
    <w:uiPriority w:val="99"/>
    <w:semiHidden/>
    <w:unhideWhenUsed/>
    <w:rsid w:val="00A301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ommission.europa.e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25</Pages>
  <Words>4781</Words>
  <Characters>27255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2026-02-05T14:15:00Z</dcterms:created>
  <dcterms:modified xsi:type="dcterms:W3CDTF">2026-02-05T15:00:00Z</dcterms:modified>
</cp:coreProperties>
</file>