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221290"/>
        <w:docPartObj>
          <w:docPartGallery w:val="Cover Pages"/>
          <w:docPartUnique/>
        </w:docPartObj>
      </w:sdtPr>
      <w:sdtEndPr>
        <w:rPr>
          <w:b/>
          <w:bCs/>
          <w:sz w:val="28"/>
          <w:szCs w:val="28"/>
        </w:rPr>
      </w:sdtEndPr>
      <w:sdtContent>
        <w:p w14:paraId="73994D6F" w14:textId="1E1720E1" w:rsidR="005B505A" w:rsidRDefault="005B505A">
          <w:r>
            <w:rPr>
              <w:noProof/>
            </w:rPr>
            <mc:AlternateContent>
              <mc:Choice Requires="wpg">
                <w:drawing>
                  <wp:anchor distT="0" distB="0" distL="114300" distR="114300" simplePos="0" relativeHeight="251662336" behindDoc="0" locked="0" layoutInCell="1" allowOverlap="1" wp14:anchorId="5B3C8E7D" wp14:editId="3D33324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F475A2" id="Group 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DBC86FC" wp14:editId="7855265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69CD3" w14:textId="2CF2E0DB" w:rsidR="005B505A" w:rsidRDefault="006F6F4E">
                                <w:pPr>
                                  <w:pStyle w:val="NoSpacing"/>
                                  <w:jc w:val="right"/>
                                  <w:rPr>
                                    <w:color w:val="595959" w:themeColor="text1" w:themeTint="A6"/>
                                    <w:sz w:val="20"/>
                                    <w:szCs w:val="20"/>
                                  </w:rPr>
                                </w:pPr>
                                <w:r>
                                  <w:rPr>
                                    <w:color w:val="595959" w:themeColor="text1" w:themeTint="A6"/>
                                    <w:sz w:val="20"/>
                                    <w:szCs w:val="20"/>
                                  </w:rPr>
                                  <w:t>Name: Rahul Saini</w:t>
                                </w:r>
                                <w:r>
                                  <w:rPr>
                                    <w:color w:val="595959" w:themeColor="text1" w:themeTint="A6"/>
                                    <w:sz w:val="20"/>
                                    <w:szCs w:val="20"/>
                                  </w:rPr>
                                  <w:br/>
                                </w:r>
                                <w:r w:rsidR="003016D2">
                                  <w:rPr>
                                    <w:color w:val="595959" w:themeColor="text1" w:themeTint="A6"/>
                                    <w:sz w:val="20"/>
                                    <w:szCs w:val="20"/>
                                  </w:rPr>
                                  <w:t xml:space="preserve">Course: </w:t>
                                </w:r>
                                <w:r w:rsidR="003016D2" w:rsidRPr="003016D2">
                                  <w:rPr>
                                    <w:color w:val="595959" w:themeColor="text1" w:themeTint="A6"/>
                                    <w:sz w:val="20"/>
                                    <w:szCs w:val="20"/>
                                  </w:rPr>
                                  <w:t>Bachelor's in Tourism and Recreation</w:t>
                                </w:r>
                                <w:r w:rsidR="003016D2">
                                  <w:rPr>
                                    <w:color w:val="595959" w:themeColor="text1" w:themeTint="A6"/>
                                    <w:sz w:val="20"/>
                                    <w:szCs w:val="20"/>
                                  </w:rPr>
                                  <w:br/>
                                  <w:t>Submission Date: 23</w:t>
                                </w:r>
                                <w:r w:rsidR="003016D2" w:rsidRPr="003016D2">
                                  <w:rPr>
                                    <w:color w:val="595959" w:themeColor="text1" w:themeTint="A6"/>
                                    <w:sz w:val="20"/>
                                    <w:szCs w:val="20"/>
                                    <w:vertAlign w:val="superscript"/>
                                  </w:rPr>
                                  <w:t>rd</w:t>
                                </w:r>
                                <w:r w:rsidR="003016D2">
                                  <w:rPr>
                                    <w:color w:val="595959" w:themeColor="text1" w:themeTint="A6"/>
                                    <w:sz w:val="20"/>
                                    <w:szCs w:val="20"/>
                                  </w:rPr>
                                  <w:t xml:space="preserve"> October,2025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DBC86FC" id="_x0000_t202" coordsize="21600,21600" o:spt="202" path="m,l,21600r21600,l21600,xe">
                    <v:stroke joinstyle="miter"/>
                    <v:path gradientshapeok="t" o:connecttype="rect"/>
                  </v:shapetype>
                  <v:shape id="Text Box 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169CD3" w14:textId="2CF2E0DB" w:rsidR="005B505A" w:rsidRDefault="006F6F4E">
                          <w:pPr>
                            <w:pStyle w:val="NoSpacing"/>
                            <w:jc w:val="right"/>
                            <w:rPr>
                              <w:color w:val="595959" w:themeColor="text1" w:themeTint="A6"/>
                              <w:sz w:val="20"/>
                              <w:szCs w:val="20"/>
                            </w:rPr>
                          </w:pPr>
                          <w:r>
                            <w:rPr>
                              <w:color w:val="595959" w:themeColor="text1" w:themeTint="A6"/>
                              <w:sz w:val="20"/>
                              <w:szCs w:val="20"/>
                            </w:rPr>
                            <w:t>Name: Rahul Saini</w:t>
                          </w:r>
                          <w:r>
                            <w:rPr>
                              <w:color w:val="595959" w:themeColor="text1" w:themeTint="A6"/>
                              <w:sz w:val="20"/>
                              <w:szCs w:val="20"/>
                            </w:rPr>
                            <w:br/>
                          </w:r>
                          <w:r w:rsidR="003016D2">
                            <w:rPr>
                              <w:color w:val="595959" w:themeColor="text1" w:themeTint="A6"/>
                              <w:sz w:val="20"/>
                              <w:szCs w:val="20"/>
                            </w:rPr>
                            <w:t xml:space="preserve">Course: </w:t>
                          </w:r>
                          <w:r w:rsidR="003016D2" w:rsidRPr="003016D2">
                            <w:rPr>
                              <w:color w:val="595959" w:themeColor="text1" w:themeTint="A6"/>
                              <w:sz w:val="20"/>
                              <w:szCs w:val="20"/>
                            </w:rPr>
                            <w:t>Bachelor's in Tourism and Recreation</w:t>
                          </w:r>
                          <w:r w:rsidR="003016D2">
                            <w:rPr>
                              <w:color w:val="595959" w:themeColor="text1" w:themeTint="A6"/>
                              <w:sz w:val="20"/>
                              <w:szCs w:val="20"/>
                            </w:rPr>
                            <w:br/>
                            <w:t>Submission Date: 23</w:t>
                          </w:r>
                          <w:r w:rsidR="003016D2" w:rsidRPr="003016D2">
                            <w:rPr>
                              <w:color w:val="595959" w:themeColor="text1" w:themeTint="A6"/>
                              <w:sz w:val="20"/>
                              <w:szCs w:val="20"/>
                              <w:vertAlign w:val="superscript"/>
                            </w:rPr>
                            <w:t>rd</w:t>
                          </w:r>
                          <w:r w:rsidR="003016D2">
                            <w:rPr>
                              <w:color w:val="595959" w:themeColor="text1" w:themeTint="A6"/>
                              <w:sz w:val="20"/>
                              <w:szCs w:val="20"/>
                            </w:rPr>
                            <w:t xml:space="preserve"> October,2025</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2D0FA5A" wp14:editId="6621203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DECC0" w14:textId="0C241175" w:rsidR="005B505A" w:rsidRDefault="00BC6A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C6AA9">
                                      <w:rPr>
                                        <w:caps/>
                                        <w:color w:val="4472C4" w:themeColor="accent1"/>
                                        <w:sz w:val="64"/>
                                        <w:szCs w:val="64"/>
                                      </w:rPr>
                                      <w:t>Sales Management</w:t>
                                    </w:r>
                                    <w:r w:rsidRPr="00BC6AA9">
                                      <w:rPr>
                                        <w:caps/>
                                        <w:color w:val="4472C4" w:themeColor="accent1"/>
                                        <w:sz w:val="64"/>
                                        <w:szCs w:val="64"/>
                                      </w:rPr>
                                      <w:c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C0444A" w14:textId="10C69F35" w:rsidR="005B505A" w:rsidRDefault="006F6F4E" w:rsidP="006F6F4E">
                                    <w:pPr>
                                      <w:jc w:val="right"/>
                                      <w:rPr>
                                        <w:smallCaps/>
                                        <w:color w:val="404040" w:themeColor="text1" w:themeTint="BF"/>
                                        <w:sz w:val="36"/>
                                        <w:szCs w:val="36"/>
                                      </w:rPr>
                                    </w:pPr>
                                    <w:r>
                                      <w:rPr>
                                        <w:color w:val="404040" w:themeColor="text1" w:themeTint="BF"/>
                                        <w:sz w:val="36"/>
                                        <w:szCs w:val="36"/>
                                      </w:rPr>
                                      <w:t xml:space="preserve">Ethical Challenges in Sales Management – Balancing Profitability and </w:t>
                                    </w:r>
                                    <w:proofErr w:type="spellStart"/>
                                    <w:r>
                                      <w:rPr>
                                        <w:color w:val="404040" w:themeColor="text1" w:themeTint="BF"/>
                                        <w:sz w:val="36"/>
                                        <w:szCs w:val="36"/>
                                      </w:rPr>
                                      <w:t>ConsumerTrust</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2D0FA5A" id="Text Box 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F8DECC0" w14:textId="0C241175" w:rsidR="005B505A" w:rsidRDefault="00BC6A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BC6AA9">
                                <w:rPr>
                                  <w:caps/>
                                  <w:color w:val="4472C4" w:themeColor="accent1"/>
                                  <w:sz w:val="64"/>
                                  <w:szCs w:val="64"/>
                                </w:rPr>
                                <w:t>Sales Management</w:t>
                              </w:r>
                              <w:r w:rsidRPr="00BC6AA9">
                                <w:rPr>
                                  <w:caps/>
                                  <w:color w:val="4472C4" w:themeColor="accent1"/>
                                  <w:sz w:val="64"/>
                                  <w:szCs w:val="64"/>
                                </w:rPr>
                                <w:c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C0444A" w14:textId="10C69F35" w:rsidR="005B505A" w:rsidRDefault="006F6F4E" w:rsidP="006F6F4E">
                              <w:pPr>
                                <w:jc w:val="right"/>
                                <w:rPr>
                                  <w:smallCaps/>
                                  <w:color w:val="404040" w:themeColor="text1" w:themeTint="BF"/>
                                  <w:sz w:val="36"/>
                                  <w:szCs w:val="36"/>
                                </w:rPr>
                              </w:pPr>
                              <w:r>
                                <w:rPr>
                                  <w:color w:val="404040" w:themeColor="text1" w:themeTint="BF"/>
                                  <w:sz w:val="36"/>
                                  <w:szCs w:val="36"/>
                                </w:rPr>
                                <w:t xml:space="preserve">Ethical Challenges in Sales Management – Balancing Profitability and </w:t>
                              </w:r>
                              <w:proofErr w:type="spellStart"/>
                              <w:r>
                                <w:rPr>
                                  <w:color w:val="404040" w:themeColor="text1" w:themeTint="BF"/>
                                  <w:sz w:val="36"/>
                                  <w:szCs w:val="36"/>
                                </w:rPr>
                                <w:t>ConsumerTrust</w:t>
                              </w:r>
                              <w:proofErr w:type="spellEnd"/>
                            </w:p>
                          </w:sdtContent>
                        </w:sdt>
                      </w:txbxContent>
                    </v:textbox>
                    <w10:wrap type="square" anchorx="page" anchory="page"/>
                  </v:shape>
                </w:pict>
              </mc:Fallback>
            </mc:AlternateContent>
          </w:r>
        </w:p>
        <w:p w14:paraId="10B91409" w14:textId="5472DB87" w:rsidR="005B505A" w:rsidRDefault="006F6F4E" w:rsidP="006F6F4E">
          <w:pPr>
            <w:ind w:left="1440" w:firstLine="720"/>
            <w:rPr>
              <w:rFonts w:asciiTheme="majorHAnsi" w:eastAsiaTheme="majorEastAsia" w:hAnsiTheme="majorHAnsi" w:cstheme="majorBidi"/>
              <w:b/>
              <w:bCs/>
              <w:color w:val="2F5496" w:themeColor="accent1" w:themeShade="BF"/>
              <w:sz w:val="28"/>
              <w:szCs w:val="28"/>
            </w:rPr>
          </w:pPr>
          <w:r w:rsidRPr="006F6F4E">
            <w:rPr>
              <w:b/>
              <w:bCs/>
              <w:sz w:val="28"/>
              <w:szCs w:val="28"/>
            </w:rPr>
            <w:drawing>
              <wp:inline distT="0" distB="0" distL="0" distR="0" wp14:anchorId="555CB976" wp14:editId="6143C187">
                <wp:extent cx="3177815" cy="807790"/>
                <wp:effectExtent l="0" t="0" r="3810" b="0"/>
                <wp:docPr id="13835960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596040" name=""/>
                        <pic:cNvPicPr/>
                      </pic:nvPicPr>
                      <pic:blipFill>
                        <a:blip r:embed="rId7"/>
                        <a:stretch>
                          <a:fillRect/>
                        </a:stretch>
                      </pic:blipFill>
                      <pic:spPr>
                        <a:xfrm>
                          <a:off x="0" y="0"/>
                          <a:ext cx="3177815" cy="807790"/>
                        </a:xfrm>
                        <a:prstGeom prst="rect">
                          <a:avLst/>
                        </a:prstGeom>
                      </pic:spPr>
                    </pic:pic>
                  </a:graphicData>
                </a:graphic>
              </wp:inline>
            </w:drawing>
          </w:r>
          <w:r w:rsidR="005B505A">
            <w:rPr>
              <w:b/>
              <w:bCs/>
              <w:sz w:val="28"/>
              <w:szCs w:val="28"/>
            </w:rPr>
            <w:br w:type="page"/>
          </w:r>
        </w:p>
      </w:sdtContent>
    </w:sdt>
    <w:p w14:paraId="2CBCDE67" w14:textId="67BE75C6" w:rsidR="00623113" w:rsidRPr="003D3DDF" w:rsidRDefault="00623113" w:rsidP="003D3DDF">
      <w:pPr>
        <w:pStyle w:val="Heading1"/>
        <w:spacing w:line="480" w:lineRule="auto"/>
        <w:rPr>
          <w:b/>
          <w:bCs/>
          <w:sz w:val="28"/>
          <w:szCs w:val="28"/>
        </w:rPr>
      </w:pPr>
      <w:bookmarkStart w:id="0" w:name="_Toc212123249"/>
      <w:r w:rsidRPr="003D3DDF">
        <w:rPr>
          <w:b/>
          <w:bCs/>
          <w:sz w:val="28"/>
          <w:szCs w:val="28"/>
        </w:rPr>
        <w:lastRenderedPageBreak/>
        <w:t>Abstract</w:t>
      </w:r>
      <w:bookmarkEnd w:id="0"/>
      <w:r w:rsidRPr="003D3DDF">
        <w:rPr>
          <w:b/>
          <w:bCs/>
          <w:sz w:val="28"/>
          <w:szCs w:val="28"/>
        </w:rPr>
        <w:t xml:space="preserve">  </w:t>
      </w:r>
    </w:p>
    <w:p w14:paraId="782D8781" w14:textId="77777777" w:rsidR="003016D2"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Recurrent ethical challenges that tourism and hospitality companies face during sales, such as flight and room over-booking, drip pricing of ancillary pricing, and dark-pattern architecture on digital bookings, disrupt choice and undermine trust. It is empirically known that proactive and fair treatment of over-booking and deliberate service failure helps reduce negative eWOM and recovery costs, but drip pricing has the effect of increasing consumer search and cognitive burden, thus illustrating a trade-off between short-term income generation and long-term reputation and fairness. It is regulated with regulatory measures, with some </w:t>
      </w:r>
      <w:r w:rsidR="00BC6BAD" w:rsidRPr="003D3DDF">
        <w:rPr>
          <w:rFonts w:ascii="Times New Roman" w:hAnsi="Times New Roman" w:cs="Times New Roman"/>
          <w:sz w:val="24"/>
          <w:szCs w:val="24"/>
        </w:rPr>
        <w:t>jurisdictions</w:t>
      </w:r>
      <w:r w:rsidRPr="003D3DDF">
        <w:rPr>
          <w:rFonts w:ascii="Times New Roman" w:hAnsi="Times New Roman" w:cs="Times New Roman"/>
          <w:sz w:val="24"/>
          <w:szCs w:val="24"/>
        </w:rPr>
        <w:t xml:space="preserve"> moving to a regulatory method (through legislative and alternative initiatives) including the 2024 ancillary fee transparency rulemaking by the U.S. Department of Transportation and the EU Package Travel Directive in an attempt to curb instances of hidden or late alteration of the price originally quoted to consumers, along with negating that no extra prices subjects while the journey remains actually offered and occurs at the time stated, and protecting or giving rise to responsibility of disclosure and refund. This paper suggests an effective governance model combining the outcomes of transparent pricing, dynamic over-booking policies, and user-experience guidelines as a way of reducing the risks associated with deceptive design through literature synthesis on hospitality ethics, justice theory in service recovery, and dark-pattern practices on OTA sites. The examples of airlines and hotels show how ethically oriented sales design may be used to save profit and increase consumer protection, consumer trust, and consumer lifetime value</w:t>
      </w:r>
      <w:r w:rsidR="00981C59">
        <w:rPr>
          <w:rFonts w:ascii="Times New Roman" w:hAnsi="Times New Roman" w:cs="Times New Roman"/>
          <w:sz w:val="24"/>
          <w:szCs w:val="24"/>
        </w:rPr>
        <w:t xml:space="preserve"> </w:t>
      </w:r>
      <w:r w:rsidR="00981C59" w:rsidRPr="00981C59">
        <w:rPr>
          <w:rFonts w:ascii="Times New Roman" w:hAnsi="Times New Roman" w:cs="Times New Roman"/>
          <w:sz w:val="24"/>
          <w:szCs w:val="24"/>
        </w:rPr>
        <w:t>(</w:t>
      </w:r>
      <w:proofErr w:type="spellStart"/>
      <w:r w:rsidR="00981C59" w:rsidRPr="00981C59">
        <w:rPr>
          <w:rFonts w:ascii="Times New Roman" w:hAnsi="Times New Roman" w:cs="Times New Roman"/>
          <w:sz w:val="24"/>
          <w:szCs w:val="24"/>
        </w:rPr>
        <w:t>Totzek</w:t>
      </w:r>
      <w:proofErr w:type="spellEnd"/>
      <w:r w:rsidR="00981C59" w:rsidRPr="00981C59">
        <w:rPr>
          <w:rFonts w:ascii="Times New Roman" w:hAnsi="Times New Roman" w:cs="Times New Roman"/>
          <w:sz w:val="24"/>
          <w:szCs w:val="24"/>
        </w:rPr>
        <w:t xml:space="preserve"> &amp; Jurgensen, 2020)</w:t>
      </w:r>
      <w:r w:rsidRPr="003D3DDF">
        <w:rPr>
          <w:rFonts w:ascii="Times New Roman" w:hAnsi="Times New Roman" w:cs="Times New Roman"/>
          <w:sz w:val="24"/>
          <w:szCs w:val="24"/>
        </w:rPr>
        <w:t>.</w:t>
      </w:r>
    </w:p>
    <w:p w14:paraId="489F906A" w14:textId="77777777" w:rsidR="00753C82" w:rsidRDefault="00753C82" w:rsidP="003D3DDF">
      <w:pPr>
        <w:spacing w:line="480" w:lineRule="auto"/>
        <w:rPr>
          <w:rFonts w:ascii="Times New Roman" w:hAnsi="Times New Roman" w:cs="Times New Roman"/>
          <w:sz w:val="24"/>
          <w:szCs w:val="24"/>
        </w:rPr>
      </w:pPr>
    </w:p>
    <w:p w14:paraId="7A07DB1B" w14:textId="77777777" w:rsidR="00753C82" w:rsidRDefault="00753C82" w:rsidP="003D3DDF">
      <w:pPr>
        <w:spacing w:line="480" w:lineRule="auto"/>
        <w:rPr>
          <w:rFonts w:ascii="Times New Roman" w:hAnsi="Times New Roman" w:cs="Times New Roman"/>
          <w:sz w:val="24"/>
          <w:szCs w:val="24"/>
        </w:rPr>
      </w:pPr>
    </w:p>
    <w:sdt>
      <w:sdtPr>
        <w:id w:val="-1778168404"/>
        <w:docPartObj>
          <w:docPartGallery w:val="Table of Contents"/>
          <w:docPartUnique/>
        </w:docPartObj>
      </w:sdtPr>
      <w:sdtEndPr>
        <w:rPr>
          <w:rFonts w:asciiTheme="minorHAnsi" w:eastAsiaTheme="minorEastAsia" w:hAnsiTheme="minorHAnsi" w:cstheme="minorBidi"/>
          <w:b/>
          <w:bCs/>
          <w:noProof/>
          <w:color w:val="auto"/>
          <w:sz w:val="22"/>
          <w:szCs w:val="22"/>
          <w:lang w:eastAsia="zh-CN"/>
        </w:rPr>
      </w:sdtEndPr>
      <w:sdtContent>
        <w:p w14:paraId="3F260F08" w14:textId="48AA5EC1" w:rsidR="003016D2" w:rsidRPr="00753C82" w:rsidRDefault="003016D2" w:rsidP="00753C82">
          <w:pPr>
            <w:pStyle w:val="TOCHeading"/>
            <w:spacing w:line="480" w:lineRule="auto"/>
            <w:rPr>
              <w:rFonts w:ascii="Times New Roman" w:hAnsi="Times New Roman" w:cs="Times New Roman"/>
              <w:sz w:val="26"/>
              <w:szCs w:val="26"/>
            </w:rPr>
          </w:pPr>
          <w:r w:rsidRPr="00753C82">
            <w:rPr>
              <w:rFonts w:ascii="Times New Roman" w:hAnsi="Times New Roman" w:cs="Times New Roman"/>
              <w:sz w:val="26"/>
              <w:szCs w:val="26"/>
            </w:rPr>
            <w:t>Contents</w:t>
          </w:r>
        </w:p>
        <w:p w14:paraId="544AC159" w14:textId="532B9AC2"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r w:rsidRPr="00753C82">
            <w:rPr>
              <w:rFonts w:ascii="Times New Roman" w:hAnsi="Times New Roman" w:cs="Times New Roman"/>
              <w:sz w:val="26"/>
              <w:szCs w:val="26"/>
            </w:rPr>
            <w:fldChar w:fldCharType="begin"/>
          </w:r>
          <w:r w:rsidRPr="00753C82">
            <w:rPr>
              <w:rFonts w:ascii="Times New Roman" w:hAnsi="Times New Roman" w:cs="Times New Roman"/>
              <w:sz w:val="26"/>
              <w:szCs w:val="26"/>
            </w:rPr>
            <w:instrText xml:space="preserve"> TOC \o "1-3" \h \z \u </w:instrText>
          </w:r>
          <w:r w:rsidRPr="00753C82">
            <w:rPr>
              <w:rFonts w:ascii="Times New Roman" w:hAnsi="Times New Roman" w:cs="Times New Roman"/>
              <w:sz w:val="26"/>
              <w:szCs w:val="26"/>
            </w:rPr>
            <w:fldChar w:fldCharType="separate"/>
          </w:r>
          <w:hyperlink w:anchor="_Toc212123249" w:history="1">
            <w:r w:rsidRPr="00753C82">
              <w:rPr>
                <w:rStyle w:val="Hyperlink"/>
                <w:rFonts w:ascii="Times New Roman" w:hAnsi="Times New Roman" w:cs="Times New Roman"/>
                <w:b/>
                <w:bCs/>
                <w:noProof/>
                <w:sz w:val="26"/>
                <w:szCs w:val="26"/>
              </w:rPr>
              <w:t>Abstract</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_Toc212123249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1</w:t>
            </w:r>
            <w:r w:rsidRPr="00753C82">
              <w:rPr>
                <w:rFonts w:ascii="Times New Roman" w:hAnsi="Times New Roman" w:cs="Times New Roman"/>
                <w:noProof/>
                <w:webHidden/>
                <w:sz w:val="26"/>
                <w:szCs w:val="26"/>
              </w:rPr>
              <w:fldChar w:fldCharType="end"/>
            </w:r>
          </w:hyperlink>
        </w:p>
        <w:p w14:paraId="52E8606D" w14:textId="5415C5BC"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0" w:history="1">
            <w:r w:rsidRPr="00753C82">
              <w:rPr>
                <w:rStyle w:val="Hyperlink"/>
                <w:rFonts w:ascii="Times New Roman" w:hAnsi="Times New Roman" w:cs="Times New Roman"/>
                <w:b/>
                <w:bCs/>
                <w:noProof/>
                <w:sz w:val="26"/>
                <w:szCs w:val="26"/>
              </w:rPr>
              <w:t>Introduction</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_Toc212123250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3</w:t>
            </w:r>
            <w:r w:rsidRPr="00753C82">
              <w:rPr>
                <w:rFonts w:ascii="Times New Roman" w:hAnsi="Times New Roman" w:cs="Times New Roman"/>
                <w:noProof/>
                <w:webHidden/>
                <w:sz w:val="26"/>
                <w:szCs w:val="26"/>
              </w:rPr>
              <w:fldChar w:fldCharType="end"/>
            </w:r>
          </w:hyperlink>
        </w:p>
        <w:p w14:paraId="37C8216C" w14:textId="039310A5"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1" w:history="1">
            <w:r w:rsidRPr="00753C82">
              <w:rPr>
                <w:rStyle w:val="Hyperlink"/>
                <w:rFonts w:ascii="Times New Roman" w:hAnsi="Times New Roman" w:cs="Times New Roman"/>
                <w:b/>
                <w:bCs/>
                <w:noProof/>
                <w:sz w:val="26"/>
                <w:szCs w:val="26"/>
              </w:rPr>
              <w:t>Literature Review</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_Toc212123251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4</w:t>
            </w:r>
            <w:r w:rsidRPr="00753C82">
              <w:rPr>
                <w:rFonts w:ascii="Times New Roman" w:hAnsi="Times New Roman" w:cs="Times New Roman"/>
                <w:noProof/>
                <w:webHidden/>
                <w:sz w:val="26"/>
                <w:szCs w:val="26"/>
              </w:rPr>
              <w:fldChar w:fldCharType="end"/>
            </w:r>
          </w:hyperlink>
        </w:p>
        <w:p w14:paraId="13B6EE53" w14:textId="4188EB40"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2" w:history="1">
            <w:r w:rsidRPr="00753C82">
              <w:rPr>
                <w:rStyle w:val="Hyperlink"/>
                <w:rFonts w:ascii="Times New Roman" w:hAnsi="Times New Roman" w:cs="Times New Roman"/>
                <w:b/>
                <w:bCs/>
                <w:noProof/>
                <w:sz w:val="26"/>
                <w:szCs w:val="26"/>
              </w:rPr>
              <w:t>Methodology</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_Toc212123252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6</w:t>
            </w:r>
            <w:r w:rsidRPr="00753C82">
              <w:rPr>
                <w:rFonts w:ascii="Times New Roman" w:hAnsi="Times New Roman" w:cs="Times New Roman"/>
                <w:noProof/>
                <w:webHidden/>
                <w:sz w:val="26"/>
                <w:szCs w:val="26"/>
              </w:rPr>
              <w:fldChar w:fldCharType="end"/>
            </w:r>
          </w:hyperlink>
        </w:p>
        <w:p w14:paraId="6BE1A191" w14:textId="1C92C4B0"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3" w:history="1">
            <w:r w:rsidRPr="00753C82">
              <w:rPr>
                <w:rStyle w:val="Hyperlink"/>
                <w:rFonts w:ascii="Times New Roman" w:hAnsi="Times New Roman" w:cs="Times New Roman"/>
                <w:b/>
                <w:bCs/>
                <w:noProof/>
                <w:sz w:val="26"/>
                <w:szCs w:val="26"/>
              </w:rPr>
              <w:t>Findings</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_Toc212123253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8</w:t>
            </w:r>
            <w:r w:rsidRPr="00753C82">
              <w:rPr>
                <w:rFonts w:ascii="Times New Roman" w:hAnsi="Times New Roman" w:cs="Times New Roman"/>
                <w:noProof/>
                <w:webHidden/>
                <w:sz w:val="26"/>
                <w:szCs w:val="26"/>
              </w:rPr>
              <w:fldChar w:fldCharType="end"/>
            </w:r>
          </w:hyperlink>
        </w:p>
        <w:p w14:paraId="4A003974" w14:textId="704D09CE"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4" w:history="1">
            <w:r w:rsidRPr="00753C82">
              <w:rPr>
                <w:rStyle w:val="Hyperlink"/>
                <w:rFonts w:ascii="Times New Roman" w:hAnsi="Times New Roman" w:cs="Times New Roman"/>
                <w:b/>
                <w:bCs/>
                <w:noProof/>
                <w:sz w:val="26"/>
                <w:szCs w:val="26"/>
              </w:rPr>
              <w:t>Discussion</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_Toc212123254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11</w:t>
            </w:r>
            <w:r w:rsidRPr="00753C82">
              <w:rPr>
                <w:rFonts w:ascii="Times New Roman" w:hAnsi="Times New Roman" w:cs="Times New Roman"/>
                <w:noProof/>
                <w:webHidden/>
                <w:sz w:val="26"/>
                <w:szCs w:val="26"/>
              </w:rPr>
              <w:fldChar w:fldCharType="end"/>
            </w:r>
          </w:hyperlink>
        </w:p>
        <w:p w14:paraId="05A8E1B3" w14:textId="3663010E"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5" w:history="1">
            <w:r w:rsidRPr="00753C82">
              <w:rPr>
                <w:rStyle w:val="Hyperlink"/>
                <w:rFonts w:ascii="Times New Roman" w:hAnsi="Times New Roman" w:cs="Times New Roman"/>
                <w:b/>
                <w:bCs/>
                <w:noProof/>
                <w:sz w:val="26"/>
                <w:szCs w:val="26"/>
              </w:rPr>
              <w:t>Recommendations</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_Toc212123255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14</w:t>
            </w:r>
            <w:r w:rsidRPr="00753C82">
              <w:rPr>
                <w:rFonts w:ascii="Times New Roman" w:hAnsi="Times New Roman" w:cs="Times New Roman"/>
                <w:noProof/>
                <w:webHidden/>
                <w:sz w:val="26"/>
                <w:szCs w:val="26"/>
              </w:rPr>
              <w:fldChar w:fldCharType="end"/>
            </w:r>
          </w:hyperlink>
        </w:p>
        <w:p w14:paraId="3AE7393D" w14:textId="315C4246"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6" w:history="1">
            <w:r w:rsidRPr="00753C82">
              <w:rPr>
                <w:rStyle w:val="Hyperlink"/>
                <w:rFonts w:ascii="Times New Roman" w:hAnsi="Times New Roman" w:cs="Times New Roman"/>
                <w:b/>
                <w:bCs/>
                <w:noProof/>
                <w:sz w:val="26"/>
                <w:szCs w:val="26"/>
              </w:rPr>
              <w:t>Conclusion</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_Toc212123256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17</w:t>
            </w:r>
            <w:r w:rsidRPr="00753C82">
              <w:rPr>
                <w:rFonts w:ascii="Times New Roman" w:hAnsi="Times New Roman" w:cs="Times New Roman"/>
                <w:noProof/>
                <w:webHidden/>
                <w:sz w:val="26"/>
                <w:szCs w:val="26"/>
              </w:rPr>
              <w:fldChar w:fldCharType="end"/>
            </w:r>
          </w:hyperlink>
        </w:p>
        <w:p w14:paraId="538BAF40" w14:textId="42805090"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7" w:history="1">
            <w:r w:rsidRPr="00753C82">
              <w:rPr>
                <w:rStyle w:val="Hyperlink"/>
                <w:rFonts w:ascii="Times New Roman" w:hAnsi="Times New Roman" w:cs="Times New Roman"/>
                <w:b/>
                <w:bCs/>
                <w:noProof/>
                <w:sz w:val="26"/>
                <w:szCs w:val="26"/>
              </w:rPr>
              <w:t>References:</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_Toc212123257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19</w:t>
            </w:r>
            <w:r w:rsidRPr="00753C82">
              <w:rPr>
                <w:rFonts w:ascii="Times New Roman" w:hAnsi="Times New Roman" w:cs="Times New Roman"/>
                <w:noProof/>
                <w:webHidden/>
                <w:sz w:val="26"/>
                <w:szCs w:val="26"/>
              </w:rPr>
              <w:fldChar w:fldCharType="end"/>
            </w:r>
          </w:hyperlink>
        </w:p>
        <w:p w14:paraId="30CF1F24" w14:textId="62D62105" w:rsidR="003016D2" w:rsidRPr="00753C82" w:rsidRDefault="003016D2" w:rsidP="00753C82">
          <w:pPr>
            <w:pStyle w:val="TOC1"/>
            <w:tabs>
              <w:tab w:val="right" w:leader="dot" w:pos="9350"/>
            </w:tabs>
            <w:spacing w:line="480" w:lineRule="auto"/>
            <w:rPr>
              <w:rFonts w:ascii="Times New Roman" w:hAnsi="Times New Roman" w:cs="Times New Roman"/>
              <w:noProof/>
              <w:sz w:val="26"/>
              <w:szCs w:val="26"/>
            </w:rPr>
          </w:pPr>
          <w:hyperlink w:anchor="_Toc212123258" w:history="1">
            <w:r w:rsidRPr="00753C82">
              <w:rPr>
                <w:rStyle w:val="Hyperlink"/>
                <w:rFonts w:ascii="Times New Roman" w:hAnsi="Times New Roman" w:cs="Times New Roman"/>
                <w:b/>
                <w:bCs/>
                <w:noProof/>
                <w:sz w:val="26"/>
                <w:szCs w:val="26"/>
              </w:rPr>
              <w:t>Appendices</w:t>
            </w:r>
            <w:r w:rsidRPr="00753C82">
              <w:rPr>
                <w:rFonts w:ascii="Times New Roman" w:hAnsi="Times New Roman" w:cs="Times New Roman"/>
                <w:noProof/>
                <w:webHidden/>
                <w:sz w:val="26"/>
                <w:szCs w:val="26"/>
              </w:rPr>
              <w:tab/>
            </w:r>
            <w:r w:rsidRPr="00753C82">
              <w:rPr>
                <w:rFonts w:ascii="Times New Roman" w:hAnsi="Times New Roman" w:cs="Times New Roman"/>
                <w:noProof/>
                <w:webHidden/>
                <w:sz w:val="26"/>
                <w:szCs w:val="26"/>
              </w:rPr>
              <w:fldChar w:fldCharType="begin"/>
            </w:r>
            <w:r w:rsidRPr="00753C82">
              <w:rPr>
                <w:rFonts w:ascii="Times New Roman" w:hAnsi="Times New Roman" w:cs="Times New Roman"/>
                <w:noProof/>
                <w:webHidden/>
                <w:sz w:val="26"/>
                <w:szCs w:val="26"/>
              </w:rPr>
              <w:instrText xml:space="preserve"> PAGEREF _Toc212123258 \h </w:instrText>
            </w:r>
            <w:r w:rsidRPr="00753C82">
              <w:rPr>
                <w:rFonts w:ascii="Times New Roman" w:hAnsi="Times New Roman" w:cs="Times New Roman"/>
                <w:noProof/>
                <w:webHidden/>
                <w:sz w:val="26"/>
                <w:szCs w:val="26"/>
              </w:rPr>
            </w:r>
            <w:r w:rsidRPr="00753C82">
              <w:rPr>
                <w:rFonts w:ascii="Times New Roman" w:hAnsi="Times New Roman" w:cs="Times New Roman"/>
                <w:noProof/>
                <w:webHidden/>
                <w:sz w:val="26"/>
                <w:szCs w:val="26"/>
              </w:rPr>
              <w:fldChar w:fldCharType="separate"/>
            </w:r>
            <w:r w:rsidRPr="00753C82">
              <w:rPr>
                <w:rFonts w:ascii="Times New Roman" w:hAnsi="Times New Roman" w:cs="Times New Roman"/>
                <w:noProof/>
                <w:webHidden/>
                <w:sz w:val="26"/>
                <w:szCs w:val="26"/>
              </w:rPr>
              <w:t>22</w:t>
            </w:r>
            <w:r w:rsidRPr="00753C82">
              <w:rPr>
                <w:rFonts w:ascii="Times New Roman" w:hAnsi="Times New Roman" w:cs="Times New Roman"/>
                <w:noProof/>
                <w:webHidden/>
                <w:sz w:val="26"/>
                <w:szCs w:val="26"/>
              </w:rPr>
              <w:fldChar w:fldCharType="end"/>
            </w:r>
          </w:hyperlink>
        </w:p>
        <w:p w14:paraId="321B8943" w14:textId="4BBDBA8C" w:rsidR="003016D2" w:rsidRDefault="003016D2" w:rsidP="00753C82">
          <w:pPr>
            <w:spacing w:line="480" w:lineRule="auto"/>
          </w:pPr>
          <w:r w:rsidRPr="00753C82">
            <w:rPr>
              <w:rFonts w:ascii="Times New Roman" w:hAnsi="Times New Roman" w:cs="Times New Roman"/>
              <w:b/>
              <w:bCs/>
              <w:noProof/>
              <w:sz w:val="26"/>
              <w:szCs w:val="26"/>
            </w:rPr>
            <w:fldChar w:fldCharType="end"/>
          </w:r>
        </w:p>
      </w:sdtContent>
    </w:sdt>
    <w:p w14:paraId="57A16045" w14:textId="7CA8F0DF"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br w:type="page"/>
      </w:r>
    </w:p>
    <w:p w14:paraId="331E8669" w14:textId="77777777" w:rsidR="00623113" w:rsidRPr="003D3DDF" w:rsidRDefault="00623113" w:rsidP="003D3DDF">
      <w:pPr>
        <w:pStyle w:val="Heading1"/>
        <w:spacing w:line="480" w:lineRule="auto"/>
        <w:rPr>
          <w:b/>
          <w:bCs/>
          <w:sz w:val="28"/>
          <w:szCs w:val="28"/>
        </w:rPr>
      </w:pPr>
      <w:bookmarkStart w:id="1" w:name="_Toc212123250"/>
      <w:r w:rsidRPr="003D3DDF">
        <w:rPr>
          <w:b/>
          <w:bCs/>
          <w:sz w:val="28"/>
          <w:szCs w:val="28"/>
        </w:rPr>
        <w:t>Introduction</w:t>
      </w:r>
      <w:bookmarkEnd w:id="1"/>
    </w:p>
    <w:p w14:paraId="591C2645" w14:textId="1200C338"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In the tourism industry, sales management is converging at the intersection of revenue management, on the one hand, and consumer protection, on the other, where traditional processes, including overbooking, dynamic and partitioned pricing, and ancillary </w:t>
      </w:r>
      <w:r w:rsidR="0047482F" w:rsidRPr="003D3DDF">
        <w:rPr>
          <w:rFonts w:ascii="Times New Roman" w:hAnsi="Times New Roman" w:cs="Times New Roman"/>
          <w:sz w:val="24"/>
          <w:szCs w:val="24"/>
        </w:rPr>
        <w:t>monetization</w:t>
      </w:r>
      <w:r w:rsidRPr="003D3DDF">
        <w:rPr>
          <w:rFonts w:ascii="Times New Roman" w:hAnsi="Times New Roman" w:cs="Times New Roman"/>
          <w:sz w:val="24"/>
          <w:szCs w:val="24"/>
        </w:rPr>
        <w:t xml:space="preserve">, grow to boost profitability at the same time raising the issue of fairness and transparency. Having historically been based on an operations-research solution of overbooking to address no-show, is often viewed by customers as a deliberate service failure in which recovery measures that relied on perceptions of justice were required to prevent reputational damage and negative electronic word-of-mouth. At the same time, drip pricing of resort or destination charges, and late revelation of chain gouges on flights or hotels, stimulates further search and cognitive expenses, reduce perceived fairness, and trigger regulatory attention and a class-action risk, despite its role in increasing average </w:t>
      </w:r>
      <w:r w:rsidR="00BC6BAD" w:rsidRPr="003D3DDF">
        <w:rPr>
          <w:rFonts w:ascii="Times New Roman" w:hAnsi="Times New Roman" w:cs="Times New Roman"/>
          <w:sz w:val="24"/>
          <w:szCs w:val="24"/>
        </w:rPr>
        <w:t>realized</w:t>
      </w:r>
      <w:r w:rsidRPr="003D3DDF">
        <w:rPr>
          <w:rFonts w:ascii="Times New Roman" w:hAnsi="Times New Roman" w:cs="Times New Roman"/>
          <w:sz w:val="24"/>
          <w:szCs w:val="24"/>
        </w:rPr>
        <w:t xml:space="preserve"> fares. Other dark patterns on the interface of airlines and online travel agencies such as pre-selected add-ons, signs of scarcity, and camouflaged fees only worsen the situation of making an informed decision; empirical research shows that these tricks undermine the perception of fairness and consumer distrust towards intermediary and suppliers. Responses in the form of regulations, such as the 2024 rule by the U.S. Department of Transportation to require upfront disclosure of baggage and change/cancellation fees and the European Union Package Travel Directive requiring clear information and insolvency safeguarding of packaged offerings, aim at strengthening the transparency, which is fluid in implementation and judicial adjudication. This report has collected the current academic literature and policy trends to explain an ethical sales model that promotes profitability and consumer-focused, transparent ways of operating both in digital and traditional avenues of hospitality and travel</w:t>
      </w:r>
      <w:r w:rsidR="00157A19">
        <w:rPr>
          <w:rFonts w:ascii="Times New Roman" w:hAnsi="Times New Roman" w:cs="Times New Roman"/>
          <w:sz w:val="24"/>
          <w:szCs w:val="24"/>
        </w:rPr>
        <w:t xml:space="preserve"> </w:t>
      </w:r>
      <w:r w:rsidR="00157A19" w:rsidRPr="00157A19">
        <w:rPr>
          <w:rFonts w:ascii="Times New Roman" w:hAnsi="Times New Roman" w:cs="Times New Roman"/>
          <w:sz w:val="24"/>
          <w:szCs w:val="24"/>
        </w:rPr>
        <w:t>(</w:t>
      </w:r>
      <w:proofErr w:type="spellStart"/>
      <w:r w:rsidR="00157A19" w:rsidRPr="00157A19">
        <w:rPr>
          <w:rFonts w:ascii="Times New Roman" w:hAnsi="Times New Roman" w:cs="Times New Roman"/>
          <w:sz w:val="24"/>
          <w:szCs w:val="24"/>
        </w:rPr>
        <w:t>Johnen</w:t>
      </w:r>
      <w:proofErr w:type="spellEnd"/>
      <w:r w:rsidR="00157A19" w:rsidRPr="00157A19">
        <w:rPr>
          <w:rFonts w:ascii="Times New Roman" w:hAnsi="Times New Roman" w:cs="Times New Roman"/>
          <w:sz w:val="24"/>
          <w:szCs w:val="24"/>
        </w:rPr>
        <w:t xml:space="preserve"> &amp; Somogyi, 2024)</w:t>
      </w:r>
      <w:r w:rsidRPr="003D3DDF">
        <w:rPr>
          <w:rFonts w:ascii="Times New Roman" w:hAnsi="Times New Roman" w:cs="Times New Roman"/>
          <w:sz w:val="24"/>
          <w:szCs w:val="24"/>
        </w:rPr>
        <w:t>.</w:t>
      </w:r>
    </w:p>
    <w:p w14:paraId="7D28D8D9" w14:textId="77777777" w:rsidR="00623113" w:rsidRPr="003D3DDF" w:rsidRDefault="00623113" w:rsidP="003D3DDF">
      <w:pPr>
        <w:pStyle w:val="Heading1"/>
        <w:spacing w:line="480" w:lineRule="auto"/>
        <w:rPr>
          <w:b/>
          <w:bCs/>
          <w:sz w:val="28"/>
          <w:szCs w:val="28"/>
        </w:rPr>
      </w:pPr>
      <w:bookmarkStart w:id="2" w:name="_Toc212123251"/>
      <w:r w:rsidRPr="003D3DDF">
        <w:rPr>
          <w:b/>
          <w:bCs/>
          <w:sz w:val="28"/>
          <w:szCs w:val="28"/>
        </w:rPr>
        <w:t>Literature Review</w:t>
      </w:r>
      <w:bookmarkEnd w:id="2"/>
    </w:p>
    <w:p w14:paraId="4D7AFB12" w14:textId="317A0472"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Intentional Service Failure as Overbooking and Service Recovery Justice</w:t>
      </w:r>
    </w:p>
    <w:p w14:paraId="01FED2D6" w14:textId="1D69A603"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Operation-research models will </w:t>
      </w:r>
      <w:r w:rsidR="0047482F" w:rsidRPr="003D3DDF">
        <w:rPr>
          <w:rFonts w:ascii="Times New Roman" w:hAnsi="Times New Roman" w:cs="Times New Roman"/>
          <w:sz w:val="24"/>
          <w:szCs w:val="24"/>
        </w:rPr>
        <w:t>institutionalize</w:t>
      </w:r>
      <w:r w:rsidRPr="003D3DDF">
        <w:rPr>
          <w:rFonts w:ascii="Times New Roman" w:hAnsi="Times New Roman" w:cs="Times New Roman"/>
          <w:sz w:val="24"/>
          <w:szCs w:val="24"/>
        </w:rPr>
        <w:t xml:space="preserve"> airline overbooking as a way of counterbalancing no-shows and cancellations by balancing the risk of denying boarding with the potential profit across routing and fare classes, respectively; and thus make overbooking a leverage of profit-optimization to entail denial-of-boarding risk in the first place. Marketing and service-management scholarship reformulates the phenomenon as a deliberate service failure to be compensated proactively to maintain perceived justice, reduce betrayal and decrease negative electronic word-of-mouth and more future revenue losses. Anticipatory measures, such as providing notice, the inducement of voluntary re-accommodation and express compensation scales, promote perceived distributive, procedural, and interactional justice and, consequently, lower reputational losses made at lower recovery costs than reactive gate-bumping. Research of high-profile overbooking crises shows that social media increases perceived ethical breaches, which magnify brand contagion risk and regulatory attention and stress the necessity of pre-determined recovery playbooks and round-the-clock surveillance</w:t>
      </w:r>
      <w:r w:rsidR="003E79DF">
        <w:rPr>
          <w:rFonts w:ascii="Times New Roman" w:hAnsi="Times New Roman" w:cs="Times New Roman"/>
          <w:sz w:val="24"/>
          <w:szCs w:val="24"/>
        </w:rPr>
        <w:t xml:space="preserve"> </w:t>
      </w:r>
      <w:r w:rsidR="003E79DF" w:rsidRPr="003E79DF">
        <w:rPr>
          <w:rFonts w:ascii="Times New Roman" w:hAnsi="Times New Roman" w:cs="Times New Roman"/>
          <w:sz w:val="24"/>
          <w:szCs w:val="24"/>
        </w:rPr>
        <w:t>(</w:t>
      </w:r>
      <w:proofErr w:type="spellStart"/>
      <w:r w:rsidR="003E79DF" w:rsidRPr="003E79DF">
        <w:rPr>
          <w:rFonts w:ascii="Times New Roman" w:hAnsi="Times New Roman" w:cs="Times New Roman"/>
          <w:sz w:val="24"/>
          <w:szCs w:val="24"/>
        </w:rPr>
        <w:t>Nazifi</w:t>
      </w:r>
      <w:proofErr w:type="spellEnd"/>
      <w:r w:rsidR="003E79DF" w:rsidRPr="003E79DF">
        <w:rPr>
          <w:rFonts w:ascii="Times New Roman" w:hAnsi="Times New Roman" w:cs="Times New Roman"/>
          <w:sz w:val="24"/>
          <w:szCs w:val="24"/>
        </w:rPr>
        <w:t xml:space="preserve"> et al., 2020)</w:t>
      </w:r>
      <w:r w:rsidRPr="003D3DDF">
        <w:rPr>
          <w:rFonts w:ascii="Times New Roman" w:hAnsi="Times New Roman" w:cs="Times New Roman"/>
          <w:sz w:val="24"/>
          <w:szCs w:val="24"/>
        </w:rPr>
        <w:t>.</w:t>
      </w:r>
    </w:p>
    <w:p w14:paraId="7DA2C0CF" w14:textId="77777777"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Drip Pricing, Resort Fees and Consumer Harm.</w:t>
      </w:r>
    </w:p>
    <w:p w14:paraId="67CBD2F6" w14:textId="268C4438"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Drip pricing is performed in a series to reveal compulsory charges in the bookings process, a feature that researchers differentiate with plain partitioned pricing; it is associated with high search expenses, distortion of choices, and lack of transparency in the prices in the hospitality channel. The FTC investigation of resort fees in the United States proves that separate, late-stage revelations raise consumer mental load and compromise the ability to shop comparatively leading to higher effective prices as compared to the starting offerings on hotel and internet travel agency websites. Empirical and field research in the hospitality industry suggests that consumers punish companies when they use drip pricing both in intention and satisfaction, but certain design decisions, like base-price formatting, can mediate the response to upgrades and surcharges. Platform design Economic forms can explain how drip pricing may be strategically used to maximize engagement or conversion and thus maintain a competitive relationship that enables late-fee revelation when no coordinated standards or enforcement are implemented</w:t>
      </w:r>
      <w:r w:rsidR="00DE317C">
        <w:rPr>
          <w:rFonts w:ascii="Times New Roman" w:hAnsi="Times New Roman" w:cs="Times New Roman"/>
          <w:sz w:val="24"/>
          <w:szCs w:val="24"/>
        </w:rPr>
        <w:t xml:space="preserve"> </w:t>
      </w:r>
      <w:r w:rsidR="00DE317C" w:rsidRPr="00DE317C">
        <w:rPr>
          <w:rFonts w:ascii="Times New Roman" w:hAnsi="Times New Roman" w:cs="Times New Roman"/>
          <w:sz w:val="24"/>
          <w:szCs w:val="24"/>
        </w:rPr>
        <w:t>(Li, 2024)</w:t>
      </w:r>
      <w:r w:rsidRPr="003D3DDF">
        <w:rPr>
          <w:rFonts w:ascii="Times New Roman" w:hAnsi="Times New Roman" w:cs="Times New Roman"/>
          <w:sz w:val="24"/>
          <w:szCs w:val="24"/>
        </w:rPr>
        <w:t>.</w:t>
      </w:r>
      <w:r w:rsidR="00DE317C">
        <w:rPr>
          <w:rFonts w:ascii="Times New Roman" w:hAnsi="Times New Roman" w:cs="Times New Roman"/>
          <w:sz w:val="24"/>
          <w:szCs w:val="24"/>
        </w:rPr>
        <w:t xml:space="preserve"> </w:t>
      </w:r>
    </w:p>
    <w:p w14:paraId="5B27E98E" w14:textId="77777777" w:rsidR="0047482F"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Dark Design in Travel Design</w:t>
      </w:r>
    </w:p>
    <w:p w14:paraId="6C3A434F" w14:textId="6C3FC756"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sz w:val="24"/>
          <w:szCs w:val="24"/>
        </w:rPr>
        <w:t>Empirical research has been able to consistently recognize dark patterns on OTA and airline websites, including downsizing countdown timers, default opt-in, scarcity and social proof cues, and obfuscated opt-out, as associated with efforts to influence consumer decision-making and undermine a sense of fairness and agency. Other studies establish that a dark pattern reduces the perceived fairness and has a negative impact on the attitude toward OTAs, which is indicative of general consumer opposition and increasing policy pressure around misleading design in the online market. Legal-tech reviews document the taxonomy of dark patterns across industries and promote the design accountability models that incorporate both legal regulatory specifications and user-friendly interface principles to reduce the effect of deceptive or manipulative flow booking</w:t>
      </w:r>
      <w:r w:rsidR="0089522F">
        <w:rPr>
          <w:rFonts w:ascii="Times New Roman" w:hAnsi="Times New Roman" w:cs="Times New Roman"/>
          <w:sz w:val="24"/>
          <w:szCs w:val="24"/>
        </w:rPr>
        <w:t xml:space="preserve"> </w:t>
      </w:r>
      <w:r w:rsidR="0089522F" w:rsidRPr="0089522F">
        <w:rPr>
          <w:rFonts w:ascii="Times New Roman" w:hAnsi="Times New Roman" w:cs="Times New Roman"/>
          <w:sz w:val="24"/>
          <w:szCs w:val="24"/>
        </w:rPr>
        <w:t>(Kim et al., 2023)</w:t>
      </w:r>
      <w:r w:rsidR="0089522F">
        <w:rPr>
          <w:rFonts w:ascii="Times New Roman" w:hAnsi="Times New Roman" w:cs="Times New Roman"/>
          <w:sz w:val="24"/>
          <w:szCs w:val="24"/>
        </w:rPr>
        <w:t xml:space="preserve"> </w:t>
      </w:r>
      <w:r w:rsidRPr="003D3DDF">
        <w:rPr>
          <w:rFonts w:ascii="Times New Roman" w:hAnsi="Times New Roman" w:cs="Times New Roman"/>
          <w:sz w:val="24"/>
          <w:szCs w:val="24"/>
        </w:rPr>
        <w:t>.</w:t>
      </w:r>
    </w:p>
    <w:p w14:paraId="62367526" w14:textId="77777777" w:rsidR="0047482F"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Regulatory Environment: Traveler Protection and Transparency</w:t>
      </w:r>
    </w:p>
    <w:p w14:paraId="074BDB44" w14:textId="0EEB40A5"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sz w:val="24"/>
          <w:szCs w:val="24"/>
        </w:rPr>
        <w:t xml:space="preserve">In April 2024, the United States Department of Transportation adopted a regulation to strengthen the initial disclosure of critical airline ancillary fees such as those on checked and carry-on baggage, change, and cancellation fees, to the initial display of fare, moving the fee information off secondary pages and showing it on itinerary-specific and shopper-specific displays wherever possible. The rule itself has been stayed and appealed in parts, which shows that, although the policy direction has an orientation towards transparency, the implementation process is still disputed and changing, especially in terms of procedures needed and applicability to ticket agents and company channels. Directive (EU) 2015/2302 in the European Union </w:t>
      </w:r>
      <w:r w:rsidR="00BC6BAD" w:rsidRPr="003D3DDF">
        <w:rPr>
          <w:rFonts w:ascii="Times New Roman" w:hAnsi="Times New Roman" w:cs="Times New Roman"/>
          <w:sz w:val="24"/>
          <w:szCs w:val="24"/>
        </w:rPr>
        <w:t>standardizes</w:t>
      </w:r>
      <w:r w:rsidRPr="003D3DDF">
        <w:rPr>
          <w:rFonts w:ascii="Times New Roman" w:hAnsi="Times New Roman" w:cs="Times New Roman"/>
          <w:sz w:val="24"/>
          <w:szCs w:val="24"/>
        </w:rPr>
        <w:t xml:space="preserve"> protections of package-travels throughout the single market, requiring the provision of clear pre-contractual information, liability principles and insolvency guarantees to </w:t>
      </w:r>
      <w:r w:rsidR="00BC6BAD" w:rsidRPr="003D3DDF">
        <w:rPr>
          <w:rFonts w:ascii="Times New Roman" w:hAnsi="Times New Roman" w:cs="Times New Roman"/>
          <w:sz w:val="24"/>
          <w:szCs w:val="24"/>
        </w:rPr>
        <w:t>organizers</w:t>
      </w:r>
      <w:r w:rsidRPr="003D3DDF">
        <w:rPr>
          <w:rFonts w:ascii="Times New Roman" w:hAnsi="Times New Roman" w:cs="Times New Roman"/>
          <w:sz w:val="24"/>
          <w:szCs w:val="24"/>
        </w:rPr>
        <w:t xml:space="preserve">, with further reviews to reinforce rights in situations caused by the pandemic. These control regimes - in harmony with consumer-law protection by State agencies - </w:t>
      </w:r>
      <w:r w:rsidR="00BC6BAD" w:rsidRPr="003D3DDF">
        <w:rPr>
          <w:rFonts w:ascii="Times New Roman" w:hAnsi="Times New Roman" w:cs="Times New Roman"/>
          <w:sz w:val="24"/>
          <w:szCs w:val="24"/>
        </w:rPr>
        <w:t>instill</w:t>
      </w:r>
      <w:r w:rsidRPr="003D3DDF">
        <w:rPr>
          <w:rFonts w:ascii="Times New Roman" w:hAnsi="Times New Roman" w:cs="Times New Roman"/>
          <w:sz w:val="24"/>
          <w:szCs w:val="24"/>
        </w:rPr>
        <w:t xml:space="preserve"> some predictability over national pricing disclosure, cancellations, refunds, and truthfulness of advertising, which directly limiting aggressive marketing in the tourism sector</w:t>
      </w:r>
      <w:r w:rsidR="00332607">
        <w:rPr>
          <w:rFonts w:ascii="Times New Roman" w:hAnsi="Times New Roman" w:cs="Times New Roman"/>
          <w:sz w:val="24"/>
          <w:szCs w:val="24"/>
        </w:rPr>
        <w:t xml:space="preserve"> </w:t>
      </w:r>
      <w:r w:rsidR="00332607" w:rsidRPr="00332607">
        <w:rPr>
          <w:rFonts w:ascii="Times New Roman" w:hAnsi="Times New Roman" w:cs="Times New Roman"/>
          <w:sz w:val="24"/>
          <w:szCs w:val="24"/>
        </w:rPr>
        <w:t>(THE EUROPEAN PARLIAMENT AND THE COUNCIL OF THE EUROPEAN UNION, 2015)</w:t>
      </w:r>
      <w:r w:rsidRPr="003D3DDF">
        <w:rPr>
          <w:rFonts w:ascii="Times New Roman" w:hAnsi="Times New Roman" w:cs="Times New Roman"/>
          <w:sz w:val="24"/>
          <w:szCs w:val="24"/>
        </w:rPr>
        <w:t>.</w:t>
      </w:r>
    </w:p>
    <w:p w14:paraId="773E4B9B" w14:textId="5E390C58"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Hospitality Ethics and Sales Governance</w:t>
      </w:r>
    </w:p>
    <w:p w14:paraId="57872E88" w14:textId="44CD1010" w:rsidR="0047482F"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The literature on hospitality ethics and ethical leadership underscores the significance of </w:t>
      </w:r>
      <w:r w:rsidR="00BC6BAD" w:rsidRPr="003D3DDF">
        <w:rPr>
          <w:rFonts w:ascii="Times New Roman" w:hAnsi="Times New Roman" w:cs="Times New Roman"/>
          <w:sz w:val="24"/>
          <w:szCs w:val="24"/>
        </w:rPr>
        <w:t>organizational</w:t>
      </w:r>
      <w:r w:rsidRPr="003D3DDF">
        <w:rPr>
          <w:rFonts w:ascii="Times New Roman" w:hAnsi="Times New Roman" w:cs="Times New Roman"/>
          <w:sz w:val="24"/>
          <w:szCs w:val="24"/>
        </w:rPr>
        <w:t xml:space="preserve"> ethical climate in reducing unethical sales and staff </w:t>
      </w:r>
      <w:r w:rsidR="00BC6BAD" w:rsidRPr="003D3DDF">
        <w:rPr>
          <w:rFonts w:ascii="Times New Roman" w:hAnsi="Times New Roman" w:cs="Times New Roman"/>
          <w:sz w:val="24"/>
          <w:szCs w:val="24"/>
        </w:rPr>
        <w:t>behavior</w:t>
      </w:r>
      <w:r w:rsidRPr="003D3DDF">
        <w:rPr>
          <w:rFonts w:ascii="Times New Roman" w:hAnsi="Times New Roman" w:cs="Times New Roman"/>
          <w:sz w:val="24"/>
          <w:szCs w:val="24"/>
        </w:rPr>
        <w:t xml:space="preserve">, that culture and leadership intervention may re-focus frontline incentive on transparent and equitable selling </w:t>
      </w:r>
      <w:r w:rsidR="00BC6BAD" w:rsidRPr="003D3DDF">
        <w:rPr>
          <w:rFonts w:ascii="Times New Roman" w:hAnsi="Times New Roman" w:cs="Times New Roman"/>
          <w:sz w:val="24"/>
          <w:szCs w:val="24"/>
        </w:rPr>
        <w:t>behavior</w:t>
      </w:r>
      <w:r w:rsidRPr="003D3DDF">
        <w:rPr>
          <w:rFonts w:ascii="Times New Roman" w:hAnsi="Times New Roman" w:cs="Times New Roman"/>
          <w:sz w:val="24"/>
          <w:szCs w:val="24"/>
        </w:rPr>
        <w:t xml:space="preserve">. Service-recovery-scholarship based on the justice theory shows that distributive (outcome), procedural (process), and interactional (communication) justice together affect post-failure-satisfaction and word-of-mouth, which offers a framework of ethical compensations and communication policies within sales-related failures (including overbooking or mispricing). Studies of loyalty </w:t>
      </w:r>
      <w:r w:rsidR="00BC6BAD" w:rsidRPr="003D3DDF">
        <w:rPr>
          <w:rFonts w:ascii="Times New Roman" w:hAnsi="Times New Roman" w:cs="Times New Roman"/>
          <w:sz w:val="24"/>
          <w:szCs w:val="24"/>
        </w:rPr>
        <w:t>programmers</w:t>
      </w:r>
      <w:r w:rsidRPr="003D3DDF">
        <w:rPr>
          <w:rFonts w:ascii="Times New Roman" w:hAnsi="Times New Roman" w:cs="Times New Roman"/>
          <w:sz w:val="24"/>
          <w:szCs w:val="24"/>
        </w:rPr>
        <w:t xml:space="preserve"> and revenue management </w:t>
      </w:r>
      <w:r w:rsidR="00BC6BAD" w:rsidRPr="003D3DDF">
        <w:rPr>
          <w:rFonts w:ascii="Times New Roman" w:hAnsi="Times New Roman" w:cs="Times New Roman"/>
          <w:sz w:val="24"/>
          <w:szCs w:val="24"/>
        </w:rPr>
        <w:t>emphasize</w:t>
      </w:r>
      <w:r w:rsidRPr="003D3DDF">
        <w:rPr>
          <w:rFonts w:ascii="Times New Roman" w:hAnsi="Times New Roman" w:cs="Times New Roman"/>
          <w:sz w:val="24"/>
          <w:szCs w:val="24"/>
        </w:rPr>
        <w:t xml:space="preserve"> trust and perceived value as mediators of long-term loyalty and the results show, opaque </w:t>
      </w:r>
      <w:r w:rsidR="00BC6BAD" w:rsidRPr="003D3DDF">
        <w:rPr>
          <w:rFonts w:ascii="Times New Roman" w:hAnsi="Times New Roman" w:cs="Times New Roman"/>
          <w:sz w:val="24"/>
          <w:szCs w:val="24"/>
        </w:rPr>
        <w:t>monetization</w:t>
      </w:r>
      <w:r w:rsidRPr="003D3DDF">
        <w:rPr>
          <w:rFonts w:ascii="Times New Roman" w:hAnsi="Times New Roman" w:cs="Times New Roman"/>
          <w:sz w:val="24"/>
          <w:szCs w:val="24"/>
        </w:rPr>
        <w:t xml:space="preserve"> demeans the same relationship assets which facilitate repeat sales and reduce acquisition costs</w:t>
      </w:r>
      <w:r w:rsidR="00852CAE">
        <w:rPr>
          <w:rFonts w:ascii="Times New Roman" w:hAnsi="Times New Roman" w:cs="Times New Roman"/>
          <w:sz w:val="24"/>
          <w:szCs w:val="24"/>
        </w:rPr>
        <w:t xml:space="preserve"> </w:t>
      </w:r>
      <w:r w:rsidR="00852CAE" w:rsidRPr="00852CAE">
        <w:rPr>
          <w:rFonts w:ascii="Times New Roman" w:hAnsi="Times New Roman" w:cs="Times New Roman"/>
          <w:sz w:val="24"/>
          <w:szCs w:val="24"/>
        </w:rPr>
        <w:t>(Koo et al., 2019)</w:t>
      </w:r>
      <w:r w:rsidRPr="003D3DDF">
        <w:rPr>
          <w:rFonts w:ascii="Times New Roman" w:hAnsi="Times New Roman" w:cs="Times New Roman"/>
          <w:sz w:val="24"/>
          <w:szCs w:val="24"/>
        </w:rPr>
        <w:t>.</w:t>
      </w:r>
    </w:p>
    <w:p w14:paraId="1DFD3E68" w14:textId="77777777" w:rsidR="00623113" w:rsidRPr="003D3DDF" w:rsidRDefault="00623113" w:rsidP="003D3DDF">
      <w:pPr>
        <w:pStyle w:val="Heading1"/>
        <w:spacing w:line="480" w:lineRule="auto"/>
        <w:rPr>
          <w:b/>
          <w:bCs/>
          <w:sz w:val="28"/>
          <w:szCs w:val="28"/>
        </w:rPr>
      </w:pPr>
      <w:bookmarkStart w:id="3" w:name="_Toc212123252"/>
      <w:r w:rsidRPr="003D3DDF">
        <w:rPr>
          <w:b/>
          <w:bCs/>
          <w:sz w:val="28"/>
          <w:szCs w:val="28"/>
        </w:rPr>
        <w:t>Methodology</w:t>
      </w:r>
      <w:bookmarkEnd w:id="3"/>
      <w:r w:rsidRPr="003D3DDF">
        <w:rPr>
          <w:b/>
          <w:bCs/>
          <w:sz w:val="28"/>
          <w:szCs w:val="28"/>
        </w:rPr>
        <w:t xml:space="preserve">  </w:t>
      </w:r>
    </w:p>
    <w:p w14:paraId="174FEC42" w14:textId="00A1F499"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This paper will take a qualitative, integrative review and policy-synthesis approach to chart ethical risks in tourism sales to evidence-based managerial reaction and regulatory anticipations in airlines, hotels, and intermediaries. The review </w:t>
      </w:r>
      <w:r w:rsidR="00BC6BAD" w:rsidRPr="003D3DDF">
        <w:rPr>
          <w:rFonts w:ascii="Times New Roman" w:hAnsi="Times New Roman" w:cs="Times New Roman"/>
          <w:sz w:val="24"/>
          <w:szCs w:val="24"/>
        </w:rPr>
        <w:t>summarizes</w:t>
      </w:r>
      <w:r w:rsidRPr="003D3DDF">
        <w:rPr>
          <w:rFonts w:ascii="Times New Roman" w:hAnsi="Times New Roman" w:cs="Times New Roman"/>
          <w:sz w:val="24"/>
          <w:szCs w:val="24"/>
        </w:rPr>
        <w:t xml:space="preserve"> the peer-reviewed studies of the overbooking and service recovery, pricing and fee disclosure, and dark patterns, regulatory literature and agency communications shaping the transparency and consumer rights in travel transactions</w:t>
      </w:r>
      <w:r w:rsidR="00DC3697">
        <w:rPr>
          <w:rFonts w:ascii="Times New Roman" w:hAnsi="Times New Roman" w:cs="Times New Roman"/>
          <w:sz w:val="24"/>
          <w:szCs w:val="24"/>
        </w:rPr>
        <w:t xml:space="preserve"> </w:t>
      </w:r>
      <w:r w:rsidR="00DC3697" w:rsidRPr="00DC3697">
        <w:rPr>
          <w:rFonts w:ascii="Times New Roman" w:hAnsi="Times New Roman" w:cs="Times New Roman"/>
          <w:sz w:val="24"/>
          <w:szCs w:val="24"/>
        </w:rPr>
        <w:t>(Sullivan et al., 2017)</w:t>
      </w:r>
      <w:r w:rsidRPr="003D3DDF">
        <w:rPr>
          <w:rFonts w:ascii="Times New Roman" w:hAnsi="Times New Roman" w:cs="Times New Roman"/>
          <w:sz w:val="24"/>
          <w:szCs w:val="24"/>
        </w:rPr>
        <w:t xml:space="preserve">.  </w:t>
      </w:r>
    </w:p>
    <w:p w14:paraId="30321562" w14:textId="77777777"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Selection and inclusion criteria of the sources.  </w:t>
      </w:r>
    </w:p>
    <w:p w14:paraId="0C6B165D" w14:textId="70EC79BF"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The use of academic sources was selective based on the credibility of publications and other publishing houses dealing with marketing, tourism, hospitality and economics and information systems with accent on the empirical evidence on consumer reaction, perceptions of justice and the resultant </w:t>
      </w:r>
      <w:r w:rsidR="00BC6BAD" w:rsidRPr="003D3DDF">
        <w:rPr>
          <w:rFonts w:ascii="Times New Roman" w:hAnsi="Times New Roman" w:cs="Times New Roman"/>
          <w:sz w:val="24"/>
          <w:szCs w:val="24"/>
        </w:rPr>
        <w:t>behaviors</w:t>
      </w:r>
      <w:r w:rsidRPr="003D3DDF">
        <w:rPr>
          <w:rFonts w:ascii="Times New Roman" w:hAnsi="Times New Roman" w:cs="Times New Roman"/>
          <w:sz w:val="24"/>
          <w:szCs w:val="24"/>
        </w:rPr>
        <w:t xml:space="preserve"> in relation to sales ethics. The sources of policy included primary regulatory texts and governmental summaries on the disclosures of ancillary fees and package-travel protections in order to embrace enforceable requirements and rule-making and enforcement direction. The analyses that were included adjacent to the industry were selectively added to place in perspective the </w:t>
      </w:r>
      <w:r w:rsidR="00BC6BAD" w:rsidRPr="003D3DDF">
        <w:rPr>
          <w:rFonts w:ascii="Times New Roman" w:hAnsi="Times New Roman" w:cs="Times New Roman"/>
          <w:sz w:val="24"/>
          <w:szCs w:val="24"/>
        </w:rPr>
        <w:t>operationalization</w:t>
      </w:r>
      <w:r w:rsidRPr="003D3DDF">
        <w:rPr>
          <w:rFonts w:ascii="Times New Roman" w:hAnsi="Times New Roman" w:cs="Times New Roman"/>
          <w:sz w:val="24"/>
          <w:szCs w:val="24"/>
        </w:rPr>
        <w:t xml:space="preserve"> of fees and their perceived effects, although such views had to be supported by peer-reviewed evidence</w:t>
      </w:r>
      <w:r w:rsidR="002243CD">
        <w:rPr>
          <w:rFonts w:ascii="Times New Roman" w:hAnsi="Times New Roman" w:cs="Times New Roman"/>
          <w:sz w:val="24"/>
          <w:szCs w:val="24"/>
        </w:rPr>
        <w:t xml:space="preserve"> </w:t>
      </w:r>
      <w:r w:rsidR="002243CD" w:rsidRPr="002243CD">
        <w:rPr>
          <w:rFonts w:ascii="Times New Roman" w:hAnsi="Times New Roman" w:cs="Times New Roman"/>
          <w:sz w:val="24"/>
          <w:szCs w:val="24"/>
        </w:rPr>
        <w:t>(THE EUROPEAN PARLIAMENT AND THE COUNCIL OF THE EUROPEAN UNION, 2015)</w:t>
      </w:r>
      <w:r w:rsidR="002243CD">
        <w:rPr>
          <w:rFonts w:ascii="Times New Roman" w:hAnsi="Times New Roman" w:cs="Times New Roman"/>
          <w:sz w:val="24"/>
          <w:szCs w:val="24"/>
        </w:rPr>
        <w:t xml:space="preserve"> </w:t>
      </w:r>
      <w:r w:rsidRPr="003D3DDF">
        <w:rPr>
          <w:rFonts w:ascii="Times New Roman" w:hAnsi="Times New Roman" w:cs="Times New Roman"/>
          <w:sz w:val="24"/>
          <w:szCs w:val="24"/>
        </w:rPr>
        <w:t xml:space="preserve">.  </w:t>
      </w:r>
    </w:p>
    <w:p w14:paraId="21E671E7" w14:textId="77777777" w:rsidR="00623113" w:rsidRPr="003D3DDF" w:rsidRDefault="00623113"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Analytical framework  </w:t>
      </w:r>
    </w:p>
    <w:p w14:paraId="20AC6178" w14:textId="08159DE1"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The analytical framework will incorporate three lenses that are interdependent: (1) fairness and justice in service recovery, as it addresses how to ethically manage the deliberate service failures like overbooking; (2) transparency and informed consent, as it reviews how to present the information about prices, fee disclosures, and interface design; and (3) trust and relationship outcomes, as it evaluates the long-term impacts of the sales tactics on the loyalty and reputational capital. These lenses were used in </w:t>
      </w:r>
      <w:r w:rsidR="00BC6BAD" w:rsidRPr="003D3DDF">
        <w:rPr>
          <w:rFonts w:ascii="Times New Roman" w:hAnsi="Times New Roman" w:cs="Times New Roman"/>
          <w:sz w:val="24"/>
          <w:szCs w:val="24"/>
        </w:rPr>
        <w:t>categorizing</w:t>
      </w:r>
      <w:r w:rsidRPr="003D3DDF">
        <w:rPr>
          <w:rFonts w:ascii="Times New Roman" w:hAnsi="Times New Roman" w:cs="Times New Roman"/>
          <w:sz w:val="24"/>
          <w:szCs w:val="24"/>
        </w:rPr>
        <w:t xml:space="preserve"> practices as ethically acceptable, conditionally acceptable with safeguards, high-risk and generating governance recommendations based on policy compliance, user-experience standards and recovery economics</w:t>
      </w:r>
      <w:r w:rsidR="00D830CA">
        <w:rPr>
          <w:rFonts w:ascii="Times New Roman" w:hAnsi="Times New Roman" w:cs="Times New Roman"/>
          <w:sz w:val="24"/>
          <w:szCs w:val="24"/>
        </w:rPr>
        <w:t xml:space="preserve"> </w:t>
      </w:r>
      <w:r w:rsidR="00D830CA" w:rsidRPr="00D830CA">
        <w:rPr>
          <w:rFonts w:ascii="Times New Roman" w:hAnsi="Times New Roman" w:cs="Times New Roman"/>
          <w:sz w:val="24"/>
          <w:szCs w:val="24"/>
        </w:rPr>
        <w:t>(</w:t>
      </w:r>
      <w:proofErr w:type="spellStart"/>
      <w:r w:rsidR="00D830CA" w:rsidRPr="00D830CA">
        <w:rPr>
          <w:rFonts w:ascii="Times New Roman" w:hAnsi="Times New Roman" w:cs="Times New Roman"/>
          <w:sz w:val="24"/>
          <w:szCs w:val="24"/>
        </w:rPr>
        <w:t>Totzek</w:t>
      </w:r>
      <w:proofErr w:type="spellEnd"/>
      <w:r w:rsidR="00D830CA" w:rsidRPr="00D830CA">
        <w:rPr>
          <w:rFonts w:ascii="Times New Roman" w:hAnsi="Times New Roman" w:cs="Times New Roman"/>
          <w:sz w:val="24"/>
          <w:szCs w:val="24"/>
        </w:rPr>
        <w:t xml:space="preserve"> &amp; Jurgensen, 2020)</w:t>
      </w:r>
      <w:r w:rsidRPr="003D3DDF">
        <w:rPr>
          <w:rFonts w:ascii="Times New Roman" w:hAnsi="Times New Roman" w:cs="Times New Roman"/>
          <w:sz w:val="24"/>
          <w:szCs w:val="24"/>
        </w:rPr>
        <w:t xml:space="preserve">.  </w:t>
      </w:r>
    </w:p>
    <w:p w14:paraId="7232D051" w14:textId="5DEE6CB9" w:rsidR="00623113"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b/>
          <w:bCs/>
          <w:sz w:val="24"/>
          <w:szCs w:val="24"/>
        </w:rPr>
        <w:t xml:space="preserve">Validity and limitations </w:t>
      </w:r>
      <w:r w:rsidR="00D71B2D">
        <w:rPr>
          <w:rFonts w:ascii="Times New Roman" w:hAnsi="Times New Roman" w:cs="Times New Roman"/>
          <w:b/>
          <w:bCs/>
          <w:sz w:val="24"/>
          <w:szCs w:val="24"/>
        </w:rPr>
        <w:t>:</w:t>
      </w:r>
      <w:r w:rsidRPr="003D3DDF">
        <w:rPr>
          <w:rFonts w:ascii="Times New Roman" w:hAnsi="Times New Roman" w:cs="Times New Roman"/>
          <w:b/>
          <w:bCs/>
          <w:sz w:val="24"/>
          <w:szCs w:val="24"/>
        </w:rPr>
        <w:t xml:space="preserve"> </w:t>
      </w:r>
      <w:r w:rsidRPr="003D3DDF">
        <w:rPr>
          <w:rFonts w:ascii="Times New Roman" w:hAnsi="Times New Roman" w:cs="Times New Roman"/>
          <w:sz w:val="24"/>
          <w:szCs w:val="24"/>
        </w:rPr>
        <w:t xml:space="preserve">The more the research </w:t>
      </w:r>
      <w:proofErr w:type="gramStart"/>
      <w:r w:rsidRPr="003D3DDF">
        <w:rPr>
          <w:rFonts w:ascii="Times New Roman" w:hAnsi="Times New Roman" w:cs="Times New Roman"/>
          <w:sz w:val="24"/>
          <w:szCs w:val="24"/>
        </w:rPr>
        <w:t>is</w:t>
      </w:r>
      <w:proofErr w:type="gramEnd"/>
      <w:r w:rsidRPr="003D3DDF">
        <w:rPr>
          <w:rFonts w:ascii="Times New Roman" w:hAnsi="Times New Roman" w:cs="Times New Roman"/>
          <w:sz w:val="24"/>
          <w:szCs w:val="24"/>
        </w:rPr>
        <w:t xml:space="preserve"> documented and based on regulatory frameworks, the increased are the external validity of the general principles derived. However, the applied contextual difference can affect the practicability and effectiveness of particular interventions, especially with the current legal scrutiny of transparency regulations in the U.S. airline industry. The body of research on dark patterns and drip pricing is growing but still in the phase of taxonomizing and identifying cause-and-effect relationships in the travel industry, which requires the publication of updates on a regular basis as enforcement and design practices evolve. Although the synthesis is case-agnostic, sector examples are also provided; the effects of firm-level performance, however, depend on brand positioning, competitive forces, and customer structure</w:t>
      </w:r>
      <w:r w:rsidR="001576E3">
        <w:rPr>
          <w:rFonts w:ascii="Times New Roman" w:hAnsi="Times New Roman" w:cs="Times New Roman"/>
          <w:sz w:val="24"/>
          <w:szCs w:val="24"/>
        </w:rPr>
        <w:t xml:space="preserve"> </w:t>
      </w:r>
      <w:r w:rsidR="001576E3" w:rsidRPr="001576E3">
        <w:rPr>
          <w:rFonts w:ascii="Times New Roman" w:hAnsi="Times New Roman" w:cs="Times New Roman"/>
          <w:sz w:val="24"/>
          <w:szCs w:val="24"/>
        </w:rPr>
        <w:t>(Lim &amp; Ok, 2022)</w:t>
      </w:r>
      <w:r w:rsidRPr="003D3DDF">
        <w:rPr>
          <w:rFonts w:ascii="Times New Roman" w:hAnsi="Times New Roman" w:cs="Times New Roman"/>
          <w:sz w:val="24"/>
          <w:szCs w:val="24"/>
        </w:rPr>
        <w:t xml:space="preserve">.  </w:t>
      </w:r>
    </w:p>
    <w:p w14:paraId="78CB3296" w14:textId="3CB2DB80" w:rsidR="0047482F" w:rsidRPr="003D3DDF" w:rsidRDefault="00623113" w:rsidP="003D3DDF">
      <w:pPr>
        <w:spacing w:line="480" w:lineRule="auto"/>
        <w:rPr>
          <w:rFonts w:ascii="Times New Roman" w:hAnsi="Times New Roman" w:cs="Times New Roman"/>
          <w:sz w:val="24"/>
          <w:szCs w:val="24"/>
        </w:rPr>
      </w:pPr>
      <w:r w:rsidRPr="003D3DDF">
        <w:rPr>
          <w:rFonts w:ascii="Times New Roman" w:hAnsi="Times New Roman" w:cs="Times New Roman"/>
          <w:b/>
          <w:bCs/>
          <w:sz w:val="24"/>
          <w:szCs w:val="24"/>
        </w:rPr>
        <w:t xml:space="preserve">Ethical stance </w:t>
      </w:r>
      <w:r w:rsidR="00D71B2D">
        <w:rPr>
          <w:rFonts w:ascii="Times New Roman" w:hAnsi="Times New Roman" w:cs="Times New Roman"/>
          <w:b/>
          <w:bCs/>
          <w:sz w:val="24"/>
          <w:szCs w:val="24"/>
        </w:rPr>
        <w:t>:</w:t>
      </w:r>
      <w:r w:rsidRPr="003D3DDF">
        <w:rPr>
          <w:rFonts w:ascii="Times New Roman" w:hAnsi="Times New Roman" w:cs="Times New Roman"/>
          <w:b/>
          <w:bCs/>
          <w:sz w:val="24"/>
          <w:szCs w:val="24"/>
        </w:rPr>
        <w:t xml:space="preserve"> </w:t>
      </w:r>
      <w:r w:rsidRPr="003D3DDF">
        <w:rPr>
          <w:rFonts w:ascii="Times New Roman" w:hAnsi="Times New Roman" w:cs="Times New Roman"/>
          <w:sz w:val="24"/>
          <w:szCs w:val="24"/>
        </w:rPr>
        <w:t>The methodology works on the assumption that truthful disclosure, avoiding unnecessary harm and procedural fairness are minimum requirements of ethical sales in accordance to the justice theory, consumer protection objectives and ethical leadership studies in hospitality. It presupposes that the profitability in the long run will be supported by the transparent practices which will foster trust and minimize the cost of recovery as well as acquiring other firms, despite the temptation of short-term increases in revenues which can incite the firms to use the opaque methods</w:t>
      </w:r>
      <w:r w:rsidR="00D71B2D">
        <w:rPr>
          <w:rFonts w:ascii="Times New Roman" w:hAnsi="Times New Roman" w:cs="Times New Roman"/>
          <w:sz w:val="24"/>
          <w:szCs w:val="24"/>
        </w:rPr>
        <w:t xml:space="preserve"> </w:t>
      </w:r>
      <w:r w:rsidR="00D71B2D" w:rsidRPr="00D71B2D">
        <w:rPr>
          <w:rFonts w:ascii="Times New Roman" w:hAnsi="Times New Roman" w:cs="Times New Roman"/>
          <w:sz w:val="24"/>
          <w:szCs w:val="24"/>
        </w:rPr>
        <w:t>(Koo et al., 2019)</w:t>
      </w:r>
      <w:r w:rsidR="00D71B2D">
        <w:rPr>
          <w:rFonts w:ascii="Times New Roman" w:hAnsi="Times New Roman" w:cs="Times New Roman"/>
          <w:sz w:val="24"/>
          <w:szCs w:val="24"/>
        </w:rPr>
        <w:t xml:space="preserve"> </w:t>
      </w:r>
      <w:r w:rsidRPr="003D3DDF">
        <w:rPr>
          <w:rFonts w:ascii="Times New Roman" w:hAnsi="Times New Roman" w:cs="Times New Roman"/>
          <w:sz w:val="24"/>
          <w:szCs w:val="24"/>
        </w:rPr>
        <w:t xml:space="preserve">.  </w:t>
      </w:r>
    </w:p>
    <w:p w14:paraId="5833DD8F" w14:textId="2517C05B" w:rsidR="0047482F" w:rsidRPr="003D3DDF" w:rsidRDefault="0047482F" w:rsidP="003D3DDF">
      <w:pPr>
        <w:pStyle w:val="Heading1"/>
        <w:spacing w:line="480" w:lineRule="auto"/>
        <w:rPr>
          <w:b/>
          <w:bCs/>
          <w:sz w:val="28"/>
          <w:szCs w:val="28"/>
        </w:rPr>
      </w:pPr>
      <w:bookmarkStart w:id="4" w:name="_Toc212123253"/>
      <w:r w:rsidRPr="003D3DDF">
        <w:rPr>
          <w:b/>
          <w:bCs/>
          <w:sz w:val="28"/>
          <w:szCs w:val="28"/>
        </w:rPr>
        <w:t>Findings</w:t>
      </w:r>
      <w:bookmarkEnd w:id="4"/>
    </w:p>
    <w:p w14:paraId="7D0CEFE7"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Finding 1: Proactive overbooking recovery maintains loyalty as well as reduces the overall risk.  </w:t>
      </w:r>
    </w:p>
    <w:p w14:paraId="745C67E7" w14:textId="76256B46"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Even though overbooking is revenue-maximizing, it is a planned service failure on the side of the customer and therefore makes a recovery strategy essential to achieve results in terms of satisfaction, word-of-mouth and future purchase intention. Passive strategies, where risked flights are identified early, where there is specific outreach to potential volunteers, where compensation schemes are tiered, and where there is assured re-accommodation conditions, are more effective than passive gate denials, perceived distributive, procedural, and interactional justice. Such proactivity has been shown to lower negative electronic word-of-mouth and overall recovery costs than ad hoc bumping thus making ethical management a fairness and a financial necessity in sales-management handbooks. Social-media discourse analyses in crises situations also further reveal that brand-damage because of the perceived ethical breach in bumping causes, which underlies the need to establish pre-confirmed, transparent procedures, which agents can always use</w:t>
      </w:r>
      <w:r w:rsidR="003F141F">
        <w:rPr>
          <w:rFonts w:ascii="Times New Roman" w:hAnsi="Times New Roman" w:cs="Times New Roman"/>
          <w:sz w:val="24"/>
          <w:szCs w:val="24"/>
        </w:rPr>
        <w:t xml:space="preserve"> </w:t>
      </w:r>
      <w:r w:rsidR="003F141F" w:rsidRPr="003F141F">
        <w:rPr>
          <w:rFonts w:ascii="Times New Roman" w:hAnsi="Times New Roman" w:cs="Times New Roman"/>
          <w:sz w:val="24"/>
          <w:szCs w:val="24"/>
        </w:rPr>
        <w:t>(</w:t>
      </w:r>
      <w:proofErr w:type="spellStart"/>
      <w:r w:rsidR="003F141F" w:rsidRPr="003F141F">
        <w:rPr>
          <w:rFonts w:ascii="Times New Roman" w:hAnsi="Times New Roman" w:cs="Times New Roman"/>
          <w:sz w:val="24"/>
          <w:szCs w:val="24"/>
        </w:rPr>
        <w:t>Shlifer</w:t>
      </w:r>
      <w:proofErr w:type="spellEnd"/>
      <w:r w:rsidR="003F141F" w:rsidRPr="003F141F">
        <w:rPr>
          <w:rFonts w:ascii="Times New Roman" w:hAnsi="Times New Roman" w:cs="Times New Roman"/>
          <w:sz w:val="24"/>
          <w:szCs w:val="24"/>
        </w:rPr>
        <w:t xml:space="preserve"> &amp; Vardi, 1975)</w:t>
      </w:r>
      <w:r w:rsidRPr="003D3DDF">
        <w:rPr>
          <w:rFonts w:ascii="Times New Roman" w:hAnsi="Times New Roman" w:cs="Times New Roman"/>
          <w:sz w:val="24"/>
          <w:szCs w:val="24"/>
        </w:rPr>
        <w:t>.</w:t>
      </w:r>
      <w:r w:rsidR="003F141F">
        <w:rPr>
          <w:rFonts w:ascii="Times New Roman" w:hAnsi="Times New Roman" w:cs="Times New Roman"/>
          <w:sz w:val="24"/>
          <w:szCs w:val="24"/>
        </w:rPr>
        <w:t xml:space="preserve"> </w:t>
      </w:r>
    </w:p>
    <w:p w14:paraId="773960BC"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Findings 2: Drip pricing and resort charges increase the cost of searching and negative perceptions of fairness.  </w:t>
      </w:r>
    </w:p>
    <w:p w14:paraId="6F410022" w14:textId="06903990"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The drip pricing and partitioned pricing of the mandatory surcharges undermine price transparency by allocating the total-cost revelation throughout the purchasing funnel making consumers to underestimate the actual price during the search and comparison process, and thus undermines the operations of the efficient market. The resort fees paid analysis by the Federal Trade Commission explains the effects of late-disclosed, drip prices that augment cognitive and search costs on hotel and online-travel-agency websites and are likely to lead to higher-spent-to-price reactions than originally expected, thus, violating trust at check-out or check-in. Experimental research in travel accommodations supports the analysis that drip pricing negatively affects consumers, with moderating effects depending on presentation formats and situational variables; however, the overall tendency is in favor of policy initiatives to incorporate mandatory charges in the initial price presentation. Platform deception Economic theory suggests that when drip pricing persists is an efficient competitive reaction to the incentives of engagement, and that </w:t>
      </w:r>
      <w:r w:rsidR="00BC6BAD" w:rsidRPr="003D3DDF">
        <w:rPr>
          <w:rFonts w:ascii="Times New Roman" w:hAnsi="Times New Roman" w:cs="Times New Roman"/>
          <w:sz w:val="24"/>
          <w:szCs w:val="24"/>
        </w:rPr>
        <w:t>coordinated</w:t>
      </w:r>
      <w:r w:rsidRPr="003D3DDF">
        <w:rPr>
          <w:rFonts w:ascii="Times New Roman" w:hAnsi="Times New Roman" w:cs="Times New Roman"/>
          <w:sz w:val="24"/>
          <w:szCs w:val="24"/>
        </w:rPr>
        <w:t xml:space="preserve"> standards or regulatory intervention might be necessary to re-set industry equilibria to reflect transparent totals</w:t>
      </w:r>
      <w:r w:rsidR="00823171">
        <w:rPr>
          <w:rFonts w:ascii="Times New Roman" w:hAnsi="Times New Roman" w:cs="Times New Roman"/>
          <w:sz w:val="24"/>
          <w:szCs w:val="24"/>
        </w:rPr>
        <w:t xml:space="preserve"> </w:t>
      </w:r>
      <w:r w:rsidR="00823171" w:rsidRPr="00823171">
        <w:rPr>
          <w:rFonts w:ascii="Times New Roman" w:hAnsi="Times New Roman" w:cs="Times New Roman"/>
          <w:sz w:val="24"/>
          <w:szCs w:val="24"/>
        </w:rPr>
        <w:t>(Li, 2024)</w:t>
      </w:r>
      <w:r w:rsidRPr="003D3DDF">
        <w:rPr>
          <w:rFonts w:ascii="Times New Roman" w:hAnsi="Times New Roman" w:cs="Times New Roman"/>
          <w:sz w:val="24"/>
          <w:szCs w:val="24"/>
        </w:rPr>
        <w:t>.</w:t>
      </w:r>
    </w:p>
    <w:p w14:paraId="76455D3A" w14:textId="7972D065"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Finding 3</w:t>
      </w:r>
      <w:r w:rsidRPr="003D3DDF">
        <w:rPr>
          <w:rFonts w:ascii="Times New Roman" w:hAnsi="Times New Roman" w:cs="Times New Roman"/>
          <w:b/>
          <w:bCs/>
          <w:sz w:val="24"/>
          <w:szCs w:val="24"/>
        </w:rPr>
        <w:t xml:space="preserve">: Fairness and consent Dark booking interfaces are found to be undermining.  </w:t>
      </w:r>
    </w:p>
    <w:p w14:paraId="5E167C4B" w14:textId="31FE42E5"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There are studies of standard dark patterns of online-travel-agencies and airline websites, such as pre-selected add-ons, obfuscated opt-outs, countdown timers and fake social proof, that incline users to making a more expensive choice and purchase extras where they really do not mean that. The fact shows that these strategies reduce the perceived fairness and worsen the attitude towards intermediaries, which puts trust capital at risk and exposes them to regulatory attention as per the consumer law and digital-market regulation. Legal reviews invite overt design regulation and auditing systems to restrict misleading characteristics, and as a consequence, match user experience with consumer-protection ethics and reduce the risk of enforcement</w:t>
      </w:r>
      <w:r w:rsidR="00D0180C">
        <w:rPr>
          <w:rFonts w:ascii="Times New Roman" w:hAnsi="Times New Roman" w:cs="Times New Roman"/>
          <w:sz w:val="24"/>
          <w:szCs w:val="24"/>
        </w:rPr>
        <w:t xml:space="preserve"> </w:t>
      </w:r>
      <w:r w:rsidR="00D0180C" w:rsidRPr="00D0180C">
        <w:rPr>
          <w:rFonts w:ascii="Times New Roman" w:hAnsi="Times New Roman" w:cs="Times New Roman"/>
          <w:sz w:val="24"/>
          <w:szCs w:val="24"/>
        </w:rPr>
        <w:t>(Isola &amp; Esposito, 2025)</w:t>
      </w:r>
      <w:r w:rsidRPr="003D3DDF">
        <w:rPr>
          <w:rFonts w:ascii="Times New Roman" w:hAnsi="Times New Roman" w:cs="Times New Roman"/>
          <w:sz w:val="24"/>
          <w:szCs w:val="24"/>
        </w:rPr>
        <w:t>.</w:t>
      </w:r>
    </w:p>
    <w:p w14:paraId="016F983A" w14:textId="0F87CF1C"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b/>
          <w:bCs/>
          <w:sz w:val="24"/>
          <w:szCs w:val="24"/>
        </w:rPr>
        <w:t xml:space="preserve">Finding 4: Convergence in regulation towards upfront disclosure and look through disclosure of refund, but unequally.  </w:t>
      </w:r>
      <w:r w:rsidRPr="003D3DDF">
        <w:rPr>
          <w:rFonts w:ascii="Times New Roman" w:hAnsi="Times New Roman" w:cs="Times New Roman"/>
          <w:sz w:val="24"/>
          <w:szCs w:val="24"/>
        </w:rPr>
        <w:t xml:space="preserve">The transparency rule on ancillary fees, initially published in 2024 by the U.S. Department of Transportation, will make airlines and ticket agents move a step closer to itinerary-/consumer-specific disclosure of critical fees at the point of sale of baggage and change/cancel policies, to minimize information asymmetry at the point of sale. The continued court cases and blocking regulatory orders prove that, even though there is a power to control unjust or misleading activities, procedural conformity and scope specifics can postpone or rearrange execution schedules, a process that the heads of sales will have to keep a check on. The Package Travel Directive in the European Union has imposed transparent pre-contractual information, the liability of the trader, and the insolvency of the package </w:t>
      </w:r>
      <w:r w:rsidR="00BC6BAD" w:rsidRPr="003D3DDF">
        <w:rPr>
          <w:rFonts w:ascii="Times New Roman" w:hAnsi="Times New Roman" w:cs="Times New Roman"/>
          <w:sz w:val="24"/>
          <w:szCs w:val="24"/>
        </w:rPr>
        <w:t>organizers</w:t>
      </w:r>
      <w:r w:rsidRPr="003D3DDF">
        <w:rPr>
          <w:rFonts w:ascii="Times New Roman" w:hAnsi="Times New Roman" w:cs="Times New Roman"/>
          <w:sz w:val="24"/>
          <w:szCs w:val="24"/>
        </w:rPr>
        <w:t>, which provides a strong minimum standard limiting obscure sales in combined travel products. When combined, these frameworks are an indication of an enforcement pathway that punishes the existence of hidden charges and vague conditions on refund, increasing the business argument of transparent pricing structures</w:t>
      </w:r>
      <w:r w:rsidR="00B61847">
        <w:rPr>
          <w:rFonts w:ascii="Times New Roman" w:hAnsi="Times New Roman" w:cs="Times New Roman"/>
          <w:sz w:val="24"/>
          <w:szCs w:val="24"/>
        </w:rPr>
        <w:t xml:space="preserve"> </w:t>
      </w:r>
      <w:r w:rsidR="00B61847" w:rsidRPr="00B61847">
        <w:rPr>
          <w:rFonts w:ascii="Times New Roman" w:hAnsi="Times New Roman" w:cs="Times New Roman"/>
          <w:sz w:val="24"/>
          <w:szCs w:val="24"/>
        </w:rPr>
        <w:t>(</w:t>
      </w:r>
      <w:proofErr w:type="spellStart"/>
      <w:r w:rsidR="00B61847" w:rsidRPr="00B61847">
        <w:rPr>
          <w:rFonts w:ascii="Times New Roman" w:hAnsi="Times New Roman" w:cs="Times New Roman"/>
          <w:sz w:val="24"/>
          <w:szCs w:val="24"/>
        </w:rPr>
        <w:t>Dalalah</w:t>
      </w:r>
      <w:proofErr w:type="spellEnd"/>
      <w:r w:rsidR="00B61847" w:rsidRPr="00B61847">
        <w:rPr>
          <w:rFonts w:ascii="Times New Roman" w:hAnsi="Times New Roman" w:cs="Times New Roman"/>
          <w:sz w:val="24"/>
          <w:szCs w:val="24"/>
        </w:rPr>
        <w:t xml:space="preserve"> et al., 2020)</w:t>
      </w:r>
      <w:r w:rsidRPr="003D3DDF">
        <w:rPr>
          <w:rFonts w:ascii="Times New Roman" w:hAnsi="Times New Roman" w:cs="Times New Roman"/>
          <w:sz w:val="24"/>
          <w:szCs w:val="24"/>
        </w:rPr>
        <w:t>.</w:t>
      </w:r>
    </w:p>
    <w:p w14:paraId="0B954D07"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Finding 5: Service justice and ethical leadership lead to long-term relationship results.  </w:t>
      </w:r>
    </w:p>
    <w:p w14:paraId="79B8AE90" w14:textId="1281D558"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Hospitality ethics and hospitality leadership research shows that ethical climates suppress unethical </w:t>
      </w:r>
      <w:r w:rsidR="00BC6BAD" w:rsidRPr="003D3DDF">
        <w:rPr>
          <w:rFonts w:ascii="Times New Roman" w:hAnsi="Times New Roman" w:cs="Times New Roman"/>
          <w:sz w:val="24"/>
          <w:szCs w:val="24"/>
        </w:rPr>
        <w:t>behaviors</w:t>
      </w:r>
      <w:r w:rsidRPr="003D3DDF">
        <w:rPr>
          <w:rFonts w:ascii="Times New Roman" w:hAnsi="Times New Roman" w:cs="Times New Roman"/>
          <w:sz w:val="24"/>
          <w:szCs w:val="24"/>
        </w:rPr>
        <w:t xml:space="preserve"> and support standards-congruent sales </w:t>
      </w:r>
      <w:r w:rsidR="00BC6BAD" w:rsidRPr="003D3DDF">
        <w:rPr>
          <w:rFonts w:ascii="Times New Roman" w:hAnsi="Times New Roman" w:cs="Times New Roman"/>
          <w:sz w:val="24"/>
          <w:szCs w:val="24"/>
        </w:rPr>
        <w:t>behavior</w:t>
      </w:r>
      <w:r w:rsidRPr="003D3DDF">
        <w:rPr>
          <w:rFonts w:ascii="Times New Roman" w:hAnsi="Times New Roman" w:cs="Times New Roman"/>
          <w:sz w:val="24"/>
          <w:szCs w:val="24"/>
        </w:rPr>
        <w:t xml:space="preserve">, which explains why frontline staff should be trained, have codes, and incentives aligned. Justice based service recovery promotes satisfaction and positive word of mouth following failure, and distributive, procedural and interactional factors interrelate to produce customer perceptions of fairness and loyalty hence provides a guideline towards ethical recovery in a sale situation. Revenue-management and loyalty studies also indicate that explicit value and credible </w:t>
      </w:r>
      <w:r w:rsidR="00BC6BAD" w:rsidRPr="003D3DDF">
        <w:rPr>
          <w:rFonts w:ascii="Times New Roman" w:hAnsi="Times New Roman" w:cs="Times New Roman"/>
          <w:sz w:val="24"/>
          <w:szCs w:val="24"/>
        </w:rPr>
        <w:t>programmed</w:t>
      </w:r>
      <w:r w:rsidRPr="003D3DDF">
        <w:rPr>
          <w:rFonts w:ascii="Times New Roman" w:hAnsi="Times New Roman" w:cs="Times New Roman"/>
          <w:sz w:val="24"/>
          <w:szCs w:val="24"/>
        </w:rPr>
        <w:t xml:space="preserve"> construction boosts commitment and recurrent purchase implying that oblique charges and disingenuous user-interface plan are counterintuitive to prolonged sale achievement</w:t>
      </w:r>
      <w:r w:rsidR="00485176">
        <w:rPr>
          <w:rFonts w:ascii="Times New Roman" w:hAnsi="Times New Roman" w:cs="Times New Roman"/>
          <w:sz w:val="24"/>
          <w:szCs w:val="24"/>
        </w:rPr>
        <w:t xml:space="preserve"> </w:t>
      </w:r>
      <w:r w:rsidR="00485176" w:rsidRPr="00485176">
        <w:rPr>
          <w:rFonts w:ascii="Times New Roman" w:hAnsi="Times New Roman" w:cs="Times New Roman"/>
          <w:sz w:val="24"/>
          <w:szCs w:val="24"/>
        </w:rPr>
        <w:t>(Lentz et al., 2021)</w:t>
      </w:r>
      <w:r w:rsidRPr="003D3DDF">
        <w:rPr>
          <w:rFonts w:ascii="Times New Roman" w:hAnsi="Times New Roman" w:cs="Times New Roman"/>
          <w:sz w:val="24"/>
          <w:szCs w:val="24"/>
        </w:rPr>
        <w:t>.</w:t>
      </w:r>
    </w:p>
    <w:p w14:paraId="713420D5" w14:textId="7777777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br w:type="page"/>
      </w:r>
    </w:p>
    <w:p w14:paraId="54D2CF2A" w14:textId="0E9E976D" w:rsidR="0047482F" w:rsidRPr="003D3DDF" w:rsidRDefault="0047482F" w:rsidP="003D3DDF">
      <w:pPr>
        <w:pStyle w:val="Heading1"/>
        <w:spacing w:line="480" w:lineRule="auto"/>
        <w:rPr>
          <w:b/>
          <w:bCs/>
          <w:sz w:val="28"/>
          <w:szCs w:val="28"/>
        </w:rPr>
      </w:pPr>
      <w:bookmarkStart w:id="5" w:name="_Toc212123254"/>
      <w:r w:rsidRPr="003D3DDF">
        <w:rPr>
          <w:b/>
          <w:bCs/>
          <w:sz w:val="28"/>
          <w:szCs w:val="28"/>
        </w:rPr>
        <w:t>Discussion</w:t>
      </w:r>
      <w:bookmarkEnd w:id="5"/>
    </w:p>
    <w:p w14:paraId="7678A1A3"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The decision between profitability and trust is not a necessity.  </w:t>
      </w:r>
    </w:p>
    <w:p w14:paraId="0CDDED7E" w14:textId="30585128"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The data on overbooking, drip pricing, dark patterns shows that the design variables can be controlled, including proactivity, disclosure timing, and interface defaults, which can turn the results of the short-term extraction into the transparent value exchange and long-term loyalty. Sales managers have an opportunity to design experiences where the initial price includes compulsory fees and optional add-ons need to be expressly and willingly selected, thus doing away with surprise and complying with new regulatory standards. The integrity-by-design strategy enhances comparison-shopping, minimizes complaints at conversion and decreases expensive recovery interactions and still allows reputable upselling in the context of fair presentation</w:t>
      </w:r>
      <w:r w:rsidR="00B26890">
        <w:rPr>
          <w:rFonts w:ascii="Times New Roman" w:hAnsi="Times New Roman" w:cs="Times New Roman"/>
          <w:sz w:val="24"/>
          <w:szCs w:val="24"/>
        </w:rPr>
        <w:t xml:space="preserve"> </w:t>
      </w:r>
      <w:r w:rsidR="00B26890" w:rsidRPr="00B26890">
        <w:rPr>
          <w:rFonts w:ascii="Times New Roman" w:hAnsi="Times New Roman" w:cs="Times New Roman"/>
          <w:sz w:val="24"/>
          <w:szCs w:val="24"/>
        </w:rPr>
        <w:t>(</w:t>
      </w:r>
      <w:proofErr w:type="spellStart"/>
      <w:r w:rsidR="00B26890" w:rsidRPr="00B26890">
        <w:rPr>
          <w:rFonts w:ascii="Times New Roman" w:hAnsi="Times New Roman" w:cs="Times New Roman"/>
          <w:sz w:val="24"/>
          <w:szCs w:val="24"/>
        </w:rPr>
        <w:t>Johnen</w:t>
      </w:r>
      <w:proofErr w:type="spellEnd"/>
      <w:r w:rsidR="00B26890" w:rsidRPr="00B26890">
        <w:rPr>
          <w:rFonts w:ascii="Times New Roman" w:hAnsi="Times New Roman" w:cs="Times New Roman"/>
          <w:sz w:val="24"/>
          <w:szCs w:val="24"/>
        </w:rPr>
        <w:t xml:space="preserve"> &amp; Somogyi, 2024)</w:t>
      </w:r>
      <w:r w:rsidRPr="003D3DDF">
        <w:rPr>
          <w:rFonts w:ascii="Times New Roman" w:hAnsi="Times New Roman" w:cs="Times New Roman"/>
          <w:sz w:val="24"/>
          <w:szCs w:val="24"/>
        </w:rPr>
        <w:t>.</w:t>
      </w:r>
    </w:p>
    <w:p w14:paraId="6C3E8F66"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Integration of theory of justice into the recovery and sales policy.  </w:t>
      </w:r>
    </w:p>
    <w:p w14:paraId="37104001" w14:textId="32EF7F7A"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Codified playbooks should also regulate intentional service failures, as in overbooking, establishing compensation floors, re-accommodation goals, and compassionate communication rules, theory of translation of justice into frontline practices. The clarity of procedures, which includes the selection of volunteers, increasing offers, finding alternatives, etc., makes the perception of </w:t>
      </w:r>
      <w:r w:rsidR="00BC6BAD" w:rsidRPr="003D3DDF">
        <w:rPr>
          <w:rFonts w:ascii="Times New Roman" w:hAnsi="Times New Roman" w:cs="Times New Roman"/>
          <w:sz w:val="24"/>
          <w:szCs w:val="24"/>
        </w:rPr>
        <w:t>arbitrarily</w:t>
      </w:r>
      <w:r w:rsidRPr="003D3DDF">
        <w:rPr>
          <w:rFonts w:ascii="Times New Roman" w:hAnsi="Times New Roman" w:cs="Times New Roman"/>
          <w:sz w:val="24"/>
          <w:szCs w:val="24"/>
        </w:rPr>
        <w:t xml:space="preserve"> lower and increases procedural justice, whereas the interactional justice is supported by providing clear explanations and apologies. By co-locating these factors into sales training and customer-relationship-management processes, there will be consistency between stations and channels, and thus no ad hoc decision making to create the impression of perceived betrayal and social-media-backlash</w:t>
      </w:r>
      <w:r w:rsidR="004263A2">
        <w:rPr>
          <w:rFonts w:ascii="Times New Roman" w:hAnsi="Times New Roman" w:cs="Times New Roman"/>
          <w:sz w:val="24"/>
          <w:szCs w:val="24"/>
        </w:rPr>
        <w:t xml:space="preserve"> </w:t>
      </w:r>
      <w:r w:rsidR="006C6FD4" w:rsidRPr="006C6FD4">
        <w:rPr>
          <w:rFonts w:ascii="Times New Roman" w:hAnsi="Times New Roman" w:cs="Times New Roman"/>
          <w:sz w:val="24"/>
          <w:szCs w:val="24"/>
        </w:rPr>
        <w:t>(Ma et al., 2019)</w:t>
      </w:r>
      <w:r w:rsidRPr="003D3DDF">
        <w:rPr>
          <w:rFonts w:ascii="Times New Roman" w:hAnsi="Times New Roman" w:cs="Times New Roman"/>
          <w:sz w:val="24"/>
          <w:szCs w:val="24"/>
        </w:rPr>
        <w:t>.</w:t>
      </w:r>
    </w:p>
    <w:p w14:paraId="05743B43" w14:textId="77777777" w:rsidR="0047482F" w:rsidRPr="003D3DDF" w:rsidRDefault="0047482F" w:rsidP="003D3DDF">
      <w:pPr>
        <w:spacing w:line="480" w:lineRule="auto"/>
        <w:rPr>
          <w:rFonts w:ascii="Times New Roman" w:hAnsi="Times New Roman" w:cs="Times New Roman"/>
          <w:sz w:val="24"/>
          <w:szCs w:val="24"/>
        </w:rPr>
      </w:pPr>
    </w:p>
    <w:p w14:paraId="57122519"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Price as competitive strategy: transparency-first.  </w:t>
      </w:r>
    </w:p>
    <w:p w14:paraId="6E260CEA" w14:textId="50E7AA89"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Shifting obligatory costs onto headlines costs can initially seem to decrease apparent price rivalry; however, it can distinguish brands on faith, lessen the desertion of later surprises, and enhance transformation among informed customers, specifically in direct outlets. Empirical evidence indicates that the format of price presentation can also drive the attitude toward upgrade, which suggests that ethical base pricing and value bundles offered as optional extras without manipulation or blatant misleading can be simultaneously provided. Since regulators and platforms are leading toward all-in pricing standards, early adopters can spoil consumer expectations and predetermine compliance expenses, thus preserving brand equity</w:t>
      </w:r>
      <w:r w:rsidR="004263A2">
        <w:rPr>
          <w:rFonts w:ascii="Times New Roman" w:hAnsi="Times New Roman" w:cs="Times New Roman"/>
          <w:sz w:val="24"/>
          <w:szCs w:val="24"/>
        </w:rPr>
        <w:t xml:space="preserve"> </w:t>
      </w:r>
      <w:r w:rsidR="004263A2" w:rsidRPr="004263A2">
        <w:rPr>
          <w:rFonts w:ascii="Times New Roman" w:hAnsi="Times New Roman" w:cs="Times New Roman"/>
          <w:sz w:val="24"/>
          <w:szCs w:val="24"/>
        </w:rPr>
        <w:t>(Li, 2024)</w:t>
      </w:r>
      <w:r w:rsidRPr="003D3DDF">
        <w:rPr>
          <w:rFonts w:ascii="Times New Roman" w:hAnsi="Times New Roman" w:cs="Times New Roman"/>
          <w:sz w:val="24"/>
          <w:szCs w:val="24"/>
        </w:rPr>
        <w:t>.</w:t>
      </w:r>
    </w:p>
    <w:p w14:paraId="251A1EF3"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Dark-pattern free UX as a sales tool.  </w:t>
      </w:r>
    </w:p>
    <w:p w14:paraId="3CAC6EBC" w14:textId="4F7A6903" w:rsidR="00623113"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Pre-check elbows, fabricated urgency, and concealed opt-outs will decrease short-term add-on purchases and enhance the sense of fairness and brand trust to boost higher-quality revenue and reducing the complaints call center. Auditing flows with a prohibited-tactic list could be implemented by instituting a design-governance board consisting of legal, UX, revenue, and compliance audiences, as these audit flows as they approach the border of deception, which is appropriate to evolving legal-technical direction. Open microcopy and gradual revelations that are correct and readable can retain the efficacy of upsell, and still adhere to norms of consent</w:t>
      </w:r>
      <w:r w:rsidR="00F70135">
        <w:rPr>
          <w:rFonts w:ascii="Times New Roman" w:hAnsi="Times New Roman" w:cs="Times New Roman"/>
          <w:sz w:val="24"/>
          <w:szCs w:val="24"/>
        </w:rPr>
        <w:t xml:space="preserve"> </w:t>
      </w:r>
      <w:r w:rsidR="00F70135" w:rsidRPr="00F70135">
        <w:rPr>
          <w:rFonts w:ascii="Times New Roman" w:hAnsi="Times New Roman" w:cs="Times New Roman"/>
          <w:sz w:val="24"/>
          <w:szCs w:val="24"/>
        </w:rPr>
        <w:t>(Kim et al., 2023)</w:t>
      </w:r>
      <w:r w:rsidRPr="003D3DDF">
        <w:rPr>
          <w:rFonts w:ascii="Times New Roman" w:hAnsi="Times New Roman" w:cs="Times New Roman"/>
          <w:sz w:val="24"/>
          <w:szCs w:val="24"/>
        </w:rPr>
        <w:t>.</w:t>
      </w:r>
    </w:p>
    <w:p w14:paraId="53BE38A2" w14:textId="7777777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 xml:space="preserve">Risk management as regulatory alignment.  </w:t>
      </w:r>
    </w:p>
    <w:p w14:paraId="438F82BB" w14:textId="66A33A84" w:rsidR="003D3DD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Since the U.S. ancillary fees regulations are already volatile in nature and the EU package-travel protections help to create a relatively stable floor, multinational operators are encouraged to implement a highest-common-denominator basis of fee disclosure and refund clarity. The purpose of such </w:t>
      </w:r>
      <w:r w:rsidR="00BC6BAD" w:rsidRPr="003D3DDF">
        <w:rPr>
          <w:rFonts w:ascii="Times New Roman" w:hAnsi="Times New Roman" w:cs="Times New Roman"/>
          <w:sz w:val="24"/>
          <w:szCs w:val="24"/>
        </w:rPr>
        <w:t>harmonization</w:t>
      </w:r>
      <w:r w:rsidRPr="003D3DDF">
        <w:rPr>
          <w:rFonts w:ascii="Times New Roman" w:hAnsi="Times New Roman" w:cs="Times New Roman"/>
          <w:sz w:val="24"/>
          <w:szCs w:val="24"/>
        </w:rPr>
        <w:t xml:space="preserve"> is to mitigate the cross-border complexity and risks of enforcement are </w:t>
      </w:r>
      <w:r w:rsidR="00BC6BAD" w:rsidRPr="003D3DDF">
        <w:rPr>
          <w:rFonts w:ascii="Times New Roman" w:hAnsi="Times New Roman" w:cs="Times New Roman"/>
          <w:sz w:val="24"/>
          <w:szCs w:val="24"/>
        </w:rPr>
        <w:t>minimized</w:t>
      </w:r>
      <w:r w:rsidRPr="003D3DDF">
        <w:rPr>
          <w:rFonts w:ascii="Times New Roman" w:hAnsi="Times New Roman" w:cs="Times New Roman"/>
          <w:sz w:val="24"/>
          <w:szCs w:val="24"/>
        </w:rPr>
        <w:t xml:space="preserve">. Communication of compliance Proactive compliance communication, such as </w:t>
      </w:r>
      <w:r w:rsidR="00BC6BAD" w:rsidRPr="003D3DDF">
        <w:rPr>
          <w:rFonts w:ascii="Times New Roman" w:hAnsi="Times New Roman" w:cs="Times New Roman"/>
          <w:sz w:val="24"/>
          <w:szCs w:val="24"/>
        </w:rPr>
        <w:t>summarization</w:t>
      </w:r>
      <w:r w:rsidRPr="003D3DDF">
        <w:rPr>
          <w:rFonts w:ascii="Times New Roman" w:hAnsi="Times New Roman" w:cs="Times New Roman"/>
          <w:sz w:val="24"/>
          <w:szCs w:val="24"/>
        </w:rPr>
        <w:t xml:space="preserve"> of fee policies and refund rights in plain language at the first point of display, can help to mitigate disputes and chargebacks, so it has a direct effect on sales Key Performance Indicators and the distribution cost base. The incorporation of regulatory changes in the revenue and sales governance cycles will provide a fast response to judicial rulings and agency advice, avoiding costly and time-intensive revolutions</w:t>
      </w:r>
      <w:r w:rsidR="00F06F2E">
        <w:rPr>
          <w:rFonts w:ascii="Times New Roman" w:hAnsi="Times New Roman" w:cs="Times New Roman"/>
          <w:sz w:val="24"/>
          <w:szCs w:val="24"/>
        </w:rPr>
        <w:t xml:space="preserve"> </w:t>
      </w:r>
      <w:r w:rsidR="00F06F2E" w:rsidRPr="00F06F2E">
        <w:rPr>
          <w:rFonts w:ascii="Times New Roman" w:hAnsi="Times New Roman" w:cs="Times New Roman"/>
          <w:sz w:val="24"/>
          <w:szCs w:val="24"/>
        </w:rPr>
        <w:t>(Kim et al., 2023)</w:t>
      </w:r>
      <w:r w:rsidRPr="003D3DDF">
        <w:rPr>
          <w:rFonts w:ascii="Times New Roman" w:hAnsi="Times New Roman" w:cs="Times New Roman"/>
          <w:sz w:val="24"/>
          <w:szCs w:val="24"/>
        </w:rPr>
        <w:t xml:space="preserve">.  </w:t>
      </w:r>
    </w:p>
    <w:p w14:paraId="31AEA14A" w14:textId="77777777" w:rsidR="003D3DDF" w:rsidRPr="003D3DDF" w:rsidRDefault="003D3DD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br w:type="page"/>
      </w:r>
    </w:p>
    <w:p w14:paraId="077F6A33" w14:textId="368E2B5E" w:rsidR="0047482F" w:rsidRPr="003D3DDF" w:rsidRDefault="0047482F" w:rsidP="003D3DDF">
      <w:pPr>
        <w:pStyle w:val="Heading1"/>
        <w:spacing w:line="480" w:lineRule="auto"/>
        <w:rPr>
          <w:b/>
          <w:bCs/>
          <w:sz w:val="28"/>
          <w:szCs w:val="28"/>
        </w:rPr>
      </w:pPr>
      <w:bookmarkStart w:id="6" w:name="_Toc212123255"/>
      <w:r w:rsidRPr="003D3DDF">
        <w:rPr>
          <w:b/>
          <w:bCs/>
          <w:sz w:val="28"/>
          <w:szCs w:val="28"/>
        </w:rPr>
        <w:t>Recommendations</w:t>
      </w:r>
      <w:bookmarkEnd w:id="6"/>
    </w:p>
    <w:p w14:paraId="00D8A986" w14:textId="002694C7"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Become an all-in-first-pricing-company on compulsory charges</w:t>
      </w:r>
    </w:p>
    <w:p w14:paraId="12EC1C3A" w14:textId="106EE1FB"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Countries ought to set compulsory optional charges into the base-price in both owned and affiliate mediums, and a uniform division of fees ought to be displayed in tool-tips or in details links, eradicating the drip of the compulsory costs further along the purchasing channel. Distributors and manufacturers must add mandatory fees to the initial price on partner Online Travel Agencies (OTAs) and metasearch engines, and match the prices; this should be strengthened by distribution contract</w:t>
      </w:r>
      <w:r w:rsidR="00D458A7">
        <w:rPr>
          <w:rFonts w:ascii="Times New Roman" w:hAnsi="Times New Roman" w:cs="Times New Roman"/>
          <w:sz w:val="24"/>
          <w:szCs w:val="24"/>
        </w:rPr>
        <w:t xml:space="preserve"> </w:t>
      </w:r>
      <w:r w:rsidR="00D458A7" w:rsidRPr="00D458A7">
        <w:rPr>
          <w:rFonts w:ascii="Times New Roman" w:hAnsi="Times New Roman" w:cs="Times New Roman"/>
          <w:sz w:val="24"/>
          <w:szCs w:val="24"/>
        </w:rPr>
        <w:t>(</w:t>
      </w:r>
      <w:proofErr w:type="spellStart"/>
      <w:r w:rsidR="00D458A7" w:rsidRPr="00D458A7">
        <w:rPr>
          <w:rFonts w:ascii="Times New Roman" w:hAnsi="Times New Roman" w:cs="Times New Roman"/>
          <w:sz w:val="24"/>
          <w:szCs w:val="24"/>
        </w:rPr>
        <w:t>Johnen</w:t>
      </w:r>
      <w:proofErr w:type="spellEnd"/>
      <w:r w:rsidR="00D458A7" w:rsidRPr="00D458A7">
        <w:rPr>
          <w:rFonts w:ascii="Times New Roman" w:hAnsi="Times New Roman" w:cs="Times New Roman"/>
          <w:sz w:val="24"/>
          <w:szCs w:val="24"/>
        </w:rPr>
        <w:t xml:space="preserve"> &amp; Somogyi, 2024)</w:t>
      </w:r>
      <w:r w:rsidRPr="003D3DDF">
        <w:rPr>
          <w:rFonts w:ascii="Times New Roman" w:hAnsi="Times New Roman" w:cs="Times New Roman"/>
          <w:sz w:val="24"/>
          <w:szCs w:val="24"/>
        </w:rPr>
        <w:t xml:space="preserve">.  </w:t>
      </w:r>
    </w:p>
    <w:p w14:paraId="2D49197E" w14:textId="587B1636"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Bring about a dark-pattern free user experience</w:t>
      </w:r>
    </w:p>
    <w:p w14:paraId="6863CBB4" w14:textId="6049050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Banned design list must be written down in prohibited design list, such as the prohibitive (prevented with artificial scarcity) of add-in, obfuscated opt-out, etc., and the UX review and A/B test auditing must be done beforehand by the manufacturers, plus periodic assessments by third-party provided possible. Clear value propositions and transparent optional bundles should be launched instead of coercive ones, and add-ons are default-off in addition to showing the true total prices and material conditions</w:t>
      </w:r>
      <w:r w:rsidR="006A75A0">
        <w:rPr>
          <w:rFonts w:ascii="Times New Roman" w:hAnsi="Times New Roman" w:cs="Times New Roman"/>
          <w:sz w:val="24"/>
          <w:szCs w:val="24"/>
        </w:rPr>
        <w:t xml:space="preserve"> </w:t>
      </w:r>
      <w:r w:rsidR="006A75A0" w:rsidRPr="006A75A0">
        <w:rPr>
          <w:rFonts w:ascii="Times New Roman" w:hAnsi="Times New Roman" w:cs="Times New Roman"/>
          <w:sz w:val="24"/>
          <w:szCs w:val="24"/>
        </w:rPr>
        <w:t>(Isola &amp; Esposito, 2025)</w:t>
      </w:r>
      <w:r w:rsidRPr="003D3DDF">
        <w:rPr>
          <w:rFonts w:ascii="Times New Roman" w:hAnsi="Times New Roman" w:cs="Times New Roman"/>
          <w:sz w:val="24"/>
          <w:szCs w:val="24"/>
        </w:rPr>
        <w:t xml:space="preserve">.  </w:t>
      </w:r>
    </w:p>
    <w:p w14:paraId="7C562957" w14:textId="5290821C"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Customer Relationship Management (CRM) and ethics Overbooking playbook</w:t>
      </w:r>
    </w:p>
    <w:p w14:paraId="107CE153" w14:textId="16E3239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The companies should adopt proactive overbooking, the use of predictive risk flags, soliciting volunteers early, tiered compensation menu, guaranteed re-routing, and accommodation approach where needed all to be triggered within the CRM through scripted, empathetic communications. Calibration of offers and processes will be made possible by monthly reporting of justice-related Key Performance Indicators such as the ratio of voluntary and involuntary bump, average compensation, re-accommodation times, and electronic Word-of-mouth sentiment</w:t>
      </w:r>
      <w:r w:rsidR="00365BF2">
        <w:rPr>
          <w:rFonts w:ascii="Times New Roman" w:hAnsi="Times New Roman" w:cs="Times New Roman"/>
          <w:sz w:val="24"/>
          <w:szCs w:val="24"/>
        </w:rPr>
        <w:t xml:space="preserve"> </w:t>
      </w:r>
      <w:r w:rsidR="00365BF2" w:rsidRPr="00365BF2">
        <w:rPr>
          <w:rFonts w:ascii="Times New Roman" w:hAnsi="Times New Roman" w:cs="Times New Roman"/>
          <w:sz w:val="24"/>
          <w:szCs w:val="24"/>
        </w:rPr>
        <w:t>(</w:t>
      </w:r>
      <w:proofErr w:type="spellStart"/>
      <w:r w:rsidR="00365BF2" w:rsidRPr="00365BF2">
        <w:rPr>
          <w:rFonts w:ascii="Times New Roman" w:hAnsi="Times New Roman" w:cs="Times New Roman"/>
          <w:sz w:val="24"/>
          <w:szCs w:val="24"/>
        </w:rPr>
        <w:t>Nazifi</w:t>
      </w:r>
      <w:proofErr w:type="spellEnd"/>
      <w:r w:rsidR="00365BF2" w:rsidRPr="00365BF2">
        <w:rPr>
          <w:rFonts w:ascii="Times New Roman" w:hAnsi="Times New Roman" w:cs="Times New Roman"/>
          <w:sz w:val="24"/>
          <w:szCs w:val="24"/>
        </w:rPr>
        <w:t xml:space="preserve"> et al., 2020)</w:t>
      </w:r>
      <w:r w:rsidRPr="003D3DDF">
        <w:rPr>
          <w:rFonts w:ascii="Times New Roman" w:hAnsi="Times New Roman" w:cs="Times New Roman"/>
          <w:sz w:val="24"/>
          <w:szCs w:val="24"/>
        </w:rPr>
        <w:t xml:space="preserve">.  </w:t>
      </w:r>
    </w:p>
    <w:p w14:paraId="322C4BF4" w14:textId="754E1DFA"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Compliance: by design on fees and refunds</w:t>
      </w:r>
    </w:p>
    <w:p w14:paraId="686AA309" w14:textId="04717E25"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The U.S. Department of Transportation critical ancillary fees should be mapped to the first-level disclosures in the sales flows and replicate the same level of transparency to international locations; and also EU package-travel information and insolvency standards to combined offers should be fulfilled. All channels and confirmations must be fed by a central, version-controlled fee and policy registry that ensures accurate itinerary based information, eliminating dispute that can occur in the discrepancy of the two</w:t>
      </w:r>
      <w:r w:rsidR="00E539D0">
        <w:rPr>
          <w:rFonts w:ascii="Times New Roman" w:hAnsi="Times New Roman" w:cs="Times New Roman"/>
          <w:sz w:val="24"/>
          <w:szCs w:val="24"/>
        </w:rPr>
        <w:t xml:space="preserve"> </w:t>
      </w:r>
      <w:r w:rsidR="00E539D0" w:rsidRPr="00E539D0">
        <w:rPr>
          <w:rFonts w:ascii="Times New Roman" w:hAnsi="Times New Roman" w:cs="Times New Roman"/>
          <w:sz w:val="24"/>
          <w:szCs w:val="24"/>
        </w:rPr>
        <w:t>(Sullivan et al., 2017)</w:t>
      </w:r>
      <w:r w:rsidRPr="003D3DDF">
        <w:rPr>
          <w:rFonts w:ascii="Times New Roman" w:hAnsi="Times New Roman" w:cs="Times New Roman"/>
          <w:sz w:val="24"/>
          <w:szCs w:val="24"/>
        </w:rPr>
        <w:t xml:space="preserve">.  </w:t>
      </w:r>
    </w:p>
    <w:p w14:paraId="5ED0DAD9" w14:textId="49A2150A"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Ethics training and incentive alignment</w:t>
      </w:r>
    </w:p>
    <w:p w14:paraId="0D68B191" w14:textId="096DD282"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The sale and frontline staff must be trained about justice-based recovery, transparent pricing, and dark-pattern avoidance, and the performance bonuses must be tied, among other trust metrics, such as complaint rate, recovery satisfaction and repeat intent as opposed to performance bonuses based solely on ancillary uptake. Sales-ethics provisions and whistle-blowing provisions should be spelled out in codes of conduct to ensure that skewed strategies are uncovered at an early stage to enhance an ethical culture that deters the tendency to deviate into malpractices</w:t>
      </w:r>
      <w:r w:rsidR="007443A3">
        <w:rPr>
          <w:rFonts w:ascii="Times New Roman" w:hAnsi="Times New Roman" w:cs="Times New Roman"/>
          <w:sz w:val="24"/>
          <w:szCs w:val="24"/>
        </w:rPr>
        <w:t xml:space="preserve"> </w:t>
      </w:r>
      <w:r w:rsidR="007443A3" w:rsidRPr="007443A3">
        <w:rPr>
          <w:rFonts w:ascii="Times New Roman" w:hAnsi="Times New Roman" w:cs="Times New Roman"/>
          <w:sz w:val="24"/>
          <w:szCs w:val="24"/>
        </w:rPr>
        <w:t>(Chen &amp; Liu, 2022)</w:t>
      </w:r>
      <w:r w:rsidRPr="003D3DDF">
        <w:rPr>
          <w:rFonts w:ascii="Times New Roman" w:hAnsi="Times New Roman" w:cs="Times New Roman"/>
          <w:sz w:val="24"/>
          <w:szCs w:val="24"/>
        </w:rPr>
        <w:t xml:space="preserve">.  </w:t>
      </w:r>
    </w:p>
    <w:p w14:paraId="65CC7880" w14:textId="77777777" w:rsidR="003D3DD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b/>
          <w:bCs/>
          <w:sz w:val="24"/>
          <w:szCs w:val="24"/>
        </w:rPr>
        <w:t>Value communication and Loyalty</w:t>
      </w:r>
    </w:p>
    <w:p w14:paraId="3FDFF7F9" w14:textId="7163416E" w:rsidR="0047482F" w:rsidRPr="003D3DDF" w:rsidRDefault="0047482F" w:rsidP="003D3DDF">
      <w:pPr>
        <w:spacing w:line="480" w:lineRule="auto"/>
        <w:rPr>
          <w:rFonts w:ascii="Times New Roman" w:hAnsi="Times New Roman" w:cs="Times New Roman"/>
          <w:b/>
          <w:bCs/>
          <w:sz w:val="24"/>
          <w:szCs w:val="24"/>
        </w:rPr>
      </w:pPr>
      <w:r w:rsidRPr="003D3DDF">
        <w:rPr>
          <w:rFonts w:ascii="Times New Roman" w:hAnsi="Times New Roman" w:cs="Times New Roman"/>
          <w:sz w:val="24"/>
          <w:szCs w:val="24"/>
        </w:rPr>
        <w:t xml:space="preserve">Upselling must be reformulated in terms of genuine value and status advantages in loyalty </w:t>
      </w:r>
      <w:r w:rsidR="00BC6BAD" w:rsidRPr="003D3DDF">
        <w:rPr>
          <w:rFonts w:ascii="Times New Roman" w:hAnsi="Times New Roman" w:cs="Times New Roman"/>
          <w:sz w:val="24"/>
          <w:szCs w:val="24"/>
        </w:rPr>
        <w:t>programmers</w:t>
      </w:r>
      <w:r w:rsidRPr="003D3DDF">
        <w:rPr>
          <w:rFonts w:ascii="Times New Roman" w:hAnsi="Times New Roman" w:cs="Times New Roman"/>
          <w:sz w:val="24"/>
          <w:szCs w:val="24"/>
        </w:rPr>
        <w:t>, via open and transparent communication and opt -in personalization to build trust and repurchase without unexpected charges. There should be the use of responsible price framing - avoiding the use of just-below or anchoring device used to influence upgrade perceptions and disclosures that will help guests to evaluate the total value between the alternatives must be strictly tested</w:t>
      </w:r>
      <w:r w:rsidR="00891BE6">
        <w:rPr>
          <w:rFonts w:ascii="Times New Roman" w:hAnsi="Times New Roman" w:cs="Times New Roman"/>
          <w:sz w:val="24"/>
          <w:szCs w:val="24"/>
        </w:rPr>
        <w:t xml:space="preserve"> </w:t>
      </w:r>
      <w:r w:rsidR="00891BE6" w:rsidRPr="00891BE6">
        <w:rPr>
          <w:rFonts w:ascii="Times New Roman" w:hAnsi="Times New Roman" w:cs="Times New Roman"/>
          <w:sz w:val="24"/>
          <w:szCs w:val="24"/>
        </w:rPr>
        <w:t>(Lentz et al., 2021)</w:t>
      </w:r>
      <w:r w:rsidRPr="003D3DDF">
        <w:rPr>
          <w:rFonts w:ascii="Times New Roman" w:hAnsi="Times New Roman" w:cs="Times New Roman"/>
          <w:sz w:val="24"/>
          <w:szCs w:val="24"/>
        </w:rPr>
        <w:t xml:space="preserve">.  </w:t>
      </w:r>
    </w:p>
    <w:p w14:paraId="0E38F230" w14:textId="7037C606" w:rsidR="003D3DDF" w:rsidRPr="003D3DDF" w:rsidRDefault="003D3DD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br w:type="page"/>
      </w:r>
    </w:p>
    <w:p w14:paraId="39AFD00A" w14:textId="3A73578C" w:rsidR="0047482F" w:rsidRPr="003D3DDF" w:rsidRDefault="0047482F" w:rsidP="003D3DDF">
      <w:pPr>
        <w:pStyle w:val="Heading1"/>
        <w:spacing w:line="480" w:lineRule="auto"/>
        <w:rPr>
          <w:b/>
          <w:bCs/>
          <w:sz w:val="28"/>
          <w:szCs w:val="28"/>
        </w:rPr>
      </w:pPr>
      <w:bookmarkStart w:id="7" w:name="_Toc212123256"/>
      <w:r w:rsidRPr="003D3DDF">
        <w:rPr>
          <w:b/>
          <w:bCs/>
          <w:sz w:val="28"/>
          <w:szCs w:val="28"/>
        </w:rPr>
        <w:t>Conclusion</w:t>
      </w:r>
      <w:bookmarkEnd w:id="7"/>
    </w:p>
    <w:p w14:paraId="2C4FC554" w14:textId="77777777" w:rsidR="00966B81"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Ethical sales management in tourism and hospitality requires a conscious design of options that will focus on the prioritization of transparent pricing, fair recovery, and interfaces without manipulations to protect trust and pursue revenue goals. Empirical studies have shown that strategic, justice-focused proactive and preventive overbooking management can reduce backlash and prices, comparison prices, and dark patterns weaken perceived unfairness, which means profitability-some trade-off that can be overcome by integrity by design. </w:t>
      </w:r>
    </w:p>
    <w:p w14:paraId="5556F8F6" w14:textId="0F4384F1"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Contemporary, consistent with changing transparency regulations and package-travel guarantees, all-in-first pricing, and making dark patterns a relic of the past, institutionalized dark-pattern free UX and compliance-by-design reduces the legal and reputational risk and supports long-term relationships and lifetime value. Ethical leadership, training, and incentive alignment are coupled to make sure that the frontline </w:t>
      </w:r>
      <w:r w:rsidR="00BC6BAD" w:rsidRPr="003D3DDF">
        <w:rPr>
          <w:rFonts w:ascii="Times New Roman" w:hAnsi="Times New Roman" w:cs="Times New Roman"/>
          <w:sz w:val="24"/>
          <w:szCs w:val="24"/>
        </w:rPr>
        <w:t>behaviors</w:t>
      </w:r>
      <w:r w:rsidRPr="003D3DDF">
        <w:rPr>
          <w:rFonts w:ascii="Times New Roman" w:hAnsi="Times New Roman" w:cs="Times New Roman"/>
          <w:sz w:val="24"/>
          <w:szCs w:val="24"/>
        </w:rPr>
        <w:t xml:space="preserve"> are reflected in the policy and ethical sales are turned in a competitive edge instead of a constraining </w:t>
      </w:r>
      <w:r w:rsidR="00BC6BAD" w:rsidRPr="003D3DDF">
        <w:rPr>
          <w:rFonts w:ascii="Times New Roman" w:hAnsi="Times New Roman" w:cs="Times New Roman"/>
          <w:sz w:val="24"/>
          <w:szCs w:val="24"/>
        </w:rPr>
        <w:t>organizational</w:t>
      </w:r>
      <w:r w:rsidRPr="003D3DDF">
        <w:rPr>
          <w:rFonts w:ascii="Times New Roman" w:hAnsi="Times New Roman" w:cs="Times New Roman"/>
          <w:sz w:val="24"/>
          <w:szCs w:val="24"/>
        </w:rPr>
        <w:t xml:space="preserve"> trend</w:t>
      </w:r>
      <w:r w:rsidR="007A1FBD">
        <w:rPr>
          <w:rFonts w:ascii="Times New Roman" w:hAnsi="Times New Roman" w:cs="Times New Roman"/>
          <w:sz w:val="24"/>
          <w:szCs w:val="24"/>
        </w:rPr>
        <w:t xml:space="preserve"> </w:t>
      </w:r>
      <w:r w:rsidR="007A1FBD" w:rsidRPr="007A1FBD">
        <w:rPr>
          <w:rFonts w:ascii="Times New Roman" w:hAnsi="Times New Roman" w:cs="Times New Roman"/>
          <w:sz w:val="24"/>
          <w:szCs w:val="24"/>
        </w:rPr>
        <w:t>(Kim, 2021)</w:t>
      </w:r>
      <w:r w:rsidRPr="003D3DDF">
        <w:rPr>
          <w:rFonts w:ascii="Times New Roman" w:hAnsi="Times New Roman" w:cs="Times New Roman"/>
          <w:sz w:val="24"/>
          <w:szCs w:val="24"/>
        </w:rPr>
        <w:t xml:space="preserve">.  </w:t>
      </w:r>
    </w:p>
    <w:p w14:paraId="0499C937" w14:textId="77777777" w:rsidR="0047482F" w:rsidRPr="003D3DDF" w:rsidRDefault="0047482F" w:rsidP="003D3DDF">
      <w:pPr>
        <w:spacing w:line="480" w:lineRule="auto"/>
        <w:rPr>
          <w:rFonts w:ascii="Times New Roman" w:hAnsi="Times New Roman" w:cs="Times New Roman"/>
          <w:sz w:val="24"/>
          <w:szCs w:val="24"/>
        </w:rPr>
      </w:pPr>
    </w:p>
    <w:p w14:paraId="6FEAC0C0" w14:textId="3868A1A2" w:rsidR="00625CA4" w:rsidRDefault="003D3DDF">
      <w:pPr>
        <w:rPr>
          <w:rFonts w:ascii="Times New Roman" w:hAnsi="Times New Roman" w:cs="Times New Roman"/>
          <w:sz w:val="24"/>
          <w:szCs w:val="24"/>
        </w:rPr>
      </w:pPr>
      <w:r w:rsidRPr="003D3DDF">
        <w:rPr>
          <w:rFonts w:ascii="Times New Roman" w:hAnsi="Times New Roman" w:cs="Times New Roman"/>
          <w:sz w:val="24"/>
          <w:szCs w:val="24"/>
        </w:rPr>
        <w:br w:type="page"/>
      </w:r>
      <w:r w:rsidR="00625CA4">
        <w:rPr>
          <w:rFonts w:ascii="Times New Roman" w:hAnsi="Times New Roman" w:cs="Times New Roman"/>
          <w:sz w:val="24"/>
          <w:szCs w:val="24"/>
        </w:rPr>
        <w:br w:type="page"/>
      </w:r>
    </w:p>
    <w:p w14:paraId="6A22F4E9" w14:textId="77777777" w:rsidR="00625CA4" w:rsidRPr="00F00005" w:rsidRDefault="00625CA4" w:rsidP="00625CA4">
      <w:pPr>
        <w:pStyle w:val="Heading1"/>
        <w:rPr>
          <w:rFonts w:ascii="Times New Roman" w:eastAsia="Times New Roman" w:hAnsi="Times New Roman" w:cs="Times New Roman"/>
          <w:color w:val="auto"/>
          <w:sz w:val="24"/>
          <w:szCs w:val="24"/>
        </w:rPr>
      </w:pPr>
      <w:bookmarkStart w:id="8" w:name="_Toc212123257"/>
      <w:r w:rsidRPr="00625CA4">
        <w:rPr>
          <w:b/>
          <w:bCs/>
          <w:sz w:val="28"/>
          <w:szCs w:val="28"/>
        </w:rPr>
        <w:t>References:</w:t>
      </w:r>
      <w:bookmarkEnd w:id="8"/>
      <w:r w:rsidRPr="00F00005">
        <w:rPr>
          <w:rFonts w:ascii="Times New Roman" w:eastAsia="Times New Roman" w:hAnsi="Times New Roman" w:cs="Times New Roman"/>
          <w:color w:val="auto"/>
          <w:sz w:val="24"/>
          <w:szCs w:val="24"/>
        </w:rPr>
        <w:br/>
      </w:r>
    </w:p>
    <w:p w14:paraId="5A1A749F" w14:textId="77777777" w:rsidR="00625CA4" w:rsidRDefault="00625CA4" w:rsidP="00625CA4">
      <w:pPr>
        <w:pStyle w:val="NormalWeb"/>
        <w:spacing w:before="0" w:beforeAutospacing="0" w:after="0" w:afterAutospacing="0" w:line="480" w:lineRule="auto"/>
        <w:ind w:left="720" w:hanging="720"/>
      </w:pPr>
      <w:r>
        <w:t xml:space="preserve">Chen, Q., &amp; Liu, Z. (2022). Hospitality’s ethical values and unethical employee </w:t>
      </w:r>
      <w:proofErr w:type="spellStart"/>
      <w:r>
        <w:t>behaviour</w:t>
      </w:r>
      <w:proofErr w:type="spellEnd"/>
      <w:r>
        <w:t xml:space="preserve">: The mediating roles of work values and the moderating role of perceived </w:t>
      </w:r>
      <w:proofErr w:type="spellStart"/>
      <w:r>
        <w:t>organisational</w:t>
      </w:r>
      <w:proofErr w:type="spellEnd"/>
      <w:r>
        <w:t xml:space="preserve"> support. </w:t>
      </w:r>
      <w:r>
        <w:rPr>
          <w:i/>
          <w:iCs/>
        </w:rPr>
        <w:t>Frontiers in Psychology</w:t>
      </w:r>
      <w:r>
        <w:t xml:space="preserve">, </w:t>
      </w:r>
      <w:r>
        <w:rPr>
          <w:i/>
          <w:iCs/>
        </w:rPr>
        <w:t>13</w:t>
      </w:r>
      <w:r>
        <w:t xml:space="preserve">. </w:t>
      </w:r>
      <w:r>
        <w:rPr>
          <w:rStyle w:val="url"/>
        </w:rPr>
        <w:t>https://doi.org/10.3389/fpsyg.2022.1063797</w:t>
      </w:r>
    </w:p>
    <w:p w14:paraId="43F8D9C5" w14:textId="77777777" w:rsidR="00625CA4" w:rsidRDefault="00625CA4" w:rsidP="00625CA4">
      <w:pPr>
        <w:pStyle w:val="NormalWeb"/>
        <w:spacing w:before="0" w:beforeAutospacing="0" w:after="0" w:afterAutospacing="0" w:line="480" w:lineRule="auto"/>
        <w:ind w:left="720" w:hanging="720"/>
      </w:pPr>
      <w:proofErr w:type="spellStart"/>
      <w:r>
        <w:t>Dalalah</w:t>
      </w:r>
      <w:proofErr w:type="spellEnd"/>
      <w:r>
        <w:t xml:space="preserve">, D., </w:t>
      </w:r>
      <w:proofErr w:type="spellStart"/>
      <w:r>
        <w:t>Ojiako</w:t>
      </w:r>
      <w:proofErr w:type="spellEnd"/>
      <w:r>
        <w:t xml:space="preserve">, U., &amp; Chipulu, M. (2020). Voluntary overbooking in commercial airline reservations. </w:t>
      </w:r>
      <w:r>
        <w:rPr>
          <w:i/>
          <w:iCs/>
        </w:rPr>
        <w:t>Journal of Air Transport Management</w:t>
      </w:r>
      <w:r>
        <w:t xml:space="preserve">, </w:t>
      </w:r>
      <w:r>
        <w:rPr>
          <w:i/>
          <w:iCs/>
        </w:rPr>
        <w:t>86</w:t>
      </w:r>
      <w:r>
        <w:t xml:space="preserve">, 101835. </w:t>
      </w:r>
      <w:r>
        <w:rPr>
          <w:rStyle w:val="url"/>
        </w:rPr>
        <w:t>https://doi.org/10.1016/j.jairtraman.2020.101835</w:t>
      </w:r>
    </w:p>
    <w:p w14:paraId="3CC72485" w14:textId="77777777" w:rsidR="00625CA4" w:rsidRDefault="00625CA4" w:rsidP="00625CA4">
      <w:pPr>
        <w:pStyle w:val="NormalWeb"/>
        <w:spacing w:before="0" w:beforeAutospacing="0" w:after="0" w:afterAutospacing="0" w:line="480" w:lineRule="auto"/>
        <w:ind w:left="720" w:hanging="720"/>
      </w:pPr>
      <w:r>
        <w:t xml:space="preserve">Hoang, G., Yang, M., &amp; Luu, T. T. (2023). Ethical leadership in tourism and hospitality management: A systematic literature review and research agenda. </w:t>
      </w:r>
      <w:r>
        <w:rPr>
          <w:i/>
          <w:iCs/>
        </w:rPr>
        <w:t>International Journal of Hospitality Management</w:t>
      </w:r>
      <w:r>
        <w:t xml:space="preserve">, </w:t>
      </w:r>
      <w:r>
        <w:rPr>
          <w:i/>
          <w:iCs/>
        </w:rPr>
        <w:t>114</w:t>
      </w:r>
      <w:r>
        <w:t xml:space="preserve">, 103563. </w:t>
      </w:r>
      <w:r>
        <w:rPr>
          <w:rStyle w:val="url"/>
        </w:rPr>
        <w:t>https://doi.org/10.1016/j.ijhm.2023.103563</w:t>
      </w:r>
    </w:p>
    <w:p w14:paraId="3ED0E6DF" w14:textId="77777777" w:rsidR="00625CA4" w:rsidRDefault="00625CA4" w:rsidP="00625CA4">
      <w:pPr>
        <w:pStyle w:val="NormalWeb"/>
        <w:spacing w:before="0" w:beforeAutospacing="0" w:after="0" w:afterAutospacing="0" w:line="480" w:lineRule="auto"/>
        <w:ind w:left="720" w:hanging="720"/>
      </w:pPr>
      <w:r>
        <w:t xml:space="preserve">Isola, C., &amp; Esposito, F. (2025). A systematic literature review on dark patterns for the legal community: definitional clarity-and a legal classification based on the Unfair Commercial Practices Directive. </w:t>
      </w:r>
      <w:r>
        <w:rPr>
          <w:i/>
          <w:iCs/>
        </w:rPr>
        <w:t>Computer Law &amp; Security Review</w:t>
      </w:r>
      <w:r>
        <w:t xml:space="preserve">, </w:t>
      </w:r>
      <w:r>
        <w:rPr>
          <w:i/>
          <w:iCs/>
        </w:rPr>
        <w:t>58</w:t>
      </w:r>
      <w:r>
        <w:t xml:space="preserve">, 106169. </w:t>
      </w:r>
      <w:r>
        <w:rPr>
          <w:rStyle w:val="url"/>
        </w:rPr>
        <w:t>https://doi.org/10.1016/j.clsr.2025.106169</w:t>
      </w:r>
    </w:p>
    <w:p w14:paraId="6F35C9B5" w14:textId="77777777" w:rsidR="00625CA4" w:rsidRDefault="00625CA4" w:rsidP="00625CA4">
      <w:pPr>
        <w:pStyle w:val="NormalWeb"/>
        <w:spacing w:before="0" w:beforeAutospacing="0" w:after="0" w:afterAutospacing="0" w:line="480" w:lineRule="auto"/>
        <w:ind w:left="720" w:hanging="720"/>
      </w:pPr>
      <w:proofErr w:type="spellStart"/>
      <w:r>
        <w:t>Johnen</w:t>
      </w:r>
      <w:proofErr w:type="spellEnd"/>
      <w:r>
        <w:t xml:space="preserve">, J., &amp; Somogyi, R. (2024). Deceptive features on platforms. </w:t>
      </w:r>
      <w:r>
        <w:rPr>
          <w:i/>
          <w:iCs/>
        </w:rPr>
        <w:t>The Economic Journal</w:t>
      </w:r>
      <w:r>
        <w:t xml:space="preserve">, </w:t>
      </w:r>
      <w:r>
        <w:rPr>
          <w:i/>
          <w:iCs/>
        </w:rPr>
        <w:t>134</w:t>
      </w:r>
      <w:r>
        <w:t xml:space="preserve">(662), 2470–2493. </w:t>
      </w:r>
      <w:r>
        <w:rPr>
          <w:rStyle w:val="url"/>
        </w:rPr>
        <w:t>https://doi.org/10.1093/ej/ueae016</w:t>
      </w:r>
    </w:p>
    <w:p w14:paraId="7D8816A4" w14:textId="77777777" w:rsidR="00625CA4" w:rsidRDefault="00625CA4" w:rsidP="00625CA4">
      <w:pPr>
        <w:pStyle w:val="NormalWeb"/>
        <w:spacing w:before="0" w:beforeAutospacing="0" w:after="0" w:afterAutospacing="0" w:line="480" w:lineRule="auto"/>
        <w:ind w:left="720" w:hanging="720"/>
      </w:pPr>
      <w:r>
        <w:t xml:space="preserve">Jung, N. Y., &amp; </w:t>
      </w:r>
      <w:proofErr w:type="spellStart"/>
      <w:r>
        <w:t>Seock</w:t>
      </w:r>
      <w:proofErr w:type="spellEnd"/>
      <w:r>
        <w:t xml:space="preserve">, Y. (2017). Effect of service recovery on customers’ perceived justice, satisfaction, and word-of-mouth intentions on online shopping websites. </w:t>
      </w:r>
      <w:r>
        <w:rPr>
          <w:i/>
          <w:iCs/>
        </w:rPr>
        <w:t>Journal of Retailing and Consumer Services</w:t>
      </w:r>
      <w:r>
        <w:t xml:space="preserve">, </w:t>
      </w:r>
      <w:r>
        <w:rPr>
          <w:i/>
          <w:iCs/>
        </w:rPr>
        <w:t>37</w:t>
      </w:r>
      <w:r>
        <w:t xml:space="preserve">, 23–30. </w:t>
      </w:r>
      <w:r>
        <w:rPr>
          <w:rStyle w:val="url"/>
        </w:rPr>
        <w:t>https://doi.org/10.1016/j.jretconser.2017.01.012</w:t>
      </w:r>
    </w:p>
    <w:p w14:paraId="68D99560" w14:textId="77777777" w:rsidR="00625CA4" w:rsidRDefault="00625CA4" w:rsidP="00625CA4">
      <w:pPr>
        <w:pStyle w:val="NormalWeb"/>
        <w:spacing w:before="0" w:beforeAutospacing="0" w:after="0" w:afterAutospacing="0" w:line="480" w:lineRule="auto"/>
        <w:ind w:left="720" w:hanging="720"/>
      </w:pPr>
      <w:r>
        <w:t xml:space="preserve">Kim, K., Kim, W. G., &amp; Lee, M. (2023). Impact of dark patterns on consumers’ perceived fairness and attitude: Moderating effects of types of dark patterns, social proof, and moral identity. </w:t>
      </w:r>
      <w:r>
        <w:rPr>
          <w:i/>
          <w:iCs/>
        </w:rPr>
        <w:t>Tourism Management</w:t>
      </w:r>
      <w:r>
        <w:t xml:space="preserve">, </w:t>
      </w:r>
      <w:r>
        <w:rPr>
          <w:i/>
          <w:iCs/>
        </w:rPr>
        <w:t>98</w:t>
      </w:r>
      <w:r>
        <w:t xml:space="preserve">, 104763. </w:t>
      </w:r>
      <w:r>
        <w:rPr>
          <w:rStyle w:val="url"/>
        </w:rPr>
        <w:t>https://doi.org/10.1016/j.tourman.2023.104763</w:t>
      </w:r>
    </w:p>
    <w:p w14:paraId="7E447131" w14:textId="77777777" w:rsidR="00625CA4" w:rsidRDefault="00625CA4" w:rsidP="00625CA4">
      <w:pPr>
        <w:pStyle w:val="NormalWeb"/>
        <w:spacing w:before="0" w:beforeAutospacing="0" w:after="0" w:afterAutospacing="0" w:line="480" w:lineRule="auto"/>
        <w:ind w:left="720" w:hanging="720"/>
      </w:pPr>
      <w:r>
        <w:t xml:space="preserve">Koo, B., Yu, J., &amp; Han, H. (2019). The role of loyalty programs in boosting hotel guest loyalty: Impact of switching barriers. </w:t>
      </w:r>
      <w:r>
        <w:rPr>
          <w:i/>
          <w:iCs/>
        </w:rPr>
        <w:t>International Journal of Hospitality Management</w:t>
      </w:r>
      <w:r>
        <w:t xml:space="preserve">, </w:t>
      </w:r>
      <w:r>
        <w:rPr>
          <w:i/>
          <w:iCs/>
        </w:rPr>
        <w:t>84</w:t>
      </w:r>
      <w:r>
        <w:t xml:space="preserve">, 102328. </w:t>
      </w:r>
      <w:r>
        <w:rPr>
          <w:rStyle w:val="url"/>
        </w:rPr>
        <w:t>https://doi.org/10.1016/j.ijhm.2019.102328</w:t>
      </w:r>
    </w:p>
    <w:p w14:paraId="22B76588" w14:textId="77777777" w:rsidR="00625CA4" w:rsidRDefault="00625CA4" w:rsidP="00625CA4">
      <w:pPr>
        <w:pStyle w:val="NormalWeb"/>
        <w:spacing w:before="0" w:beforeAutospacing="0" w:after="0" w:afterAutospacing="0" w:line="480" w:lineRule="auto"/>
        <w:ind w:left="720" w:hanging="720"/>
      </w:pPr>
      <w:r>
        <w:t xml:space="preserve">Lentz, M., </w:t>
      </w:r>
      <w:proofErr w:type="spellStart"/>
      <w:r>
        <w:t>Berezan</w:t>
      </w:r>
      <w:proofErr w:type="spellEnd"/>
      <w:r>
        <w:t xml:space="preserve">, O., &amp; Raab, C. (2021). Uncovering the relationship between revenue management and hotel loyalty programs. </w:t>
      </w:r>
      <w:r>
        <w:rPr>
          <w:i/>
          <w:iCs/>
        </w:rPr>
        <w:t>Journal of Revenue and Pricing Management</w:t>
      </w:r>
      <w:r>
        <w:t xml:space="preserve">, </w:t>
      </w:r>
      <w:r>
        <w:rPr>
          <w:i/>
          <w:iCs/>
        </w:rPr>
        <w:t>21</w:t>
      </w:r>
      <w:r>
        <w:t xml:space="preserve">(3), 306–320. </w:t>
      </w:r>
      <w:r>
        <w:rPr>
          <w:rStyle w:val="url"/>
        </w:rPr>
        <w:t>https://doi.org/10.1057/s41272-021-00331-0</w:t>
      </w:r>
    </w:p>
    <w:p w14:paraId="70BEC847" w14:textId="77777777" w:rsidR="00625CA4" w:rsidRDefault="00625CA4" w:rsidP="00625CA4">
      <w:pPr>
        <w:pStyle w:val="NormalWeb"/>
        <w:spacing w:before="0" w:beforeAutospacing="0" w:after="0" w:afterAutospacing="0" w:line="480" w:lineRule="auto"/>
        <w:ind w:left="720" w:hanging="720"/>
      </w:pPr>
      <w:r>
        <w:t xml:space="preserve">Li, F. (2024). The influence of the base option’s price format on tourists’ upgrade intention: the moderating role of tourists’ mindsets. </w:t>
      </w:r>
      <w:r>
        <w:rPr>
          <w:i/>
          <w:iCs/>
        </w:rPr>
        <w:t>Tourism Critiques Practice and Theory</w:t>
      </w:r>
      <w:r>
        <w:t xml:space="preserve">, </w:t>
      </w:r>
      <w:r>
        <w:rPr>
          <w:i/>
          <w:iCs/>
        </w:rPr>
        <w:t>5</w:t>
      </w:r>
      <w:r>
        <w:t xml:space="preserve">(1), 65–81. </w:t>
      </w:r>
      <w:r>
        <w:rPr>
          <w:rStyle w:val="url"/>
        </w:rPr>
        <w:t>https://doi.org/10.1108/trc-10-2023-0024</w:t>
      </w:r>
    </w:p>
    <w:p w14:paraId="62163CA2" w14:textId="77777777" w:rsidR="00625CA4" w:rsidRDefault="00625CA4" w:rsidP="00625CA4">
      <w:pPr>
        <w:pStyle w:val="NormalWeb"/>
        <w:spacing w:before="0" w:beforeAutospacing="0" w:after="0" w:afterAutospacing="0" w:line="480" w:lineRule="auto"/>
        <w:ind w:left="720" w:hanging="720"/>
      </w:pPr>
      <w:r>
        <w:t xml:space="preserve">Lim, S., &amp; Ok, C. “. (2022). A percentage-off discount versus free surcharge: The impact of promotion type on hotel consumers’ responses. </w:t>
      </w:r>
      <w:r>
        <w:rPr>
          <w:i/>
          <w:iCs/>
        </w:rPr>
        <w:t>Tourism Management</w:t>
      </w:r>
      <w:r>
        <w:t xml:space="preserve">, </w:t>
      </w:r>
      <w:r>
        <w:rPr>
          <w:i/>
          <w:iCs/>
        </w:rPr>
        <w:t>91</w:t>
      </w:r>
      <w:r>
        <w:t xml:space="preserve">, 104504. </w:t>
      </w:r>
      <w:r>
        <w:rPr>
          <w:rStyle w:val="url"/>
        </w:rPr>
        <w:t>https://doi.org/10.1016/j.tourman.2022.104504</w:t>
      </w:r>
    </w:p>
    <w:p w14:paraId="0A2101F9" w14:textId="77777777" w:rsidR="00625CA4" w:rsidRDefault="00625CA4" w:rsidP="00625CA4">
      <w:pPr>
        <w:pStyle w:val="NormalWeb"/>
        <w:spacing w:before="0" w:beforeAutospacing="0" w:after="0" w:afterAutospacing="0" w:line="480" w:lineRule="auto"/>
        <w:ind w:left="720" w:hanging="720"/>
      </w:pPr>
      <w:r>
        <w:t xml:space="preserve">Ma, J., </w:t>
      </w:r>
      <w:proofErr w:type="spellStart"/>
      <w:r>
        <w:t>Tse</w:t>
      </w:r>
      <w:proofErr w:type="spellEnd"/>
      <w:r>
        <w:t xml:space="preserve">, Y. K., Wang, X., &amp; Zhang, M. (2019). Examining customer perception and </w:t>
      </w:r>
      <w:proofErr w:type="spellStart"/>
      <w:r>
        <w:t>behaviour</w:t>
      </w:r>
      <w:proofErr w:type="spellEnd"/>
      <w:r>
        <w:t xml:space="preserve"> through social media research – An empirical study of the United Airlines overbooking crisis. </w:t>
      </w:r>
      <w:r>
        <w:rPr>
          <w:i/>
          <w:iCs/>
        </w:rPr>
        <w:t>Transportation Research Part E Logistics and Transportation Review</w:t>
      </w:r>
      <w:r>
        <w:t xml:space="preserve">, </w:t>
      </w:r>
      <w:r>
        <w:rPr>
          <w:i/>
          <w:iCs/>
        </w:rPr>
        <w:t>127</w:t>
      </w:r>
      <w:r>
        <w:t xml:space="preserve">, 192–205. </w:t>
      </w:r>
      <w:r>
        <w:rPr>
          <w:rStyle w:val="url"/>
        </w:rPr>
        <w:t>https://doi.org/10.1016/j.tre.2019.05.004</w:t>
      </w:r>
    </w:p>
    <w:p w14:paraId="2F556F3F" w14:textId="77777777" w:rsidR="00625CA4" w:rsidRDefault="00625CA4" w:rsidP="00625CA4">
      <w:pPr>
        <w:pStyle w:val="NormalWeb"/>
        <w:spacing w:before="0" w:beforeAutospacing="0" w:after="0" w:afterAutospacing="0" w:line="480" w:lineRule="auto"/>
        <w:ind w:left="720" w:hanging="720"/>
      </w:pPr>
      <w:r>
        <w:t xml:space="preserve">Moriuchi, E., &amp; Murdy, S. (2024). Consumer reactions to drip pricing: The moderating effect of price fairness in the sharing economy Accommodation. </w:t>
      </w:r>
      <w:r>
        <w:rPr>
          <w:i/>
          <w:iCs/>
        </w:rPr>
        <w:t>Cornell Hospitality Quarterly</w:t>
      </w:r>
      <w:r>
        <w:t xml:space="preserve">. </w:t>
      </w:r>
      <w:r>
        <w:rPr>
          <w:rStyle w:val="url"/>
        </w:rPr>
        <w:t>https://doi.org/10.1177/19389655241271328</w:t>
      </w:r>
    </w:p>
    <w:p w14:paraId="7B9989CB" w14:textId="77777777" w:rsidR="00625CA4" w:rsidRDefault="00625CA4" w:rsidP="00625CA4">
      <w:pPr>
        <w:pStyle w:val="NormalWeb"/>
        <w:spacing w:before="0" w:beforeAutospacing="0" w:after="0" w:afterAutospacing="0" w:line="480" w:lineRule="auto"/>
        <w:ind w:left="720" w:hanging="720"/>
      </w:pPr>
      <w:proofErr w:type="spellStart"/>
      <w:r>
        <w:t>Nazifi</w:t>
      </w:r>
      <w:proofErr w:type="spellEnd"/>
      <w:r>
        <w:t xml:space="preserve">, A., </w:t>
      </w:r>
      <w:proofErr w:type="spellStart"/>
      <w:r>
        <w:t>Gelbrich</w:t>
      </w:r>
      <w:proofErr w:type="spellEnd"/>
      <w:r>
        <w:t>, K., Grégoire, Y., Koch, S., El-</w:t>
      </w:r>
      <w:proofErr w:type="spellStart"/>
      <w:r>
        <w:t>Manstrly</w:t>
      </w:r>
      <w:proofErr w:type="spellEnd"/>
      <w:r>
        <w:t xml:space="preserve">, D., &amp; Wirtz, J. (2020). Proactive handling of flight overbooking: How to reduce negative eWOM and the costs of bumping customers. </w:t>
      </w:r>
      <w:r>
        <w:rPr>
          <w:i/>
          <w:iCs/>
        </w:rPr>
        <w:t>Journal of Service Research</w:t>
      </w:r>
      <w:r>
        <w:t xml:space="preserve">, </w:t>
      </w:r>
      <w:r>
        <w:rPr>
          <w:i/>
          <w:iCs/>
        </w:rPr>
        <w:t>24</w:t>
      </w:r>
      <w:r>
        <w:t xml:space="preserve">(2), 206–225. </w:t>
      </w:r>
      <w:r>
        <w:rPr>
          <w:rStyle w:val="url"/>
        </w:rPr>
        <w:t>https://doi.org/10.1177/1094670520933683</w:t>
      </w:r>
    </w:p>
    <w:p w14:paraId="4C481CA4" w14:textId="77777777" w:rsidR="00625CA4" w:rsidRDefault="00625CA4" w:rsidP="00625CA4">
      <w:pPr>
        <w:pStyle w:val="NormalWeb"/>
        <w:spacing w:before="0" w:beforeAutospacing="0" w:after="0" w:afterAutospacing="0" w:line="480" w:lineRule="auto"/>
        <w:ind w:left="720" w:hanging="720"/>
      </w:pPr>
      <w:proofErr w:type="spellStart"/>
      <w:r>
        <w:t>Shlifer</w:t>
      </w:r>
      <w:proofErr w:type="spellEnd"/>
      <w:r>
        <w:t xml:space="preserve">, E., &amp; Vardi, Y. (1975). An airline overbooking policy. </w:t>
      </w:r>
      <w:r>
        <w:rPr>
          <w:i/>
          <w:iCs/>
        </w:rPr>
        <w:t>Transportation Science</w:t>
      </w:r>
      <w:r>
        <w:t xml:space="preserve">, </w:t>
      </w:r>
      <w:r>
        <w:rPr>
          <w:i/>
          <w:iCs/>
        </w:rPr>
        <w:t>9</w:t>
      </w:r>
      <w:r>
        <w:t xml:space="preserve">(2), 101–114. </w:t>
      </w:r>
      <w:r>
        <w:rPr>
          <w:rStyle w:val="url"/>
        </w:rPr>
        <w:t>https://doi.org/10.1287/trsc.9.2.101</w:t>
      </w:r>
    </w:p>
    <w:p w14:paraId="057FAF00" w14:textId="77777777" w:rsidR="00625CA4" w:rsidRDefault="00625CA4" w:rsidP="00625CA4">
      <w:pPr>
        <w:pStyle w:val="NormalWeb"/>
        <w:spacing w:before="0" w:beforeAutospacing="0" w:after="0" w:afterAutospacing="0" w:line="480" w:lineRule="auto"/>
        <w:ind w:left="720" w:hanging="720"/>
      </w:pPr>
      <w:r>
        <w:t xml:space="preserve">Sullivan, M. W., Federal Trade Commission, Bureau of Economics, Ramirez, E., Ohlhausen, M. K., McSweeny, T., </w:t>
      </w:r>
      <w:proofErr w:type="spellStart"/>
      <w:r>
        <w:t>Jin</w:t>
      </w:r>
      <w:proofErr w:type="spellEnd"/>
      <w:r>
        <w:t xml:space="preserve">, G., Stivers, A. E., </w:t>
      </w:r>
      <w:proofErr w:type="spellStart"/>
      <w:r>
        <w:t>Oldale</w:t>
      </w:r>
      <w:proofErr w:type="spellEnd"/>
      <w:r>
        <w:t xml:space="preserve">, A., Vita, M. G., Deyak, T. A., Pappalardo, J. K., Schmidt, D. R., Silva, L., Jr., Thompson, A. J., &amp; Dagan, H. G. (2017). </w:t>
      </w:r>
      <w:r>
        <w:rPr>
          <w:i/>
          <w:iCs/>
        </w:rPr>
        <w:t>ECONOMIC ANALYSIS OF HOTEL RESORT FEES</w:t>
      </w:r>
      <w:r>
        <w:t xml:space="preserve">. </w:t>
      </w:r>
      <w:r>
        <w:rPr>
          <w:rStyle w:val="url"/>
        </w:rPr>
        <w:t>https://www.ftc.gov/system/files/documents/reports/economic-analysis-hotel-resort-fees/p115503_hotel_resort_fees_economic_issues_paper.pdf</w:t>
      </w:r>
    </w:p>
    <w:p w14:paraId="0E694A4D" w14:textId="77777777" w:rsidR="00625CA4" w:rsidRDefault="00625CA4" w:rsidP="00625CA4">
      <w:pPr>
        <w:pStyle w:val="NormalWeb"/>
        <w:spacing w:before="0" w:beforeAutospacing="0" w:after="0" w:afterAutospacing="0" w:line="480" w:lineRule="auto"/>
        <w:ind w:left="720" w:hanging="720"/>
      </w:pPr>
      <w:r>
        <w:t xml:space="preserve">THE EUROPEAN PARLIAMENT AND THE COUNCIL OF THE EUROPEAN UNION. (2015). </w:t>
      </w:r>
      <w:r>
        <w:rPr>
          <w:i/>
          <w:iCs/>
        </w:rPr>
        <w:t>DIRECTIVE (EU) 2015/2302 OF THE EUROPEAN PARLIAMENT AND OF THE COUNCIL</w:t>
      </w:r>
      <w:r>
        <w:t xml:space="preserve">. </w:t>
      </w:r>
      <w:r>
        <w:rPr>
          <w:rStyle w:val="url"/>
        </w:rPr>
        <w:t>https://eur-lex.europa.eu/legal-content/EN/TXT/PDF/?uri=CELEX%3A32015L2302</w:t>
      </w:r>
    </w:p>
    <w:p w14:paraId="78542165" w14:textId="77777777" w:rsidR="00625CA4" w:rsidRDefault="00625CA4" w:rsidP="00625CA4">
      <w:pPr>
        <w:pStyle w:val="NormalWeb"/>
        <w:spacing w:before="0" w:beforeAutospacing="0" w:after="0" w:afterAutospacing="0" w:line="480" w:lineRule="auto"/>
        <w:ind w:left="720" w:hanging="720"/>
      </w:pPr>
      <w:proofErr w:type="spellStart"/>
      <w:r>
        <w:t>Totzek</w:t>
      </w:r>
      <w:proofErr w:type="spellEnd"/>
      <w:r>
        <w:t xml:space="preserve">, D., &amp; Jurgensen, G. (2020). Many a little makes a mickle: Why do consumers negatively react to sequential price disclosure? </w:t>
      </w:r>
      <w:r>
        <w:rPr>
          <w:i/>
          <w:iCs/>
        </w:rPr>
        <w:t>Psychology and Marketing</w:t>
      </w:r>
      <w:r>
        <w:t xml:space="preserve">, </w:t>
      </w:r>
      <w:r>
        <w:rPr>
          <w:i/>
          <w:iCs/>
        </w:rPr>
        <w:t>38</w:t>
      </w:r>
      <w:r>
        <w:t xml:space="preserve">(1), 113–128. </w:t>
      </w:r>
      <w:r>
        <w:rPr>
          <w:rStyle w:val="url"/>
        </w:rPr>
        <w:t>https://doi.org/10.1002/mar.21426</w:t>
      </w:r>
    </w:p>
    <w:p w14:paraId="210D9693" w14:textId="7D7B0F93" w:rsidR="00F00005" w:rsidRDefault="00F00005">
      <w:pPr>
        <w:rPr>
          <w:rFonts w:ascii="Times New Roman" w:hAnsi="Times New Roman" w:cs="Times New Roman"/>
          <w:sz w:val="24"/>
          <w:szCs w:val="24"/>
        </w:rPr>
      </w:pPr>
      <w:r>
        <w:rPr>
          <w:rFonts w:ascii="Times New Roman" w:hAnsi="Times New Roman" w:cs="Times New Roman"/>
          <w:sz w:val="24"/>
          <w:szCs w:val="24"/>
        </w:rPr>
        <w:br w:type="page"/>
      </w:r>
    </w:p>
    <w:p w14:paraId="1AC90046" w14:textId="76B558AB" w:rsidR="0047482F" w:rsidRPr="003D3DDF" w:rsidRDefault="0047482F" w:rsidP="003D3DDF">
      <w:pPr>
        <w:pStyle w:val="Heading1"/>
        <w:spacing w:line="480" w:lineRule="auto"/>
        <w:rPr>
          <w:b/>
          <w:bCs/>
          <w:sz w:val="28"/>
          <w:szCs w:val="28"/>
        </w:rPr>
      </w:pPr>
      <w:bookmarkStart w:id="9" w:name="_Toc212123258"/>
      <w:r w:rsidRPr="003D3DDF">
        <w:rPr>
          <w:b/>
          <w:bCs/>
          <w:sz w:val="28"/>
          <w:szCs w:val="28"/>
        </w:rPr>
        <w:t>Appendices</w:t>
      </w:r>
      <w:bookmarkEnd w:id="9"/>
      <w:r w:rsidRPr="003D3DDF">
        <w:rPr>
          <w:b/>
          <w:bCs/>
          <w:sz w:val="28"/>
          <w:szCs w:val="28"/>
        </w:rPr>
        <w:t xml:space="preserve">   </w:t>
      </w:r>
    </w:p>
    <w:p w14:paraId="53E59F6A" w14:textId="77777777" w:rsidR="0047482F" w:rsidRPr="002C2CC3" w:rsidRDefault="0047482F" w:rsidP="003D3DDF">
      <w:pPr>
        <w:spacing w:line="480" w:lineRule="auto"/>
        <w:rPr>
          <w:rFonts w:ascii="Times New Roman" w:hAnsi="Times New Roman" w:cs="Times New Roman"/>
          <w:b/>
          <w:bCs/>
          <w:sz w:val="24"/>
          <w:szCs w:val="24"/>
        </w:rPr>
      </w:pPr>
      <w:r w:rsidRPr="002C2CC3">
        <w:rPr>
          <w:rFonts w:ascii="Times New Roman" w:hAnsi="Times New Roman" w:cs="Times New Roman"/>
          <w:b/>
          <w:bCs/>
          <w:sz w:val="24"/>
          <w:szCs w:val="24"/>
        </w:rPr>
        <w:t xml:space="preserve">Appendix A: Recovery Checklist Proactive overbooking.  </w:t>
      </w:r>
    </w:p>
    <w:p w14:paraId="2B217E73" w14:textId="7777777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Anticipate and pre-sell high-risk flights or stays and pre-sell volunteers, on a tiered basis, with confirmed re-accommodation and definite timescales, prior to the day of travel or arrival.  </w:t>
      </w:r>
    </w:p>
    <w:p w14:paraId="3EFCCC8E" w14:textId="01C52DBD" w:rsidR="0047482F" w:rsidRPr="003D3DDF" w:rsidRDefault="00BC6BAD"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Harmonies</w:t>
      </w:r>
      <w:r w:rsidR="0047482F" w:rsidRPr="003D3DDF">
        <w:rPr>
          <w:rFonts w:ascii="Times New Roman" w:hAnsi="Times New Roman" w:cs="Times New Roman"/>
          <w:sz w:val="24"/>
          <w:szCs w:val="24"/>
        </w:rPr>
        <w:t xml:space="preserve"> compensation floors and escalation reasoning in CRM, which involves scripts that communicate apology, rationale, and choices to </w:t>
      </w:r>
      <w:r w:rsidRPr="003D3DDF">
        <w:rPr>
          <w:rFonts w:ascii="Times New Roman" w:hAnsi="Times New Roman" w:cs="Times New Roman"/>
          <w:sz w:val="24"/>
          <w:szCs w:val="24"/>
        </w:rPr>
        <w:t>maximize</w:t>
      </w:r>
      <w:r w:rsidR="0047482F" w:rsidRPr="003D3DDF">
        <w:rPr>
          <w:rFonts w:ascii="Times New Roman" w:hAnsi="Times New Roman" w:cs="Times New Roman"/>
          <w:sz w:val="24"/>
          <w:szCs w:val="24"/>
        </w:rPr>
        <w:t xml:space="preserve"> perceived distributive and interactional justice</w:t>
      </w:r>
      <w:r w:rsidR="009F4C9C">
        <w:rPr>
          <w:rFonts w:ascii="Times New Roman" w:hAnsi="Times New Roman" w:cs="Times New Roman"/>
          <w:sz w:val="24"/>
          <w:szCs w:val="24"/>
        </w:rPr>
        <w:t xml:space="preserve"> </w:t>
      </w:r>
      <w:r w:rsidR="009F4C9C" w:rsidRPr="009F4C9C">
        <w:rPr>
          <w:rFonts w:ascii="Times New Roman" w:hAnsi="Times New Roman" w:cs="Times New Roman"/>
          <w:sz w:val="24"/>
          <w:szCs w:val="24"/>
        </w:rPr>
        <w:t>(</w:t>
      </w:r>
      <w:proofErr w:type="spellStart"/>
      <w:r w:rsidR="009F4C9C" w:rsidRPr="009F4C9C">
        <w:rPr>
          <w:rFonts w:ascii="Times New Roman" w:hAnsi="Times New Roman" w:cs="Times New Roman"/>
          <w:sz w:val="24"/>
          <w:szCs w:val="24"/>
        </w:rPr>
        <w:t>Nazifi</w:t>
      </w:r>
      <w:proofErr w:type="spellEnd"/>
      <w:r w:rsidR="009F4C9C" w:rsidRPr="009F4C9C">
        <w:rPr>
          <w:rFonts w:ascii="Times New Roman" w:hAnsi="Times New Roman" w:cs="Times New Roman"/>
          <w:sz w:val="24"/>
          <w:szCs w:val="24"/>
        </w:rPr>
        <w:t xml:space="preserve"> et al., 2020)</w:t>
      </w:r>
      <w:r w:rsidR="0047482F" w:rsidRPr="003D3DDF">
        <w:rPr>
          <w:rFonts w:ascii="Times New Roman" w:hAnsi="Times New Roman" w:cs="Times New Roman"/>
          <w:sz w:val="24"/>
          <w:szCs w:val="24"/>
        </w:rPr>
        <w:t xml:space="preserve">.  </w:t>
      </w:r>
    </w:p>
    <w:p w14:paraId="03404812" w14:textId="7777777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Monitor Key Performance Indicators voluntary vs. involuntary bump rate, average compensation cost, re-accommodation cycle time, and negative electronic Word -of-Mouth incidence and assess them monthly to tune.  </w:t>
      </w:r>
    </w:p>
    <w:p w14:paraId="70FFFCEE" w14:textId="77777777" w:rsidR="0047482F" w:rsidRPr="002C2CC3" w:rsidRDefault="0047482F" w:rsidP="003D3DDF">
      <w:pPr>
        <w:spacing w:line="480" w:lineRule="auto"/>
        <w:rPr>
          <w:rFonts w:ascii="Times New Roman" w:hAnsi="Times New Roman" w:cs="Times New Roman"/>
          <w:b/>
          <w:bCs/>
          <w:sz w:val="24"/>
          <w:szCs w:val="24"/>
        </w:rPr>
      </w:pPr>
      <w:r w:rsidRPr="002C2CC3">
        <w:rPr>
          <w:rFonts w:ascii="Times New Roman" w:hAnsi="Times New Roman" w:cs="Times New Roman"/>
          <w:b/>
          <w:bCs/>
          <w:sz w:val="24"/>
          <w:szCs w:val="24"/>
        </w:rPr>
        <w:t xml:space="preserve">Appendix B: Controls of Transparency of Pricing and Fee Disclosure.  </w:t>
      </w:r>
    </w:p>
    <w:p w14:paraId="27972A87" w14:textId="765F6FF1"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Report initial shown prices with obligatory charges and make sure that totals on the web, apps, call </w:t>
      </w:r>
      <w:r w:rsidR="00BC6BAD" w:rsidRPr="003D3DDF">
        <w:rPr>
          <w:rFonts w:ascii="Times New Roman" w:hAnsi="Times New Roman" w:cs="Times New Roman"/>
          <w:sz w:val="24"/>
          <w:szCs w:val="24"/>
        </w:rPr>
        <w:t>center</w:t>
      </w:r>
      <w:r w:rsidRPr="003D3DDF">
        <w:rPr>
          <w:rFonts w:ascii="Times New Roman" w:hAnsi="Times New Roman" w:cs="Times New Roman"/>
          <w:sz w:val="24"/>
          <w:szCs w:val="24"/>
        </w:rPr>
        <w:t xml:space="preserve">, and confirmations are clearly displayed and consist of the same amount, avoiding unexpected costs and disagreements.  </w:t>
      </w:r>
    </w:p>
    <w:p w14:paraId="6D473E74" w14:textId="7C9DD461"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On airlines disclose the important ancillary charges on the first itinerary screen using itinerary-and-passenger specific logic; on hotels display the total price per night with mandatory charges </w:t>
      </w:r>
      <w:r w:rsidR="00BC6BAD" w:rsidRPr="003D3DDF">
        <w:rPr>
          <w:rFonts w:ascii="Times New Roman" w:hAnsi="Times New Roman" w:cs="Times New Roman"/>
          <w:sz w:val="24"/>
          <w:szCs w:val="24"/>
        </w:rPr>
        <w:t>itemized</w:t>
      </w:r>
      <w:r w:rsidRPr="003D3DDF">
        <w:rPr>
          <w:rFonts w:ascii="Times New Roman" w:hAnsi="Times New Roman" w:cs="Times New Roman"/>
          <w:sz w:val="24"/>
          <w:szCs w:val="24"/>
        </w:rPr>
        <w:t xml:space="preserve"> in a single view.  </w:t>
      </w:r>
    </w:p>
    <w:p w14:paraId="6133D7EF" w14:textId="10D33D2F" w:rsidR="0047482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Having a </w:t>
      </w:r>
      <w:r w:rsidR="00BC6BAD" w:rsidRPr="003D3DDF">
        <w:rPr>
          <w:rFonts w:ascii="Times New Roman" w:hAnsi="Times New Roman" w:cs="Times New Roman"/>
          <w:sz w:val="24"/>
          <w:szCs w:val="24"/>
        </w:rPr>
        <w:t>centralized</w:t>
      </w:r>
      <w:r w:rsidRPr="003D3DDF">
        <w:rPr>
          <w:rFonts w:ascii="Times New Roman" w:hAnsi="Times New Roman" w:cs="Times New Roman"/>
          <w:sz w:val="24"/>
          <w:szCs w:val="24"/>
        </w:rPr>
        <w:t xml:space="preserve"> policy registry will help to ensure that any changes to fees are spread across all touchpoints and partner feeds in real-time to mitigate mismatch and complaints risk.  </w:t>
      </w:r>
    </w:p>
    <w:p w14:paraId="673B53A8" w14:textId="77777777" w:rsidR="00F00005" w:rsidRDefault="00F00005" w:rsidP="003D3DDF">
      <w:pPr>
        <w:spacing w:line="480" w:lineRule="auto"/>
        <w:rPr>
          <w:rFonts w:ascii="Times New Roman" w:hAnsi="Times New Roman" w:cs="Times New Roman"/>
          <w:sz w:val="24"/>
          <w:szCs w:val="24"/>
        </w:rPr>
      </w:pPr>
    </w:p>
    <w:p w14:paraId="64EB681A" w14:textId="77777777" w:rsidR="00F00005" w:rsidRPr="003D3DDF" w:rsidRDefault="00F00005" w:rsidP="003D3DDF">
      <w:pPr>
        <w:spacing w:line="480" w:lineRule="auto"/>
        <w:rPr>
          <w:rFonts w:ascii="Times New Roman" w:hAnsi="Times New Roman" w:cs="Times New Roman"/>
          <w:sz w:val="24"/>
          <w:szCs w:val="24"/>
        </w:rPr>
      </w:pPr>
    </w:p>
    <w:p w14:paraId="358A5BEA" w14:textId="77777777" w:rsidR="0047482F" w:rsidRPr="002C2CC3" w:rsidRDefault="0047482F" w:rsidP="003D3DDF">
      <w:pPr>
        <w:spacing w:line="480" w:lineRule="auto"/>
        <w:rPr>
          <w:rFonts w:ascii="Times New Roman" w:hAnsi="Times New Roman" w:cs="Times New Roman"/>
          <w:b/>
          <w:bCs/>
          <w:sz w:val="24"/>
          <w:szCs w:val="24"/>
        </w:rPr>
      </w:pPr>
      <w:r w:rsidRPr="002C2CC3">
        <w:rPr>
          <w:rFonts w:ascii="Times New Roman" w:hAnsi="Times New Roman" w:cs="Times New Roman"/>
          <w:b/>
          <w:bCs/>
          <w:sz w:val="24"/>
          <w:szCs w:val="24"/>
        </w:rPr>
        <w:t xml:space="preserve">Appendix C: Dark Pattern Free Design Guardrails.  </w:t>
      </w:r>
    </w:p>
    <w:p w14:paraId="299828BC" w14:textId="279C33A0" w:rsidR="0047482F" w:rsidRPr="003D3DDF" w:rsidRDefault="00BC6BAD"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Up design</w:t>
      </w:r>
      <w:r w:rsidR="0047482F" w:rsidRPr="003D3DDF">
        <w:rPr>
          <w:rFonts w:ascii="Times New Roman" w:hAnsi="Times New Roman" w:cs="Times New Roman"/>
          <w:sz w:val="24"/>
          <w:szCs w:val="24"/>
        </w:rPr>
        <w:t xml:space="preserve"> and legal check upsell flows in coverture, and do periodical audits and control against a peruse taxonomy; trail experiments and examine impacts on fairness views not alone conversion.  </w:t>
      </w:r>
    </w:p>
    <w:p w14:paraId="4D5F71F6" w14:textId="7777777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Use simple-language microcopy and clear comparisons to make informed decisions and this will enhance brand-related attitudes and maintain qualified acceptance of upsell.  </w:t>
      </w:r>
    </w:p>
    <w:p w14:paraId="657C7677" w14:textId="77777777" w:rsidR="0047482F" w:rsidRPr="002C2CC3" w:rsidRDefault="0047482F" w:rsidP="003D3DDF">
      <w:pPr>
        <w:spacing w:line="480" w:lineRule="auto"/>
        <w:rPr>
          <w:rFonts w:ascii="Times New Roman" w:hAnsi="Times New Roman" w:cs="Times New Roman"/>
          <w:b/>
          <w:bCs/>
          <w:sz w:val="24"/>
          <w:szCs w:val="24"/>
        </w:rPr>
      </w:pPr>
      <w:r w:rsidRPr="002C2CC3">
        <w:rPr>
          <w:rFonts w:ascii="Times New Roman" w:hAnsi="Times New Roman" w:cs="Times New Roman"/>
          <w:b/>
          <w:bCs/>
          <w:sz w:val="24"/>
          <w:szCs w:val="24"/>
        </w:rPr>
        <w:t xml:space="preserve">Appendix D: Sales Ethical Governance and Training.  </w:t>
      </w:r>
    </w:p>
    <w:p w14:paraId="72D98E0A" w14:textId="7777777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Revise codes of conduct and sales policies to incorporate justice-based recovery, transparency and consent; entrench these changes in sales and revenue teams onboarding and yearly sales and revenue team certifications.  </w:t>
      </w:r>
    </w:p>
    <w:p w14:paraId="1F2B1B88" w14:textId="739B5B87" w:rsidR="0047482F"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 xml:space="preserve">Tie incentives and trust results like reduced complaints, recoveries satisfaction and repeat intent so as not to </w:t>
      </w:r>
      <w:r w:rsidR="00BC6BAD" w:rsidRPr="003D3DDF">
        <w:rPr>
          <w:rFonts w:ascii="Times New Roman" w:hAnsi="Times New Roman" w:cs="Times New Roman"/>
          <w:sz w:val="24"/>
          <w:szCs w:val="24"/>
        </w:rPr>
        <w:t>overemphasize</w:t>
      </w:r>
      <w:r w:rsidRPr="003D3DDF">
        <w:rPr>
          <w:rFonts w:ascii="Times New Roman" w:hAnsi="Times New Roman" w:cs="Times New Roman"/>
          <w:sz w:val="24"/>
          <w:szCs w:val="24"/>
        </w:rPr>
        <w:t xml:space="preserve"> on ancillary uptake a condition that is likely to encourage unethical </w:t>
      </w:r>
      <w:r w:rsidR="00BC6BAD" w:rsidRPr="003D3DDF">
        <w:rPr>
          <w:rFonts w:ascii="Times New Roman" w:hAnsi="Times New Roman" w:cs="Times New Roman"/>
          <w:sz w:val="24"/>
          <w:szCs w:val="24"/>
        </w:rPr>
        <w:t>behaviors</w:t>
      </w:r>
      <w:r w:rsidRPr="003D3DDF">
        <w:rPr>
          <w:rFonts w:ascii="Times New Roman" w:hAnsi="Times New Roman" w:cs="Times New Roman"/>
          <w:sz w:val="24"/>
          <w:szCs w:val="24"/>
        </w:rPr>
        <w:t xml:space="preserve">.  </w:t>
      </w:r>
    </w:p>
    <w:p w14:paraId="642F0016" w14:textId="53CBFAA9" w:rsidR="00187D09" w:rsidRPr="003D3DDF" w:rsidRDefault="0047482F" w:rsidP="003D3DDF">
      <w:pPr>
        <w:spacing w:line="480" w:lineRule="auto"/>
        <w:rPr>
          <w:rFonts w:ascii="Times New Roman" w:hAnsi="Times New Roman" w:cs="Times New Roman"/>
          <w:sz w:val="24"/>
          <w:szCs w:val="24"/>
        </w:rPr>
      </w:pPr>
      <w:r w:rsidRPr="003D3DDF">
        <w:rPr>
          <w:rFonts w:ascii="Times New Roman" w:hAnsi="Times New Roman" w:cs="Times New Roman"/>
          <w:sz w:val="24"/>
          <w:szCs w:val="24"/>
        </w:rPr>
        <w:t>Create cross-functional ethics and compliance council to look at performance, legal changes and UX audit quarterly, with quick response to regulatory or market changes.</w:t>
      </w:r>
    </w:p>
    <w:sectPr w:rsidR="00187D09" w:rsidRPr="003D3DDF" w:rsidSect="005B505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13"/>
    <w:rsid w:val="001576E3"/>
    <w:rsid w:val="00157A19"/>
    <w:rsid w:val="00187D09"/>
    <w:rsid w:val="002243CD"/>
    <w:rsid w:val="002C2CC3"/>
    <w:rsid w:val="003016D2"/>
    <w:rsid w:val="00332607"/>
    <w:rsid w:val="00365BF2"/>
    <w:rsid w:val="003802B5"/>
    <w:rsid w:val="003D3DDF"/>
    <w:rsid w:val="003E79DF"/>
    <w:rsid w:val="003F141F"/>
    <w:rsid w:val="004263A2"/>
    <w:rsid w:val="0047482F"/>
    <w:rsid w:val="00485176"/>
    <w:rsid w:val="005B505A"/>
    <w:rsid w:val="00623113"/>
    <w:rsid w:val="00625CA4"/>
    <w:rsid w:val="006A75A0"/>
    <w:rsid w:val="006C6FD4"/>
    <w:rsid w:val="006F6F4E"/>
    <w:rsid w:val="007443A3"/>
    <w:rsid w:val="00753C82"/>
    <w:rsid w:val="007A1FBD"/>
    <w:rsid w:val="00823171"/>
    <w:rsid w:val="00852CAE"/>
    <w:rsid w:val="00891BE6"/>
    <w:rsid w:val="0089522F"/>
    <w:rsid w:val="00966B81"/>
    <w:rsid w:val="00981C59"/>
    <w:rsid w:val="009F4C9C"/>
    <w:rsid w:val="00B26890"/>
    <w:rsid w:val="00B54EA2"/>
    <w:rsid w:val="00B61847"/>
    <w:rsid w:val="00BC6AA9"/>
    <w:rsid w:val="00BC6BAD"/>
    <w:rsid w:val="00C06FB4"/>
    <w:rsid w:val="00D0180C"/>
    <w:rsid w:val="00D458A7"/>
    <w:rsid w:val="00D71B2D"/>
    <w:rsid w:val="00D830CA"/>
    <w:rsid w:val="00DC3697"/>
    <w:rsid w:val="00DE317C"/>
    <w:rsid w:val="00E539D0"/>
    <w:rsid w:val="00F00005"/>
    <w:rsid w:val="00F06F2E"/>
    <w:rsid w:val="00F701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D8741"/>
  <w15:chartTrackingRefBased/>
  <w15:docId w15:val="{CB9893EF-19F4-4659-986A-D8A349C5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8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82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25C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625CA4"/>
  </w:style>
  <w:style w:type="paragraph" w:styleId="NoSpacing">
    <w:name w:val="No Spacing"/>
    <w:link w:val="NoSpacingChar"/>
    <w:uiPriority w:val="1"/>
    <w:qFormat/>
    <w:rsid w:val="005B505A"/>
    <w:pPr>
      <w:spacing w:after="0" w:line="240" w:lineRule="auto"/>
    </w:pPr>
    <w:rPr>
      <w:lang w:eastAsia="en-US"/>
    </w:rPr>
  </w:style>
  <w:style w:type="character" w:customStyle="1" w:styleId="NoSpacingChar">
    <w:name w:val="No Spacing Char"/>
    <w:basedOn w:val="DefaultParagraphFont"/>
    <w:link w:val="NoSpacing"/>
    <w:uiPriority w:val="1"/>
    <w:rsid w:val="005B505A"/>
    <w:rPr>
      <w:lang w:eastAsia="en-US"/>
    </w:rPr>
  </w:style>
  <w:style w:type="paragraph" w:styleId="TOCHeading">
    <w:name w:val="TOC Heading"/>
    <w:basedOn w:val="Heading1"/>
    <w:next w:val="Normal"/>
    <w:uiPriority w:val="39"/>
    <w:unhideWhenUsed/>
    <w:qFormat/>
    <w:rsid w:val="003016D2"/>
    <w:pPr>
      <w:outlineLvl w:val="9"/>
    </w:pPr>
    <w:rPr>
      <w:lang w:eastAsia="en-US"/>
    </w:rPr>
  </w:style>
  <w:style w:type="paragraph" w:styleId="TOC1">
    <w:name w:val="toc 1"/>
    <w:basedOn w:val="Normal"/>
    <w:next w:val="Normal"/>
    <w:autoRedefine/>
    <w:uiPriority w:val="39"/>
    <w:unhideWhenUsed/>
    <w:rsid w:val="003016D2"/>
    <w:pPr>
      <w:spacing w:after="100"/>
    </w:pPr>
  </w:style>
  <w:style w:type="character" w:styleId="Hyperlink">
    <w:name w:val="Hyperlink"/>
    <w:basedOn w:val="DefaultParagraphFont"/>
    <w:uiPriority w:val="99"/>
    <w:unhideWhenUsed/>
    <w:rsid w:val="003016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F8FBDD-80F4-4CB0-9106-09E328113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25</Pages>
  <Words>5323</Words>
  <Characters>30347</Characters>
  <Application>Microsoft Office Word</Application>
  <DocSecurity>0</DocSecurity>
  <Lines>252</Lines>
  <Paragraphs>71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Abstract  </vt:lpstr>
      <vt:lpstr>Introduction</vt:lpstr>
      <vt:lpstr>Literature Review</vt:lpstr>
      <vt:lpstr>Methodology  </vt:lpstr>
      <vt:lpstr>Findings</vt:lpstr>
      <vt:lpstr>Discussion</vt:lpstr>
    </vt:vector>
  </TitlesOfParts>
  <Company/>
  <LinksUpToDate>false</LinksUpToDate>
  <CharactersWithSpaces>35599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Management</dc:title>
  <dc:subject>Ethical Challenges in Sales Management – Balancing Profitability and ConsumerTrust</dc:subject>
  <dc:creator>Shubham</dc:creator>
  <cp:keywords/>
  <dc:description/>
  <cp:lastModifiedBy>Rahul</cp:lastModifiedBy>
  <cp:revision>42</cp:revision>
  <dcterms:created xsi:type="dcterms:W3CDTF">2025-10-23T17:24:00Z</dcterms:created>
  <dcterms:modified xsi:type="dcterms:W3CDTF">2025-10-23T18:47:00Z</dcterms:modified>
</cp:coreProperties>
</file>