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B046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C6DBE77" wp14:editId="7930D07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67453E8"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67C3D47A"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5EBB4D6C"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529600CC" w14:textId="77777777" w:rsidR="0019504D" w:rsidRDefault="0019504D"/>
    <w:p w14:paraId="5FA986C5" w14:textId="77777777" w:rsidR="0019504D" w:rsidRDefault="0019504D"/>
    <w:p w14:paraId="05A42CA8" w14:textId="77777777" w:rsidR="0019504D" w:rsidRDefault="0019504D"/>
    <w:p w14:paraId="0651CA87" w14:textId="77777777" w:rsidR="0019504D" w:rsidRDefault="0019504D"/>
    <w:p w14:paraId="0AD357F1" w14:textId="77777777" w:rsidR="0019504D" w:rsidRDefault="0019504D"/>
    <w:p w14:paraId="68E1632F" w14:textId="77777777" w:rsidR="00CD620A" w:rsidRDefault="00CD620A"/>
    <w:p w14:paraId="29A6E97A" w14:textId="77777777" w:rsidR="00CD620A" w:rsidRDefault="00CD620A"/>
    <w:p w14:paraId="0357BA47" w14:textId="77777777" w:rsidR="00CD620A" w:rsidRDefault="00CD620A"/>
    <w:p w14:paraId="5791D7CF" w14:textId="77777777" w:rsidR="00CD620A" w:rsidRDefault="00CD620A"/>
    <w:p w14:paraId="11110BE0" w14:textId="77777777" w:rsidR="00CD620A" w:rsidRDefault="00CD620A"/>
    <w:p w14:paraId="56014486" w14:textId="77777777" w:rsidR="00EA737F" w:rsidRDefault="00EA737F"/>
    <w:p w14:paraId="09AEB2B5" w14:textId="77777777" w:rsidR="0019504D" w:rsidRDefault="0019504D"/>
    <w:p w14:paraId="0E0A7E0F" w14:textId="77777777" w:rsidR="0019504D" w:rsidRDefault="0019504D"/>
    <w:p w14:paraId="4392B0AF"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6D90FBFE" w14:textId="77777777" w:rsidR="00CA2604" w:rsidRDefault="00CA2604" w:rsidP="00EA737F">
      <w:pPr>
        <w:spacing w:line="276" w:lineRule="auto"/>
        <w:rPr>
          <w:b/>
          <w:bCs/>
          <w:lang w:val="en-US"/>
        </w:rPr>
      </w:pPr>
    </w:p>
    <w:p w14:paraId="6E2037FB" w14:textId="77777777" w:rsidR="00CA2604" w:rsidRPr="00EA737F" w:rsidRDefault="00CA2604" w:rsidP="00EA737F">
      <w:pPr>
        <w:spacing w:line="276" w:lineRule="auto"/>
        <w:rPr>
          <w:b/>
          <w:bCs/>
          <w:lang w:val="en-US"/>
        </w:rPr>
      </w:pPr>
    </w:p>
    <w:p w14:paraId="651089FF" w14:textId="77777777" w:rsidR="00EA737F" w:rsidRDefault="00EA737F" w:rsidP="00EA737F">
      <w:pPr>
        <w:spacing w:line="276" w:lineRule="auto"/>
        <w:rPr>
          <w:lang w:val="en-US"/>
        </w:rPr>
      </w:pPr>
    </w:p>
    <w:p w14:paraId="022F5DFD" w14:textId="1149B9C8" w:rsidR="006D44C3" w:rsidRDefault="00EA737F" w:rsidP="003E6F9A">
      <w:pPr>
        <w:spacing w:line="276" w:lineRule="auto"/>
        <w:rPr>
          <w:b/>
          <w:bCs/>
          <w:lang w:val="en-US"/>
        </w:rPr>
      </w:pPr>
      <w:r w:rsidRPr="003E6F9A">
        <w:rPr>
          <w:b/>
          <w:bCs/>
          <w:lang w:val="en-US"/>
        </w:rPr>
        <w:t xml:space="preserve">1- </w:t>
      </w:r>
      <w:r w:rsidR="003E6F9A" w:rsidRPr="003E6F9A">
        <w:rPr>
          <w:b/>
          <w:bCs/>
          <w:lang w:val="en-US"/>
        </w:rPr>
        <w:t>What are the Challenges in Harmonizing Consumer Protection Standards Globally?</w:t>
      </w:r>
    </w:p>
    <w:p w14:paraId="56B9E536" w14:textId="77777777" w:rsidR="006D44C3" w:rsidRDefault="006D44C3" w:rsidP="003E6F9A">
      <w:pPr>
        <w:spacing w:line="276" w:lineRule="auto"/>
        <w:rPr>
          <w:b/>
          <w:bCs/>
          <w:lang w:val="en-US"/>
        </w:rPr>
      </w:pPr>
    </w:p>
    <w:p w14:paraId="414E941A" w14:textId="77777777" w:rsidR="006D44C3" w:rsidRDefault="006D44C3" w:rsidP="003E6F9A">
      <w:pPr>
        <w:spacing w:line="276" w:lineRule="auto"/>
        <w:rPr>
          <w:b/>
          <w:bCs/>
          <w:lang w:val="en-US"/>
        </w:rPr>
      </w:pPr>
    </w:p>
    <w:p w14:paraId="247D022C" w14:textId="77777777" w:rsidR="006D44C3" w:rsidRDefault="006D44C3" w:rsidP="003E6F9A">
      <w:pPr>
        <w:spacing w:line="276" w:lineRule="auto"/>
        <w:rPr>
          <w:b/>
          <w:bCs/>
          <w:lang w:val="en-US"/>
        </w:rPr>
      </w:pPr>
    </w:p>
    <w:p w14:paraId="41DF981E" w14:textId="77777777" w:rsidR="006D44C3" w:rsidRDefault="006D44C3" w:rsidP="003E6F9A">
      <w:pPr>
        <w:spacing w:line="276" w:lineRule="auto"/>
        <w:rPr>
          <w:b/>
          <w:bCs/>
          <w:lang w:val="en-US"/>
        </w:rPr>
      </w:pPr>
    </w:p>
    <w:p w14:paraId="390160AD" w14:textId="77777777" w:rsidR="006D44C3" w:rsidRDefault="006D44C3" w:rsidP="003E6F9A">
      <w:pPr>
        <w:spacing w:line="276" w:lineRule="auto"/>
        <w:rPr>
          <w:b/>
          <w:bCs/>
          <w:lang w:val="en-US"/>
        </w:rPr>
      </w:pPr>
    </w:p>
    <w:p w14:paraId="1DA1561D" w14:textId="77777777" w:rsidR="006D44C3" w:rsidRDefault="006D44C3" w:rsidP="003E6F9A">
      <w:pPr>
        <w:spacing w:line="276" w:lineRule="auto"/>
        <w:rPr>
          <w:b/>
          <w:bCs/>
          <w:lang w:val="en-US"/>
        </w:rPr>
      </w:pPr>
    </w:p>
    <w:p w14:paraId="061979C3" w14:textId="77777777" w:rsidR="006D44C3" w:rsidRDefault="006D44C3" w:rsidP="003E6F9A">
      <w:pPr>
        <w:spacing w:line="276" w:lineRule="auto"/>
        <w:rPr>
          <w:b/>
          <w:bCs/>
          <w:lang w:val="en-US"/>
        </w:rPr>
      </w:pPr>
    </w:p>
    <w:p w14:paraId="0F6C0C3A" w14:textId="77777777" w:rsidR="006D44C3" w:rsidRDefault="006D44C3" w:rsidP="003E6F9A">
      <w:pPr>
        <w:spacing w:line="276" w:lineRule="auto"/>
        <w:rPr>
          <w:b/>
          <w:bCs/>
          <w:lang w:val="en-US"/>
        </w:rPr>
      </w:pPr>
    </w:p>
    <w:p w14:paraId="71A4A138" w14:textId="77777777" w:rsidR="006D44C3" w:rsidRDefault="006D44C3" w:rsidP="003E6F9A">
      <w:pPr>
        <w:spacing w:line="276" w:lineRule="auto"/>
        <w:rPr>
          <w:b/>
          <w:bCs/>
          <w:lang w:val="en-US"/>
        </w:rPr>
      </w:pPr>
    </w:p>
    <w:p w14:paraId="03E13DF9" w14:textId="77777777" w:rsidR="006D44C3" w:rsidRDefault="006D44C3" w:rsidP="003E6F9A">
      <w:pPr>
        <w:spacing w:line="276" w:lineRule="auto"/>
        <w:rPr>
          <w:b/>
          <w:bCs/>
          <w:lang w:val="en-US"/>
        </w:rPr>
      </w:pPr>
    </w:p>
    <w:p w14:paraId="3ED29F79" w14:textId="77777777" w:rsidR="006D44C3" w:rsidRDefault="006D44C3" w:rsidP="003E6F9A">
      <w:pPr>
        <w:spacing w:line="276" w:lineRule="auto"/>
        <w:rPr>
          <w:b/>
          <w:bCs/>
          <w:lang w:val="en-US"/>
        </w:rPr>
      </w:pPr>
    </w:p>
    <w:p w14:paraId="04A3D070" w14:textId="77777777" w:rsidR="006D44C3" w:rsidRDefault="006D44C3" w:rsidP="003E6F9A">
      <w:pPr>
        <w:spacing w:line="276" w:lineRule="auto"/>
        <w:rPr>
          <w:b/>
          <w:bCs/>
          <w:lang w:val="en-US"/>
        </w:rPr>
      </w:pPr>
    </w:p>
    <w:p w14:paraId="19FDBD54" w14:textId="77777777" w:rsidR="006D44C3" w:rsidRDefault="006D44C3" w:rsidP="003E6F9A">
      <w:pPr>
        <w:spacing w:line="276" w:lineRule="auto"/>
        <w:rPr>
          <w:b/>
          <w:bCs/>
          <w:lang w:val="en-US"/>
        </w:rPr>
      </w:pPr>
    </w:p>
    <w:p w14:paraId="77A9A186" w14:textId="77777777" w:rsidR="006D44C3" w:rsidRDefault="006D44C3" w:rsidP="003E6F9A">
      <w:pPr>
        <w:spacing w:line="276" w:lineRule="auto"/>
        <w:rPr>
          <w:b/>
          <w:bCs/>
          <w:lang w:val="en-US"/>
        </w:rPr>
      </w:pPr>
    </w:p>
    <w:p w14:paraId="2CCD2D25" w14:textId="77777777" w:rsidR="006D44C3" w:rsidRDefault="006D44C3" w:rsidP="003E6F9A">
      <w:pPr>
        <w:spacing w:line="276" w:lineRule="auto"/>
        <w:rPr>
          <w:b/>
          <w:bCs/>
          <w:lang w:val="en-US"/>
        </w:rPr>
      </w:pPr>
    </w:p>
    <w:p w14:paraId="6463955B" w14:textId="77777777" w:rsidR="006D44C3" w:rsidRDefault="006D44C3" w:rsidP="003E6F9A">
      <w:pPr>
        <w:spacing w:line="276" w:lineRule="auto"/>
        <w:rPr>
          <w:b/>
          <w:bCs/>
          <w:lang w:val="en-US"/>
        </w:rPr>
      </w:pPr>
    </w:p>
    <w:p w14:paraId="659AE463" w14:textId="77777777" w:rsidR="006D44C3" w:rsidRDefault="006D44C3" w:rsidP="003E6F9A">
      <w:pPr>
        <w:spacing w:line="276" w:lineRule="auto"/>
        <w:rPr>
          <w:b/>
          <w:bCs/>
          <w:lang w:val="en-US"/>
        </w:rPr>
      </w:pPr>
    </w:p>
    <w:p w14:paraId="4FFC86CA" w14:textId="77777777" w:rsidR="006D44C3" w:rsidRDefault="006D44C3" w:rsidP="003E6F9A">
      <w:pPr>
        <w:spacing w:line="276" w:lineRule="auto"/>
        <w:rPr>
          <w:b/>
          <w:bCs/>
          <w:lang w:val="en-US"/>
        </w:rPr>
      </w:pPr>
    </w:p>
    <w:p w14:paraId="157618EE" w14:textId="77777777" w:rsidR="006D44C3" w:rsidRDefault="006D44C3" w:rsidP="003E6F9A">
      <w:pPr>
        <w:spacing w:line="276" w:lineRule="auto"/>
        <w:rPr>
          <w:b/>
          <w:bCs/>
          <w:lang w:val="en-US"/>
        </w:rPr>
      </w:pPr>
    </w:p>
    <w:p w14:paraId="1BFE5E7B" w14:textId="77777777" w:rsidR="006D44C3" w:rsidRDefault="006D44C3" w:rsidP="003E6F9A">
      <w:pPr>
        <w:spacing w:line="276" w:lineRule="auto"/>
        <w:rPr>
          <w:b/>
          <w:bCs/>
          <w:lang w:val="en-US"/>
        </w:rPr>
      </w:pPr>
    </w:p>
    <w:p w14:paraId="305905EA" w14:textId="77777777" w:rsidR="006D44C3" w:rsidRDefault="006D44C3" w:rsidP="003E6F9A">
      <w:pPr>
        <w:spacing w:line="276" w:lineRule="auto"/>
        <w:rPr>
          <w:b/>
          <w:bCs/>
          <w:lang w:val="en-US"/>
        </w:rPr>
      </w:pPr>
    </w:p>
    <w:p w14:paraId="56806ADD" w14:textId="77777777" w:rsidR="006D44C3" w:rsidRPr="006D44C3" w:rsidRDefault="006D44C3" w:rsidP="006D44C3">
      <w:pPr>
        <w:spacing w:line="276" w:lineRule="auto"/>
        <w:rPr>
          <w:b/>
          <w:bCs/>
          <w:lang w:val="en-GB"/>
        </w:rPr>
      </w:pPr>
      <w:r w:rsidRPr="006D44C3">
        <w:rPr>
          <w:b/>
          <w:bCs/>
          <w:lang w:val="en-GB"/>
        </w:rPr>
        <w:lastRenderedPageBreak/>
        <w:t>Challenges in Harmonizing Consumer Protection Standards Globally</w:t>
      </w:r>
    </w:p>
    <w:p w14:paraId="6E25C39B" w14:textId="77777777" w:rsidR="00C05298" w:rsidRPr="00C05298" w:rsidRDefault="00C05298" w:rsidP="00C05298">
      <w:pPr>
        <w:spacing w:line="276" w:lineRule="auto"/>
        <w:rPr>
          <w:lang w:val="en-GB"/>
        </w:rPr>
      </w:pPr>
      <w:r w:rsidRPr="00C05298">
        <w:rPr>
          <w:lang w:val="en-GB"/>
        </w:rPr>
        <w:t xml:space="preserve">Harmonizing consumer protection standards globally is a complex policy target due to major disparities in legal systems, economic capabilities, cultural values, and regulatory priorities among countries. One of the most notable difficulties is variation in legal and regulatory systems. Consumer protection laws are ingrained in national legal traditions such as common law and civil law systems, which define consumer rights, obligations, and enforcement methods differently. As a result, creating uniform standards risks conflicts with domestic laws and may weaken national regulatory autonomy (Howells, Ramsay &amp; Wilhelmsson, 2018). </w:t>
      </w:r>
      <w:r w:rsidRPr="00C05298">
        <w:rPr>
          <w:lang w:val="en-GB"/>
        </w:rPr>
        <w:br/>
        <w:t>A second key concern is economic disparities between countries. Developed economies often have strong regulatory structures, effective enforcement systems, and well-informed consumers. In contrast, emerging countries generally have limited administrative capacity and emphasize market expansion and international investment. Imposing high global consumer protection standards may increase compliance costs for firms in these economies, potentially restricting participation in global trade and digital markets (</w:t>
      </w:r>
      <w:proofErr w:type="spellStart"/>
      <w:r w:rsidRPr="00C05298">
        <w:rPr>
          <w:lang w:val="en-GB"/>
        </w:rPr>
        <w:t>Micklitz</w:t>
      </w:r>
      <w:proofErr w:type="spellEnd"/>
      <w:r w:rsidRPr="00C05298">
        <w:rPr>
          <w:lang w:val="en-GB"/>
        </w:rPr>
        <w:t xml:space="preserve"> et al., 2019).</w:t>
      </w:r>
      <w:r w:rsidRPr="00C05298">
        <w:rPr>
          <w:lang w:val="en-GB"/>
        </w:rPr>
        <w:br/>
        <w:t xml:space="preserve">Harmonization is also hampered by behavioural and cultural differences. Societies differ greatly in what consumers demand in terms of product safety, fairness, refunds, warranties, and advertising. What is deemed unfair or dishonest in one cultural setting could be considered a legitimate business strategy in another. These variances make it difficult to develop internationally acceptable norms without neglecting local consumer behaviour and social values (Wilhelmsson, 2020). </w:t>
      </w:r>
      <w:r w:rsidRPr="00C05298">
        <w:rPr>
          <w:lang w:val="en-GB"/>
        </w:rPr>
        <w:br/>
      </w:r>
      <w:r w:rsidRPr="00C05298">
        <w:rPr>
          <w:lang w:val="en-GB"/>
        </w:rPr>
        <w:br/>
        <w:t xml:space="preserve">The rise of cross-border e-commerce and digital platforms further complicates harmonization. Online transactions typically include many jurisdictions, generating problems regarding relevant law, consumer redress, and regulatory accountability. Variations in data protection legislation, platform liability, and online dispute resolution mechanisms hinder the effectiveness of consumer protection in digital markets, particularly when enforcement across borders is inadequate (Reisch &amp; </w:t>
      </w:r>
      <w:proofErr w:type="spellStart"/>
      <w:r w:rsidRPr="00C05298">
        <w:rPr>
          <w:lang w:val="en-GB"/>
        </w:rPr>
        <w:t>Micklitz</w:t>
      </w:r>
      <w:proofErr w:type="spellEnd"/>
      <w:r w:rsidRPr="00C05298">
        <w:rPr>
          <w:lang w:val="en-GB"/>
        </w:rPr>
        <w:t xml:space="preserve">, 2016). </w:t>
      </w:r>
      <w:r w:rsidRPr="00C05298">
        <w:rPr>
          <w:lang w:val="en-GB"/>
        </w:rPr>
        <w:br/>
        <w:t xml:space="preserve">Finally, institutional and enforcement restrictions offer structural barriers. International guidelines promoted by entities such as the United Nations and the OECD are primarily non-binding. Implementation depends on voluntary adoption by national governments, leading to inconsistent application and regulatory fragmentation. This lack of binding power hinders the effectiveness of global harmonization initiatives (Howells &amp; Weatherill, 2021). </w:t>
      </w:r>
      <w:r w:rsidRPr="00C05298">
        <w:rPr>
          <w:lang w:val="en-GB"/>
        </w:rPr>
        <w:br/>
        <w:t>In conclusion, while worldwide harmonization of consumer protection norms could boost consumer trust and promote international trade, it is hampered by legislative diversity, economic disparity, cultural variation, digital market complexity, and poor enforcement mechanisms. A realistic strategy involves establishing minimum international standards paired with regional collaboration and mutual recognition rather than full legal uniformity.</w:t>
      </w:r>
    </w:p>
    <w:p w14:paraId="456085BE" w14:textId="20B4A8AC" w:rsidR="006D44C3" w:rsidRDefault="006D44C3" w:rsidP="006D44C3">
      <w:pPr>
        <w:spacing w:line="276" w:lineRule="auto"/>
        <w:rPr>
          <w:b/>
          <w:bCs/>
          <w:lang w:val="en-GB"/>
        </w:rPr>
      </w:pPr>
    </w:p>
    <w:p w14:paraId="116317B5" w14:textId="77777777" w:rsidR="00B8449A" w:rsidRDefault="00B8449A" w:rsidP="006D44C3">
      <w:pPr>
        <w:spacing w:line="276" w:lineRule="auto"/>
        <w:rPr>
          <w:b/>
          <w:bCs/>
          <w:lang w:val="en-GB"/>
        </w:rPr>
      </w:pPr>
    </w:p>
    <w:p w14:paraId="5A035AF7" w14:textId="77777777" w:rsidR="00B8449A" w:rsidRDefault="00B8449A" w:rsidP="006D44C3">
      <w:pPr>
        <w:spacing w:line="276" w:lineRule="auto"/>
        <w:rPr>
          <w:b/>
          <w:bCs/>
          <w:lang w:val="en-GB"/>
        </w:rPr>
      </w:pPr>
    </w:p>
    <w:p w14:paraId="324C413E" w14:textId="77777777" w:rsidR="00B8449A" w:rsidRPr="006D44C3" w:rsidRDefault="00B8449A" w:rsidP="006D44C3">
      <w:pPr>
        <w:spacing w:line="276" w:lineRule="auto"/>
        <w:rPr>
          <w:b/>
          <w:bCs/>
          <w:lang w:val="en-GB"/>
        </w:rPr>
      </w:pPr>
    </w:p>
    <w:p w14:paraId="22F7ABE2" w14:textId="2FCE7627" w:rsidR="006D44C3" w:rsidRDefault="006D44C3" w:rsidP="006D44C3">
      <w:pPr>
        <w:spacing w:line="276" w:lineRule="auto"/>
        <w:rPr>
          <w:b/>
          <w:bCs/>
          <w:lang w:val="en-GB"/>
        </w:rPr>
      </w:pPr>
      <w:r w:rsidRPr="006D44C3">
        <w:rPr>
          <w:b/>
          <w:bCs/>
          <w:lang w:val="en-GB"/>
        </w:rPr>
        <w:t xml:space="preserve">References </w:t>
      </w:r>
    </w:p>
    <w:p w14:paraId="15887A74" w14:textId="77777777" w:rsidR="006D44C3" w:rsidRPr="006D44C3" w:rsidRDefault="006D44C3" w:rsidP="006D44C3">
      <w:pPr>
        <w:spacing w:line="276" w:lineRule="auto"/>
        <w:rPr>
          <w:b/>
          <w:bCs/>
          <w:lang w:val="en-GB"/>
        </w:rPr>
      </w:pPr>
    </w:p>
    <w:p w14:paraId="1289B91F" w14:textId="77777777" w:rsidR="006D44C3" w:rsidRPr="006D44C3" w:rsidRDefault="006D44C3" w:rsidP="006D44C3">
      <w:pPr>
        <w:spacing w:line="276" w:lineRule="auto"/>
        <w:rPr>
          <w:b/>
          <w:bCs/>
          <w:lang w:val="en-GB"/>
        </w:rPr>
      </w:pPr>
      <w:r w:rsidRPr="006D44C3">
        <w:rPr>
          <w:b/>
          <w:bCs/>
          <w:lang w:val="en-GB"/>
        </w:rPr>
        <w:t xml:space="preserve">Howells, G., Ramsay, I. &amp; Wilhelmsson, T. (2018) </w:t>
      </w:r>
      <w:r w:rsidRPr="006D44C3">
        <w:rPr>
          <w:b/>
          <w:bCs/>
          <w:i/>
          <w:iCs/>
          <w:lang w:val="en-GB"/>
        </w:rPr>
        <w:t>Consumer law in its international dimension</w:t>
      </w:r>
      <w:r w:rsidRPr="006D44C3">
        <w:rPr>
          <w:b/>
          <w:bCs/>
          <w:lang w:val="en-GB"/>
        </w:rPr>
        <w:t>. Journal of Consumer Policy, 41(2), pp. 113–129. https://doi.org/10.1007/s10603-018-9378-6</w:t>
      </w:r>
    </w:p>
    <w:p w14:paraId="488FA0B2" w14:textId="77777777" w:rsidR="006D44C3" w:rsidRPr="006D44C3" w:rsidRDefault="006D44C3" w:rsidP="006D44C3">
      <w:pPr>
        <w:spacing w:line="276" w:lineRule="auto"/>
        <w:rPr>
          <w:b/>
          <w:bCs/>
          <w:lang w:val="en-GB"/>
        </w:rPr>
      </w:pPr>
      <w:r w:rsidRPr="006D44C3">
        <w:rPr>
          <w:b/>
          <w:bCs/>
          <w:lang w:val="en-GB"/>
        </w:rPr>
        <w:t xml:space="preserve">Micklitz, H.-W., Reich, N., Rott, P. &amp; Weatherill, S. (2019) </w:t>
      </w:r>
      <w:r w:rsidRPr="006D44C3">
        <w:rPr>
          <w:b/>
          <w:bCs/>
          <w:i/>
          <w:iCs/>
          <w:lang w:val="en-GB"/>
        </w:rPr>
        <w:t>European Consumer Law</w:t>
      </w:r>
      <w:r w:rsidRPr="006D44C3">
        <w:rPr>
          <w:b/>
          <w:bCs/>
          <w:lang w:val="en-GB"/>
        </w:rPr>
        <w:t>. Journal of Consumer Policy, 42(1), pp. 1–6. https://doi.org/10.1007/s10603-018-9402-x</w:t>
      </w:r>
    </w:p>
    <w:p w14:paraId="49149C9D" w14:textId="77777777" w:rsidR="006D44C3" w:rsidRPr="006D44C3" w:rsidRDefault="006D44C3" w:rsidP="006D44C3">
      <w:pPr>
        <w:spacing w:line="276" w:lineRule="auto"/>
        <w:rPr>
          <w:b/>
          <w:bCs/>
          <w:lang w:val="en-GB"/>
        </w:rPr>
      </w:pPr>
      <w:r w:rsidRPr="006D44C3">
        <w:rPr>
          <w:b/>
          <w:bCs/>
          <w:lang w:val="en-GB"/>
        </w:rPr>
        <w:t xml:space="preserve">Reisch, L.A. &amp; </w:t>
      </w:r>
      <w:proofErr w:type="spellStart"/>
      <w:r w:rsidRPr="006D44C3">
        <w:rPr>
          <w:b/>
          <w:bCs/>
          <w:lang w:val="en-GB"/>
        </w:rPr>
        <w:t>Micklitz</w:t>
      </w:r>
      <w:proofErr w:type="spellEnd"/>
      <w:r w:rsidRPr="006D44C3">
        <w:rPr>
          <w:b/>
          <w:bCs/>
          <w:lang w:val="en-GB"/>
        </w:rPr>
        <w:t xml:space="preserve">, H.-W. (2016) </w:t>
      </w:r>
      <w:r w:rsidRPr="006D44C3">
        <w:rPr>
          <w:b/>
          <w:bCs/>
          <w:i/>
          <w:iCs/>
          <w:lang w:val="en-GB"/>
        </w:rPr>
        <w:t>Digital consumer protection and behavioural economics</w:t>
      </w:r>
      <w:r w:rsidRPr="006D44C3">
        <w:rPr>
          <w:b/>
          <w:bCs/>
          <w:lang w:val="en-GB"/>
        </w:rPr>
        <w:t>. Journal of Consumer Policy, 39(3), pp. 315–338. https://doi.org/10.1007/s10603-016-9326-8</w:t>
      </w:r>
    </w:p>
    <w:p w14:paraId="36C9059B" w14:textId="77777777" w:rsidR="006D44C3" w:rsidRPr="006D44C3" w:rsidRDefault="006D44C3" w:rsidP="006D44C3">
      <w:pPr>
        <w:spacing w:line="276" w:lineRule="auto"/>
        <w:rPr>
          <w:b/>
          <w:bCs/>
          <w:lang w:val="en-GB"/>
        </w:rPr>
      </w:pPr>
      <w:r w:rsidRPr="006D44C3">
        <w:rPr>
          <w:b/>
          <w:bCs/>
          <w:lang w:val="en-GB"/>
        </w:rPr>
        <w:t xml:space="preserve">Wilhelmsson, T. (2020) </w:t>
      </w:r>
      <w:r w:rsidRPr="006D44C3">
        <w:rPr>
          <w:b/>
          <w:bCs/>
          <w:i/>
          <w:iCs/>
          <w:lang w:val="en-GB"/>
        </w:rPr>
        <w:t>The role of fairness in consumer protection</w:t>
      </w:r>
      <w:r w:rsidRPr="006D44C3">
        <w:rPr>
          <w:b/>
          <w:bCs/>
          <w:lang w:val="en-GB"/>
        </w:rPr>
        <w:t>. Journal of Consumer Policy, 43(3), pp. 507–529. https://doi.org/10.1007/s10603-020-09452-3</w:t>
      </w:r>
    </w:p>
    <w:p w14:paraId="02B91C11" w14:textId="77777777" w:rsidR="006D44C3" w:rsidRPr="006D44C3" w:rsidRDefault="006D44C3" w:rsidP="003E6F9A">
      <w:pPr>
        <w:spacing w:line="276" w:lineRule="auto"/>
        <w:rPr>
          <w:b/>
          <w:bCs/>
          <w:lang w:val="en-US"/>
        </w:rPr>
      </w:pPr>
    </w:p>
    <w:sectPr w:rsidR="006D44C3" w:rsidRPr="006D4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E34C8275-FB91-4976-829E-5C8C5108B0CE}"/>
    <w:embedBold r:id="rId2" w:fontKey="{8A3C8897-3C3A-48B9-BED1-038C8C0D7DE3}"/>
    <w:embedBoldItalic r:id="rId3" w:fontKey="{A2537DB2-894F-4D92-9DFC-CD36EB9E936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48DC1AE-1683-4F0C-8F21-98A2ACC301FA}"/>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FA792BC7-B700-4D2C-9599-2BB05901DCD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E6F9A"/>
    <w:rsid w:val="00426865"/>
    <w:rsid w:val="00477CAA"/>
    <w:rsid w:val="00481859"/>
    <w:rsid w:val="00502E29"/>
    <w:rsid w:val="005E458B"/>
    <w:rsid w:val="006474DC"/>
    <w:rsid w:val="00661030"/>
    <w:rsid w:val="006D44C3"/>
    <w:rsid w:val="00716E23"/>
    <w:rsid w:val="00844EC2"/>
    <w:rsid w:val="008516FE"/>
    <w:rsid w:val="00903466"/>
    <w:rsid w:val="009C1D0A"/>
    <w:rsid w:val="00A044F7"/>
    <w:rsid w:val="00A8150E"/>
    <w:rsid w:val="00B20343"/>
    <w:rsid w:val="00B8449A"/>
    <w:rsid w:val="00B85EA7"/>
    <w:rsid w:val="00BE65DD"/>
    <w:rsid w:val="00C05298"/>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497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605</Words>
  <Characters>3455</Characters>
  <Application>Microsoft Office Word</Application>
  <DocSecurity>0</DocSecurity>
  <Lines>28</Lines>
  <Paragraphs>8</Paragraphs>
  <ScaleCrop>false</ScaleCrop>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2026-02-04T13:16:00Z</dcterms:created>
  <dcterms:modified xsi:type="dcterms:W3CDTF">2026-02-04T13:16:00Z</dcterms:modified>
</cp:coreProperties>
</file>