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30682BB3" w14:textId="77777777" w:rsidR="00CC38D3" w:rsidRPr="00CC38D3" w:rsidRDefault="00CC38D3" w:rsidP="00CC38D3">
      <w:pPr>
        <w:spacing w:line="276" w:lineRule="auto"/>
        <w:rPr>
          <w:lang w:val="en-GB"/>
        </w:rPr>
      </w:pPr>
      <w:r w:rsidRPr="00CC38D3">
        <w:rPr>
          <w:lang w:val="en-GB"/>
        </w:rPr>
        <w:lastRenderedPageBreak/>
        <w:t>Conventional heritage management is grounded in long-established preservation principles that emphasize material authenticity, historical accuracy, and expert authority. This approach developed primarily in Europe during the 19th and 20th centuries and was later formalized through international charters such as the Venice Charter (1964). It focuses on the conservation of tangible heritage—monuments, buildings, and archaeological sites—ensuring that their physical fabric is maintained for future generations. Experts such as architects, archaeologists, and conservators play a central role in decision-making, applying scientific methods and standardized guidelines to preserve heritage sites.</w:t>
      </w:r>
    </w:p>
    <w:p w14:paraId="27613DB5" w14:textId="77777777" w:rsidR="00CC38D3" w:rsidRPr="00CC38D3" w:rsidRDefault="00CC38D3" w:rsidP="00CC38D3">
      <w:pPr>
        <w:spacing w:line="276" w:lineRule="auto"/>
        <w:rPr>
          <w:lang w:val="en-GB"/>
        </w:rPr>
      </w:pPr>
      <w:r w:rsidRPr="00CC38D3">
        <w:rPr>
          <w:lang w:val="en-GB"/>
        </w:rPr>
        <w:t>While the conventional approach has been instrumental in safeguarding many important cultural assets, it has also been criticized for its narrow focus. By prioritizing material conservation, it often overlooks the social, cultural, and emotional values associated with heritage. Furthermore, it tends to adopt a top-down model of management, where decisions are made by professionals with limited input from local communities. This can lead to situations where heritage is preserved in a way that does not reflect the needs or values of the people who interact with it daily. For example, urban conservation projects have sometimes displaced local populations or restricted their traditional use of heritage spaces.</w:t>
      </w:r>
    </w:p>
    <w:p w14:paraId="58890DC3" w14:textId="77777777" w:rsidR="00CC38D3" w:rsidRPr="00CC38D3" w:rsidRDefault="00CC38D3" w:rsidP="00CC38D3">
      <w:pPr>
        <w:spacing w:line="276" w:lineRule="auto"/>
        <w:rPr>
          <w:lang w:val="en-GB"/>
        </w:rPr>
      </w:pPr>
      <w:r w:rsidRPr="00CC38D3">
        <w:rPr>
          <w:lang w:val="en-GB"/>
        </w:rPr>
        <w:t xml:space="preserve">The value-led approach emerged as a response to these limitations, offering a more inclusive and flexible framework for heritage management. This approach emphasizes that heritage is not only about physical objects but also about the meanings and values that people attach to them. These values can be diverse, including social, spiritual, economic, and political dimensions. According to </w:t>
      </w:r>
      <w:proofErr w:type="spellStart"/>
      <w:r w:rsidRPr="00CC38D3">
        <w:rPr>
          <w:lang w:val="en-GB"/>
        </w:rPr>
        <w:t>Avrami</w:t>
      </w:r>
      <w:proofErr w:type="spellEnd"/>
      <w:r w:rsidRPr="00CC38D3">
        <w:rPr>
          <w:lang w:val="en-GB"/>
        </w:rPr>
        <w:t xml:space="preserve"> et al. (2019), understanding these values is essential for effective heritage management, as they influence how heritage is perceived, used, and preserved.</w:t>
      </w:r>
    </w:p>
    <w:p w14:paraId="1CE1D6D8" w14:textId="77777777" w:rsidR="00CC38D3" w:rsidRPr="00CC38D3" w:rsidRDefault="00CC38D3" w:rsidP="00CC38D3">
      <w:pPr>
        <w:spacing w:line="276" w:lineRule="auto"/>
        <w:rPr>
          <w:lang w:val="en-GB"/>
        </w:rPr>
      </w:pPr>
      <w:r w:rsidRPr="00CC38D3">
        <w:rPr>
          <w:lang w:val="en-GB"/>
        </w:rPr>
        <w:t>One of the key features of the value-led approach is stakeholder participation. Unlike the conventional model, it actively involves local communities, indigenous groups, and other stakeholders in decision-making processes. This participatory approach helps ensure that heritage management strategies reflect a broader range of perspectives and are more socially sustainable. For instance, heritage projects that involve community input often result in stronger local support and better long-term preservation outcomes.</w:t>
      </w:r>
    </w:p>
    <w:p w14:paraId="1EFBF09E" w14:textId="77777777" w:rsidR="00CC38D3" w:rsidRPr="00CC38D3" w:rsidRDefault="00CC38D3" w:rsidP="00CC38D3">
      <w:pPr>
        <w:spacing w:line="276" w:lineRule="auto"/>
        <w:rPr>
          <w:lang w:val="en-GB"/>
        </w:rPr>
      </w:pPr>
      <w:r w:rsidRPr="00CC38D3">
        <w:rPr>
          <w:lang w:val="en-GB"/>
        </w:rPr>
        <w:t>Another important distinction is the recognition of heritage as dynamic rather than static. The conventional approach seeks to preserve heritage in its original state, while the value-led approach acknowledges that heritage evolves over time. This is particularly relevant for living heritage, where cultural practices and traditions continue to change. By embracing this dynamic nature, value-led management allows heritage to remain relevant in contemporary society.</w:t>
      </w:r>
    </w:p>
    <w:p w14:paraId="424A9033" w14:textId="77777777" w:rsidR="00CC38D3" w:rsidRPr="00CC38D3" w:rsidRDefault="00CC38D3" w:rsidP="00CC38D3">
      <w:pPr>
        <w:spacing w:line="276" w:lineRule="auto"/>
        <w:rPr>
          <w:lang w:val="en-GB"/>
        </w:rPr>
      </w:pPr>
      <w:r w:rsidRPr="00CC38D3">
        <w:rPr>
          <w:lang w:val="en-GB"/>
        </w:rPr>
        <w:t xml:space="preserve">In evaluating effectiveness, the value-led approach is generally better suited to contemporary challenges. Issues such as globalization, urban development, and cultural diversity require flexible and inclusive management strategies. By incorporating multiple values and perspectives, the value-led approach can address these complexities more effectively than the conventional model. However, it also presents challenges, such as </w:t>
      </w:r>
      <w:r w:rsidRPr="00CC38D3">
        <w:rPr>
          <w:lang w:val="en-GB"/>
        </w:rPr>
        <w:lastRenderedPageBreak/>
        <w:t>managing conflicting stakeholder interests and ensuring that technical conservation standards are maintained.</w:t>
      </w:r>
    </w:p>
    <w:p w14:paraId="418AD436" w14:textId="77777777" w:rsidR="00CC38D3" w:rsidRPr="00CC38D3" w:rsidRDefault="00CC38D3" w:rsidP="00CC38D3">
      <w:pPr>
        <w:spacing w:line="276" w:lineRule="auto"/>
        <w:rPr>
          <w:lang w:val="en-GB"/>
        </w:rPr>
      </w:pPr>
      <w:r w:rsidRPr="00CC38D3">
        <w:rPr>
          <w:lang w:val="en-GB"/>
        </w:rPr>
        <w:t>Therefore, many scholars argue that the most effective approach to heritage management is a combination of both models. The conventional approach provides the technical expertise necessary for preserving physical structures, while the value-led approach ensures that heritage remains meaningful and relevant to society. This integrated approach allows for a more balanced and sustainable form of heritage management.</w:t>
      </w:r>
    </w:p>
    <w:p w14:paraId="05FBF3BD" w14:textId="77777777" w:rsidR="00CC38D3" w:rsidRPr="00CC38D3" w:rsidRDefault="00CC38D3" w:rsidP="00CC38D3">
      <w:pPr>
        <w:spacing w:line="276" w:lineRule="auto"/>
        <w:rPr>
          <w:lang w:val="en-GB"/>
        </w:rPr>
      </w:pPr>
      <w:r w:rsidRPr="00CC38D3">
        <w:rPr>
          <w:lang w:val="en-GB"/>
        </w:rPr>
        <w:t>In conclusion, while conventional heritage management has played a crucial role in protecting cultural assets, the value-led approach offers a more comprehensive and socially responsive framework. In today’s rapidly changing world, heritage management must go beyond material preservation to consider the diverse values that shape human relationships with heritage.</w:t>
      </w:r>
    </w:p>
    <w:p w14:paraId="2DC23E27" w14:textId="77777777" w:rsidR="00CC38D3" w:rsidRPr="00CC38D3" w:rsidRDefault="00CC38D3" w:rsidP="00CC38D3">
      <w:pPr>
        <w:spacing w:line="276" w:lineRule="auto"/>
        <w:rPr>
          <w:b/>
          <w:bCs/>
          <w:lang w:val="en-GB"/>
        </w:rPr>
      </w:pPr>
      <w:r w:rsidRPr="00CC38D3">
        <w:rPr>
          <w:b/>
          <w:bCs/>
          <w:lang w:val="en-GB"/>
        </w:rPr>
        <w:t>References</w:t>
      </w:r>
    </w:p>
    <w:p w14:paraId="0FD72341" w14:textId="77777777" w:rsidR="00CC38D3" w:rsidRPr="00CC38D3" w:rsidRDefault="00CC38D3" w:rsidP="00CC38D3">
      <w:pPr>
        <w:numPr>
          <w:ilvl w:val="0"/>
          <w:numId w:val="4"/>
        </w:numPr>
        <w:spacing w:line="276" w:lineRule="auto"/>
        <w:rPr>
          <w:b/>
          <w:bCs/>
          <w:lang w:val="en-GB"/>
        </w:rPr>
      </w:pPr>
      <w:proofErr w:type="spellStart"/>
      <w:r w:rsidRPr="00CC38D3">
        <w:rPr>
          <w:b/>
          <w:bCs/>
          <w:lang w:val="en-GB"/>
        </w:rPr>
        <w:t>Avrami</w:t>
      </w:r>
      <w:proofErr w:type="spellEnd"/>
      <w:r w:rsidRPr="00CC38D3">
        <w:rPr>
          <w:b/>
          <w:bCs/>
          <w:lang w:val="en-GB"/>
        </w:rPr>
        <w:t xml:space="preserve">, E., Mason, R., Macdonald, S., &amp; Myers, D. (2019). </w:t>
      </w:r>
      <w:r w:rsidRPr="00CC38D3">
        <w:rPr>
          <w:b/>
          <w:bCs/>
          <w:i/>
          <w:iCs/>
          <w:lang w:val="en-GB"/>
        </w:rPr>
        <w:t>Values in Heritage Management</w:t>
      </w:r>
      <w:r w:rsidRPr="00CC38D3">
        <w:rPr>
          <w:b/>
          <w:bCs/>
          <w:lang w:val="en-GB"/>
        </w:rPr>
        <w:t xml:space="preserve">. Getty Conservation Institute. </w:t>
      </w:r>
    </w:p>
    <w:p w14:paraId="4B703A39" w14:textId="77777777" w:rsidR="00CC38D3" w:rsidRPr="00CC38D3" w:rsidRDefault="00CC38D3" w:rsidP="00CC38D3">
      <w:pPr>
        <w:numPr>
          <w:ilvl w:val="0"/>
          <w:numId w:val="4"/>
        </w:numPr>
        <w:spacing w:line="276" w:lineRule="auto"/>
        <w:rPr>
          <w:b/>
          <w:bCs/>
          <w:lang w:val="en-GB"/>
        </w:rPr>
      </w:pPr>
      <w:r w:rsidRPr="00CC38D3">
        <w:rPr>
          <w:b/>
          <w:bCs/>
          <w:lang w:val="en-GB"/>
        </w:rPr>
        <w:t xml:space="preserve">Smith, L. (2006). </w:t>
      </w:r>
      <w:r w:rsidRPr="00CC38D3">
        <w:rPr>
          <w:b/>
          <w:bCs/>
          <w:i/>
          <w:iCs/>
          <w:lang w:val="en-GB"/>
        </w:rPr>
        <w:t>Uses of Heritage</w:t>
      </w:r>
      <w:r w:rsidRPr="00CC38D3">
        <w:rPr>
          <w:b/>
          <w:bCs/>
          <w:lang w:val="en-GB"/>
        </w:rPr>
        <w:t xml:space="preserve">. Routledge. </w:t>
      </w:r>
      <w:hyperlink r:id="rId6" w:tgtFrame="_new" w:history="1">
        <w:r w:rsidRPr="00CC38D3">
          <w:rPr>
            <w:rStyle w:val="Hyperlink"/>
            <w:b/>
            <w:bCs/>
            <w:lang w:val="en-GB"/>
          </w:rPr>
          <w:t>https://doi.org/10.4324/9780203602263</w:t>
        </w:r>
      </w:hyperlink>
      <w:r w:rsidRPr="00CC38D3">
        <w:rPr>
          <w:b/>
          <w:bCs/>
          <w:lang w:val="en-GB"/>
        </w:rPr>
        <w:t xml:space="preserve"> </w:t>
      </w:r>
    </w:p>
    <w:p w14:paraId="2B766CBB" w14:textId="77777777" w:rsidR="00CC38D3" w:rsidRPr="00CC38D3" w:rsidRDefault="00CC38D3" w:rsidP="00CC38D3">
      <w:pPr>
        <w:numPr>
          <w:ilvl w:val="0"/>
          <w:numId w:val="4"/>
        </w:numPr>
        <w:spacing w:line="276" w:lineRule="auto"/>
        <w:rPr>
          <w:b/>
          <w:bCs/>
          <w:lang w:val="en-GB"/>
        </w:rPr>
      </w:pPr>
      <w:r w:rsidRPr="00CC38D3">
        <w:rPr>
          <w:b/>
          <w:bCs/>
          <w:lang w:val="en-GB"/>
        </w:rPr>
        <w:t xml:space="preserve">Mason, R. (2008). </w:t>
      </w:r>
      <w:r w:rsidRPr="00CC38D3">
        <w:rPr>
          <w:b/>
          <w:bCs/>
          <w:i/>
          <w:iCs/>
          <w:lang w:val="en-GB"/>
        </w:rPr>
        <w:t>Assessing Values in Conservation Planning</w:t>
      </w:r>
      <w:r w:rsidRPr="00CC38D3">
        <w:rPr>
          <w:b/>
          <w:bCs/>
          <w:lang w:val="en-GB"/>
        </w:rPr>
        <w:t>. Getty Conservation Institute.</w:t>
      </w:r>
    </w:p>
    <w:p w14:paraId="776DCC7D" w14:textId="77777777" w:rsidR="004F00A3" w:rsidRDefault="004F00A3" w:rsidP="00CC38D3">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D120460-B61A-41EE-9301-31954B4B08F8}"/>
    <w:embedBold r:id="rId2" w:fontKey="{E19AEEF0-477B-4454-9267-DAB1947C659D}"/>
    <w:embedBoldItalic r:id="rId3" w:fontKey="{13EA1FA7-8A0D-456E-BFF6-9A6BF6B2AF1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7729979-5601-4084-B098-A644DE3D50F9}"/>
  </w:font>
  <w:font w:name="Calibri Light">
    <w:panose1 w:val="020F0302020204030204"/>
    <w:charset w:val="00"/>
    <w:family w:val="swiss"/>
    <w:pitch w:val="variable"/>
    <w:sig w:usb0="E4002EFF" w:usb1="C000247B" w:usb2="00000009" w:usb3="00000000" w:csb0="000001FF" w:csb1="00000000"/>
    <w:embedRegular r:id="rId5" w:fontKey="{E2E303D6-9EC3-4D77-BA24-87B4BF282E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0166">
    <w:abstractNumId w:val="2"/>
  </w:num>
  <w:num w:numId="2" w16cid:durableId="321082758">
    <w:abstractNumId w:val="0"/>
  </w:num>
  <w:num w:numId="3" w16cid:durableId="1925534475">
    <w:abstractNumId w:val="3"/>
  </w:num>
  <w:num w:numId="4" w16cid:durableId="1785995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942251"/>
    <w:rsid w:val="009C1D0A"/>
    <w:rsid w:val="00A044F7"/>
    <w:rsid w:val="00A8150E"/>
    <w:rsid w:val="00B20343"/>
    <w:rsid w:val="00B85EA7"/>
    <w:rsid w:val="00BE65DD"/>
    <w:rsid w:val="00C50C4A"/>
    <w:rsid w:val="00C612A4"/>
    <w:rsid w:val="00CC38D3"/>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4244</Characters>
  <Application>Microsoft Office Word</Application>
  <DocSecurity>0</DocSecurity>
  <Lines>35</Lines>
  <Paragraphs>9</Paragraphs>
  <ScaleCrop>false</ScaleCrop>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2026-04-18T12:20:00Z</dcterms:created>
  <dcterms:modified xsi:type="dcterms:W3CDTF">2026-04-18T12:20:00Z</dcterms:modified>
</cp:coreProperties>
</file>