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76" w:rsidRPr="00671F5B" w:rsidRDefault="005F0C76">
      <w:pPr>
        <w:rPr>
          <w:rFonts w:ascii="Times New Roman" w:hAnsi="Times New Roman" w:cs="Times New Roman"/>
          <w:lang w:val="de-DE"/>
        </w:rPr>
      </w:pPr>
      <w:r w:rsidRPr="00671F5B">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0C76" w:rsidRPr="00671F5B" w:rsidRDefault="005F0C76">
      <w:pPr>
        <w:rPr>
          <w:rFonts w:ascii="Times New Roman" w:hAnsi="Times New Roman" w:cs="Times New Roman"/>
          <w:lang w:val="de-DE"/>
        </w:rPr>
      </w:pPr>
    </w:p>
    <w:p w:rsidR="00426865" w:rsidRPr="00671F5B" w:rsidRDefault="0063034A">
      <w:pPr>
        <w:rPr>
          <w:rFonts w:ascii="Times New Roman" w:hAnsi="Times New Roman" w:cs="Times New Roman"/>
          <w:lang w:val="de-DE"/>
        </w:rPr>
      </w:pPr>
      <w:r w:rsidRPr="00671F5B">
        <w:rPr>
          <w:rFonts w:ascii="Times New Roman" w:hAnsi="Times New Roman" w:cs="Times New Roman"/>
          <w:lang w:val="de-DE"/>
        </w:rPr>
        <w:t>Health Threats in Tourism Course</w:t>
      </w:r>
    </w:p>
    <w:p w:rsidR="005F0C76" w:rsidRPr="00671F5B" w:rsidRDefault="005F0C76">
      <w:pPr>
        <w:rPr>
          <w:rFonts w:ascii="Times New Roman" w:hAnsi="Times New Roman" w:cs="Times New Roman"/>
          <w:lang w:val="de-DE"/>
        </w:rPr>
      </w:pPr>
      <w:r w:rsidRPr="00671F5B">
        <w:rPr>
          <w:rFonts w:ascii="Times New Roman" w:hAnsi="Times New Roman" w:cs="Times New Roman"/>
          <w:lang w:val="de-DE"/>
        </w:rPr>
        <w:t>Lecturer: Mahmoud Abdou</w:t>
      </w:r>
    </w:p>
    <w:p w:rsidR="0063034A" w:rsidRPr="00671F5B" w:rsidRDefault="0063034A">
      <w:pPr>
        <w:rPr>
          <w:rFonts w:ascii="Times New Roman" w:hAnsi="Times New Roman" w:cs="Times New Roman"/>
          <w:lang w:val="de-DE"/>
        </w:rPr>
      </w:pPr>
      <w:r w:rsidRPr="00671F5B">
        <w:rPr>
          <w:rFonts w:ascii="Times New Roman" w:hAnsi="Times New Roman" w:cs="Times New Roman"/>
          <w:lang w:val="de-DE"/>
        </w:rPr>
        <w:t>April 25, 2025</w:t>
      </w:r>
    </w:p>
    <w:p w:rsidR="0063034A" w:rsidRPr="00671F5B" w:rsidRDefault="0063034A">
      <w:pPr>
        <w:rPr>
          <w:rFonts w:ascii="Times New Roman" w:hAnsi="Times New Roman" w:cs="Times New Roman"/>
          <w:lang w:val="de-DE"/>
        </w:rPr>
      </w:pPr>
    </w:p>
    <w:p w:rsidR="0063034A" w:rsidRPr="00671F5B" w:rsidRDefault="0063034A">
      <w:pPr>
        <w:rPr>
          <w:rFonts w:ascii="Times New Roman" w:hAnsi="Times New Roman" w:cs="Times New Roman"/>
          <w:lang w:val="en-US"/>
        </w:rPr>
      </w:pPr>
    </w:p>
    <w:p w:rsidR="00671F5B" w:rsidRPr="002829E3" w:rsidRDefault="00671F5B" w:rsidP="00671F5B">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Submitted by       :</w:t>
      </w:r>
      <w:r w:rsidRPr="002829E3">
        <w:rPr>
          <w:rFonts w:ascii="Times New Roman" w:eastAsia="Times New Roman" w:hAnsi="Times New Roman" w:cs="Times New Roman"/>
        </w:rPr>
        <w:t xml:space="preserve"> Ehtisham Ul Haq</w:t>
      </w:r>
    </w:p>
    <w:p w:rsidR="00671F5B" w:rsidRPr="002829E3" w:rsidRDefault="00671F5B" w:rsidP="00671F5B">
      <w:pPr>
        <w:spacing w:before="100" w:beforeAutospacing="1" w:after="100" w:afterAutospacing="1"/>
        <w:rPr>
          <w:rFonts w:ascii="Times New Roman" w:eastAsia="Times New Roman" w:hAnsi="Times New Roman" w:cs="Times New Roman"/>
          <w:b/>
        </w:rPr>
      </w:pPr>
      <w:r w:rsidRPr="002829E3">
        <w:rPr>
          <w:rFonts w:ascii="Times New Roman" w:eastAsia="Times New Roman" w:hAnsi="Times New Roman" w:cs="Times New Roman"/>
          <w:b/>
        </w:rPr>
        <w:t>Course                  :</w:t>
      </w:r>
      <w:r w:rsidRPr="002829E3">
        <w:rPr>
          <w:rFonts w:ascii="Times New Roman" w:eastAsia="Times New Roman" w:hAnsi="Times New Roman" w:cs="Times New Roman"/>
        </w:rPr>
        <w:t xml:space="preserve"> BA Tourism Management and Recreation</w:t>
      </w:r>
    </w:p>
    <w:p w:rsidR="00671F5B" w:rsidRPr="002829E3" w:rsidRDefault="00671F5B" w:rsidP="00671F5B">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rPr>
        <w:t>Subject</w:t>
      </w:r>
      <w:r w:rsidRPr="002829E3">
        <w:rPr>
          <w:rFonts w:ascii="Times New Roman" w:eastAsia="Times New Roman" w:hAnsi="Times New Roman" w:cs="Times New Roman"/>
        </w:rPr>
        <w:t xml:space="preserve">              </w:t>
      </w:r>
      <w:r w:rsidRPr="002829E3">
        <w:rPr>
          <w:rFonts w:ascii="Times New Roman" w:eastAsia="Times New Roman" w:hAnsi="Times New Roman" w:cs="Times New Roman"/>
          <w:b/>
        </w:rPr>
        <w:t xml:space="preserve">  : </w:t>
      </w:r>
      <w:r>
        <w:rPr>
          <w:rFonts w:ascii="Times New Roman" w:eastAsia="Times New Roman" w:hAnsi="Times New Roman" w:cs="Times New Roman"/>
          <w:lang w:val="en-US"/>
        </w:rPr>
        <w:t xml:space="preserve">Health Threats In </w:t>
      </w:r>
      <w:proofErr w:type="spellStart"/>
      <w:r>
        <w:rPr>
          <w:rFonts w:ascii="Times New Roman" w:eastAsia="Times New Roman" w:hAnsi="Times New Roman" w:cs="Times New Roman"/>
          <w:lang w:val="en-US"/>
        </w:rPr>
        <w:t>Tuorism</w:t>
      </w:r>
      <w:proofErr w:type="spellEnd"/>
    </w:p>
    <w:p w:rsidR="00671F5B" w:rsidRPr="002829E3" w:rsidRDefault="00671F5B" w:rsidP="00671F5B">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Institution Name:</w:t>
      </w:r>
      <w:r w:rsidRPr="002829E3">
        <w:rPr>
          <w:rFonts w:ascii="Times New Roman" w:eastAsia="Times New Roman" w:hAnsi="Times New Roman" w:cs="Times New Roman"/>
        </w:rPr>
        <w:t xml:space="preserve"> European Institute of Innovation Entrepreneurship and Technology</w:t>
      </w:r>
    </w:p>
    <w:p w:rsidR="00671F5B" w:rsidRPr="00697D81" w:rsidRDefault="00671F5B" w:rsidP="00671F5B">
      <w:pPr>
        <w:rPr>
          <w:rFonts w:ascii="Times New Roman" w:hAnsi="Times New Roman" w:cs="Times New Roman"/>
        </w:rPr>
      </w:pPr>
    </w:p>
    <w:p w:rsidR="00671F5B" w:rsidRPr="00697D81" w:rsidRDefault="00671F5B" w:rsidP="00671F5B">
      <w:pPr>
        <w:rPr>
          <w:rFonts w:ascii="Times New Roman" w:hAnsi="Times New Roman" w:cs="Times New Roman"/>
          <w:b/>
          <w:sz w:val="28"/>
        </w:rPr>
      </w:pPr>
      <w:r w:rsidRPr="00697D81">
        <w:rPr>
          <w:rFonts w:ascii="Times New Roman" w:hAnsi="Times New Roman" w:cs="Times New Roman"/>
          <w:b/>
          <w:sz w:val="28"/>
          <w:lang w:val="en-US"/>
        </w:rPr>
        <w:t>Topic</w:t>
      </w:r>
    </w:p>
    <w:p w:rsidR="0063034A" w:rsidRPr="00671F5B" w:rsidRDefault="0063034A">
      <w:pPr>
        <w:rPr>
          <w:rFonts w:ascii="Times New Roman" w:hAnsi="Times New Roman" w:cs="Times New Roman"/>
          <w:lang w:val="en-US"/>
        </w:rPr>
      </w:pPr>
    </w:p>
    <w:p w:rsidR="0063034A" w:rsidRPr="00671F5B" w:rsidRDefault="0063034A">
      <w:pPr>
        <w:rPr>
          <w:rFonts w:ascii="Times New Roman" w:hAnsi="Times New Roman" w:cs="Times New Roman"/>
          <w:lang w:val="en-US"/>
        </w:rPr>
      </w:pPr>
      <w:bookmarkStart w:id="0" w:name="_GoBack"/>
      <w:bookmarkEnd w:id="0"/>
    </w:p>
    <w:p w:rsidR="00671F5B" w:rsidRPr="00671F5B" w:rsidRDefault="00671F5B" w:rsidP="00671F5B">
      <w:pPr>
        <w:pStyle w:val="Heading3"/>
        <w:rPr>
          <w:rFonts w:ascii="Times New Roman" w:hAnsi="Times New Roman" w:cs="Times New Roman"/>
        </w:rPr>
      </w:pPr>
      <w:r w:rsidRPr="00671F5B">
        <w:rPr>
          <w:rStyle w:val="Strong"/>
          <w:rFonts w:ascii="Times New Roman" w:hAnsi="Times New Roman" w:cs="Times New Roman"/>
          <w:bCs w:val="0"/>
          <w:sz w:val="28"/>
        </w:rPr>
        <w:t>Responding to the Rise of COVID-19 and Its Impact on Tourism</w:t>
      </w:r>
    </w:p>
    <w:p w:rsidR="00671F5B" w:rsidRPr="00671F5B" w:rsidRDefault="00671F5B" w:rsidP="00671F5B">
      <w:pPr>
        <w:pStyle w:val="NormalWeb"/>
      </w:pPr>
      <w:r w:rsidRPr="00671F5B">
        <w:t>The resurgence of COVID-19 cases in countries such as Hong Kong, Singapore, China, and Thailand highlights the ongoing challenges posed by the pandemic, particularly in relation to public health and tourism. While vaccination campaigns and prior experiences have equipped governments and the tourism sector with tools to manage the virus, proactive measures are essential to prevent a new wave, ensure safe international travel, and minimize disruptions to economies reliant on tourism.</w:t>
      </w:r>
    </w:p>
    <w:p w:rsidR="00671F5B" w:rsidRPr="00671F5B" w:rsidRDefault="00671F5B" w:rsidP="00671F5B">
      <w:r w:rsidRPr="00671F5B">
        <w:rPr>
          <w:rStyle w:val="Strong"/>
          <w:rFonts w:ascii="Times New Roman" w:hAnsi="Times New Roman" w:cs="Times New Roman"/>
          <w:bCs w:val="0"/>
        </w:rPr>
        <w:t>1. Government Measures to Prevent a New Wave of COVID-19</w:t>
      </w:r>
    </w:p>
    <w:p w:rsidR="00671F5B" w:rsidRPr="00671F5B" w:rsidRDefault="00671F5B" w:rsidP="00671F5B">
      <w:pPr>
        <w:pStyle w:val="NormalWeb"/>
      </w:pPr>
      <w:r w:rsidRPr="00671F5B">
        <w:t>Governments play a crucial role in curbing the spread of COVID-19. One of the most effective strategies is implementing timely and targeted public health interventions, such as testing, contact tracing, and isolation of infected individuals. Ensuring widespread access to vaccines, including booster doses, remains critical, especially in vulnerable populations. Governments can also enforce mask mandates, social distancing in high-risk areas, and improved ventilation in indoor public spaces.</w:t>
      </w:r>
    </w:p>
    <w:p w:rsidR="00671F5B" w:rsidRPr="00671F5B" w:rsidRDefault="00671F5B" w:rsidP="00671F5B">
      <w:pPr>
        <w:pStyle w:val="NormalWeb"/>
      </w:pPr>
      <w:r w:rsidRPr="00671F5B">
        <w:t>Border controls and travel regulations must be adaptable, based on real-time epidemiological data. For example, requiring proof of vaccination, negative PCR tests, or quarantine for incoming travelers can reduce importation risks. Public awareness campaigns promoting hygiene, vaccination, and responsible behavior are also essential. Moreover, investment in healthcare infrastructure, including hospital capacity, ICU availability, and stockpiles of essential medical supplies, ensures that countries can respond quickly if cases surge.</w:t>
      </w:r>
    </w:p>
    <w:p w:rsidR="00671F5B" w:rsidRPr="00671F5B" w:rsidRDefault="00671F5B" w:rsidP="00671F5B">
      <w:r w:rsidRPr="00671F5B">
        <w:rPr>
          <w:rStyle w:val="Strong"/>
          <w:rFonts w:ascii="Times New Roman" w:hAnsi="Times New Roman" w:cs="Times New Roman"/>
          <w:bCs w:val="0"/>
        </w:rPr>
        <w:t>2. The Tourism Sector’s Role in Reducing Virus Spread</w:t>
      </w:r>
    </w:p>
    <w:p w:rsidR="00671F5B" w:rsidRPr="00671F5B" w:rsidRDefault="00671F5B" w:rsidP="00671F5B">
      <w:pPr>
        <w:pStyle w:val="NormalWeb"/>
      </w:pPr>
      <w:r w:rsidRPr="00671F5B">
        <w:t xml:space="preserve">The tourism sector, which inherently involves large gatherings and international mobility, can adopt multiple strategies to minimize the risk of COVID-19 transmission while keeping </w:t>
      </w:r>
      <w:r w:rsidRPr="00671F5B">
        <w:lastRenderedPageBreak/>
        <w:t>borders open. Tourism operators can implement health and safety protocols, such as regular sanitization, mask usage in transport and public facilities, and social distancing in hotels, airports, and attractions. Digital solutions, such as contactless check-ins, mobile ticketing, and app-based health declarations, reduce physical interactions and help trace contacts if necessary.</w:t>
      </w:r>
    </w:p>
    <w:p w:rsidR="00671F5B" w:rsidRPr="00671F5B" w:rsidRDefault="00671F5B" w:rsidP="00671F5B">
      <w:pPr>
        <w:pStyle w:val="NormalWeb"/>
      </w:pPr>
      <w:r w:rsidRPr="00671F5B">
        <w:t xml:space="preserve">Travel providers can also collaborate with health authorities to provide testing facilities at airports and tourist hubs. Educating tourists on responsible behavior, including adhering to local health guidelines, strengthens community resilience against outbreaks. Furthermore, diversifying tourism offerings, such as promoting outdoor and nature-based activities over crowded indoor events, can reduce the likelihood of </w:t>
      </w:r>
      <w:proofErr w:type="spellStart"/>
      <w:r w:rsidRPr="00671F5B">
        <w:t>superspreading</w:t>
      </w:r>
      <w:proofErr w:type="spellEnd"/>
      <w:r w:rsidRPr="00671F5B">
        <w:t xml:space="preserve"> events while still generating revenue.</w:t>
      </w:r>
    </w:p>
    <w:p w:rsidR="00671F5B" w:rsidRPr="00671F5B" w:rsidRDefault="00671F5B" w:rsidP="00671F5B">
      <w:r w:rsidRPr="00671F5B">
        <w:rPr>
          <w:rStyle w:val="Strong"/>
          <w:rFonts w:ascii="Times New Roman" w:hAnsi="Times New Roman" w:cs="Times New Roman"/>
          <w:bCs w:val="0"/>
        </w:rPr>
        <w:t>3. Lessons from Earlier Stages of COVID-19</w:t>
      </w:r>
    </w:p>
    <w:p w:rsidR="00671F5B" w:rsidRPr="00671F5B" w:rsidRDefault="00671F5B" w:rsidP="00671F5B">
      <w:pPr>
        <w:pStyle w:val="NormalWeb"/>
      </w:pPr>
      <w:r w:rsidRPr="00671F5B">
        <w:t>The earlier stages of the pandemic revealed several lessons for managing subsequent waves. Rapid and decisive action, such as early lockdowns and mass testing, proved effective in containing outbreaks. Clear communication from governments and authorities was critical to maintaining public trust and compliance. Countries that invested in digital tracking systems, robust healthcare infrastructure, and international collaboration were better able to monitor and manage transmission.</w:t>
      </w:r>
    </w:p>
    <w:p w:rsidR="00671F5B" w:rsidRPr="00671F5B" w:rsidRDefault="00671F5B" w:rsidP="00671F5B">
      <w:pPr>
        <w:pStyle w:val="NormalWeb"/>
      </w:pPr>
      <w:r w:rsidRPr="00671F5B">
        <w:t>However, premature lifting of restrictions often resulted in resurgences, demonstrating the need for phased reopening and continuous monitoring. Vaccination campaigns must also consider equity and booster administration to maintain immunity in populations. Importantly, the pandemic underscored the importance of resilience planning for industries such as tourism, ensuring flexibility and preparedness for sudden disruptions.</w:t>
      </w:r>
    </w:p>
    <w:p w:rsidR="00671F5B" w:rsidRPr="00671F5B" w:rsidRDefault="00671F5B" w:rsidP="00671F5B">
      <w:r>
        <w:rPr>
          <w:rStyle w:val="Strong"/>
          <w:rFonts w:ascii="Times New Roman" w:hAnsi="Times New Roman" w:cs="Times New Roman"/>
          <w:bCs w:val="0"/>
        </w:rPr>
        <w:t>4</w:t>
      </w:r>
      <w:r>
        <w:rPr>
          <w:rStyle w:val="Strong"/>
          <w:rFonts w:ascii="Times New Roman" w:hAnsi="Times New Roman" w:cs="Times New Roman"/>
          <w:bCs w:val="0"/>
          <w:lang w:val="en-US"/>
        </w:rPr>
        <w:t xml:space="preserve"> </w:t>
      </w:r>
      <w:r w:rsidRPr="00671F5B">
        <w:rPr>
          <w:rStyle w:val="Strong"/>
          <w:rFonts w:ascii="Times New Roman" w:hAnsi="Times New Roman" w:cs="Times New Roman"/>
          <w:bCs w:val="0"/>
        </w:rPr>
        <w:t>: Thailand’s Tourism Industry Response</w:t>
      </w:r>
    </w:p>
    <w:p w:rsidR="00671F5B" w:rsidRPr="00671F5B" w:rsidRDefault="00671F5B" w:rsidP="00671F5B">
      <w:pPr>
        <w:pStyle w:val="NormalWeb"/>
      </w:pPr>
      <w:r w:rsidRPr="00671F5B">
        <w:t>Thailand, a country heavily reliant on tourism, experienced severe economic and social impacts during earlier waves of COVID-19. The tourism industry adopted multiple measures to respond to the crisis. Early in the pandemic, Thailand implemented strict border controls, mandatory quarantines, and travel bans, which successfully limited initial transmission but also caused a dramatic drop in tourist arrivals.</w:t>
      </w:r>
    </w:p>
    <w:p w:rsidR="00671F5B" w:rsidRPr="00671F5B" w:rsidRDefault="00671F5B" w:rsidP="00671F5B">
      <w:pPr>
        <w:pStyle w:val="NormalWeb"/>
      </w:pPr>
      <w:r w:rsidRPr="00671F5B">
        <w:t>To sustain the industry, Thailand introduced programs such as the “Sandbox” initiative, which allowed vaccinated international tourists to enter designated regions without quarantine under strict health monitoring. Hotels, airlines, and attractions enhanced hygiene protocols, including frequent sanitization, contactless services, and capacity limits to ensure safe tourism. Local campaigns encouraged domestic tourism to support businesses while international travel remained restricted.</w:t>
      </w:r>
    </w:p>
    <w:p w:rsidR="00671F5B" w:rsidRPr="00671F5B" w:rsidRDefault="00671F5B" w:rsidP="00671F5B">
      <w:pPr>
        <w:pStyle w:val="NormalWeb"/>
      </w:pPr>
      <w:r w:rsidRPr="00671F5B">
        <w:rPr>
          <w:rStyle w:val="Strong"/>
        </w:rPr>
        <w:t>Actions That Worked Well:</w:t>
      </w:r>
    </w:p>
    <w:p w:rsidR="00671F5B" w:rsidRPr="00671F5B" w:rsidRDefault="00671F5B" w:rsidP="00671F5B">
      <w:pPr>
        <w:pStyle w:val="NormalWeb"/>
        <w:numPr>
          <w:ilvl w:val="0"/>
          <w:numId w:val="1"/>
        </w:numPr>
      </w:pPr>
      <w:r w:rsidRPr="00671F5B">
        <w:t>The Sandbox program successfully attracted international tourists while maintaining safety protocols.</w:t>
      </w:r>
    </w:p>
    <w:p w:rsidR="00671F5B" w:rsidRPr="00671F5B" w:rsidRDefault="00671F5B" w:rsidP="00671F5B">
      <w:pPr>
        <w:pStyle w:val="NormalWeb"/>
        <w:numPr>
          <w:ilvl w:val="0"/>
          <w:numId w:val="1"/>
        </w:numPr>
      </w:pPr>
      <w:r w:rsidRPr="00671F5B">
        <w:t>Strict hygiene standards in hotels, restaurants, and transport helped build tourist confidence.</w:t>
      </w:r>
    </w:p>
    <w:p w:rsidR="00671F5B" w:rsidRPr="00671F5B" w:rsidRDefault="00671F5B" w:rsidP="00671F5B">
      <w:pPr>
        <w:pStyle w:val="NormalWeb"/>
        <w:numPr>
          <w:ilvl w:val="0"/>
          <w:numId w:val="1"/>
        </w:numPr>
      </w:pPr>
      <w:r w:rsidRPr="00671F5B">
        <w:lastRenderedPageBreak/>
        <w:t>Domestic tourism campaigns partially mitigated the economic impact by encouraging local travel.</w:t>
      </w:r>
    </w:p>
    <w:p w:rsidR="00671F5B" w:rsidRPr="00671F5B" w:rsidRDefault="00671F5B" w:rsidP="00671F5B">
      <w:pPr>
        <w:pStyle w:val="NormalWeb"/>
      </w:pPr>
      <w:r w:rsidRPr="00671F5B">
        <w:rPr>
          <w:rStyle w:val="Strong"/>
        </w:rPr>
        <w:t>Actions That Did Not Work Well:</w:t>
      </w:r>
    </w:p>
    <w:p w:rsidR="00671F5B" w:rsidRPr="00671F5B" w:rsidRDefault="00671F5B" w:rsidP="00671F5B">
      <w:pPr>
        <w:pStyle w:val="NormalWeb"/>
        <w:numPr>
          <w:ilvl w:val="0"/>
          <w:numId w:val="2"/>
        </w:numPr>
      </w:pPr>
      <w:r w:rsidRPr="00671F5B">
        <w:t>Early reliance on strict lockdowns without complementary economic support caused significant hardship for small businesses in the tourism sector.</w:t>
      </w:r>
    </w:p>
    <w:p w:rsidR="00671F5B" w:rsidRPr="00671F5B" w:rsidRDefault="00671F5B" w:rsidP="00671F5B">
      <w:pPr>
        <w:pStyle w:val="NormalWeb"/>
        <w:numPr>
          <w:ilvl w:val="0"/>
          <w:numId w:val="2"/>
        </w:numPr>
      </w:pPr>
      <w:r w:rsidRPr="00671F5B">
        <w:t>Confusing or frequently changing travel policies initially discouraged tourists from planning visits.</w:t>
      </w:r>
    </w:p>
    <w:p w:rsidR="00671F5B" w:rsidRPr="00671F5B" w:rsidRDefault="00671F5B" w:rsidP="00671F5B">
      <w:pPr>
        <w:pStyle w:val="NormalWeb"/>
        <w:numPr>
          <w:ilvl w:val="0"/>
          <w:numId w:val="2"/>
        </w:numPr>
      </w:pPr>
      <w:r w:rsidRPr="00671F5B">
        <w:t>Limited digital infrastructure in certain areas slowed health monitoring and contact tracing efforts for tourists.</w:t>
      </w:r>
    </w:p>
    <w:p w:rsidR="00671F5B" w:rsidRPr="00671F5B" w:rsidRDefault="00671F5B" w:rsidP="00671F5B">
      <w:r w:rsidRPr="00671F5B">
        <w:rPr>
          <w:rStyle w:val="Strong"/>
          <w:rFonts w:ascii="Times New Roman" w:hAnsi="Times New Roman" w:cs="Times New Roman"/>
          <w:bCs w:val="0"/>
        </w:rPr>
        <w:t>Conclusion</w:t>
      </w:r>
    </w:p>
    <w:p w:rsidR="00671F5B" w:rsidRPr="00671F5B" w:rsidRDefault="00671F5B" w:rsidP="00671F5B">
      <w:pPr>
        <w:pStyle w:val="NormalWeb"/>
      </w:pPr>
      <w:r w:rsidRPr="00671F5B">
        <w:t>The rise of COVID-19 cases in parts of Asia serves as a reminder that vigilance remains essential. Governments can prevent new waves through vaccination, testing, adaptable border controls, and public awareness campaigns, while the tourism sector must adopt health protocols, digital solutions, and outdoor-focused offerings. Lessons from the initial stages of the pandemic—such as the importance of clear communication, infrastructure investment, and phased reopening—provide valuable guidance. Thailand’s response illustrates that combining strict health measures with innovative tourism strategies can maintain safety and economic activity, though inconsistencies in policy and support highlight areas for improvement. Ultimately, an integrated approach between governments, health authorities, and the tourism industry is critical to balancing virus containment with the continuity of international travel.</w:t>
      </w:r>
    </w:p>
    <w:p w:rsidR="005F0C76" w:rsidRPr="00671F5B" w:rsidRDefault="005F0C76" w:rsidP="00671F5B">
      <w:pPr>
        <w:rPr>
          <w:rFonts w:ascii="Times New Roman" w:hAnsi="Times New Roman" w:cs="Times New Roman"/>
          <w:lang w:val="en-US"/>
        </w:rPr>
      </w:pPr>
    </w:p>
    <w:sectPr w:rsidR="005F0C76" w:rsidRPr="00671F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613B594-AA93-482D-AB52-08C0DD6DC39F}"/>
    <w:embedBold r:id="rId2" w:fontKey="{A8CED279-4DEB-4EF3-A0E3-EB12B296F8F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8CC1A34-CF42-4976-9C04-61D20900489A}"/>
  </w:font>
  <w:font w:name="Calibri Light">
    <w:panose1 w:val="020F0302020204030204"/>
    <w:charset w:val="00"/>
    <w:family w:val="swiss"/>
    <w:pitch w:val="variable"/>
    <w:sig w:usb0="E4002EFF" w:usb1="C200247B" w:usb2="00000009" w:usb3="00000000" w:csb0="000001FF" w:csb1="00000000"/>
    <w:embedRegular r:id="rId4" w:fontKey="{051D7AC0-3422-4387-B2B3-A696B99F7479}"/>
    <w:embedItalic r:id="rId5" w:fontKey="{3BA80272-2CF6-41ED-80B0-6C5436DE27CD}"/>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71B8C"/>
    <w:multiLevelType w:val="multilevel"/>
    <w:tmpl w:val="F9B6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EA4449"/>
    <w:multiLevelType w:val="multilevel"/>
    <w:tmpl w:val="BF98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4A"/>
    <w:rsid w:val="0003533E"/>
    <w:rsid w:val="001700EC"/>
    <w:rsid w:val="00174BB1"/>
    <w:rsid w:val="00224FD9"/>
    <w:rsid w:val="002F4AE0"/>
    <w:rsid w:val="00384E8A"/>
    <w:rsid w:val="003D1074"/>
    <w:rsid w:val="00426865"/>
    <w:rsid w:val="00477CAA"/>
    <w:rsid w:val="00502E29"/>
    <w:rsid w:val="005E458B"/>
    <w:rsid w:val="005F0C76"/>
    <w:rsid w:val="0063034A"/>
    <w:rsid w:val="00671F5B"/>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BABBE"/>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671F5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customStyle="1" w:styleId="Heading4Char">
    <w:name w:val="Heading 4 Char"/>
    <w:basedOn w:val="DefaultParagraphFont"/>
    <w:link w:val="Heading4"/>
    <w:uiPriority w:val="9"/>
    <w:semiHidden/>
    <w:rsid w:val="00671F5B"/>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671F5B"/>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671F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886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982</Words>
  <Characters>5602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2025-12-24T16:40:00Z</dcterms:created>
  <dcterms:modified xsi:type="dcterms:W3CDTF">2025-12-24T16:40:00Z</dcterms:modified>
</cp:coreProperties>
</file>