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F93825" w14:textId="4EB54BE3" w:rsidR="00A01CAB" w:rsidRPr="00A01CAB" w:rsidRDefault="00A01CAB" w:rsidP="000848C3">
      <w:pPr>
        <w:spacing w:line="480" w:lineRule="auto"/>
        <w:rPr>
          <w:rFonts w:ascii="Times New Roman" w:hAnsi="Times New Roman" w:cs="Times New Roman"/>
          <w:b/>
          <w:bCs/>
          <w:lang w:val="en-US"/>
        </w:rPr>
      </w:pPr>
      <w:r w:rsidRPr="00A01CAB">
        <w:rPr>
          <w:rFonts w:ascii="Times New Roman" w:hAnsi="Times New Roman" w:cs="Times New Roman"/>
          <w:noProof/>
          <w:lang w:val="en-US"/>
        </w:rPr>
        <w:drawing>
          <wp:anchor distT="0" distB="0" distL="114300" distR="114300" simplePos="0" relativeHeight="251659264" behindDoc="1" locked="0" layoutInCell="1" allowOverlap="1" wp14:anchorId="2A847DB6" wp14:editId="187381C2">
            <wp:simplePos x="0" y="0"/>
            <wp:positionH relativeFrom="margin">
              <wp:posOffset>5314950</wp:posOffset>
            </wp:positionH>
            <wp:positionV relativeFrom="paragraph">
              <wp:posOffset>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r w:rsidRPr="00A01CAB">
        <w:rPr>
          <w:rFonts w:ascii="Times New Roman" w:hAnsi="Times New Roman" w:cs="Times New Roman"/>
          <w:b/>
          <w:bCs/>
          <w:lang w:val="en-US"/>
        </w:rPr>
        <w:t>Planning and Management of Sustainable Tourism Spaces</w:t>
      </w:r>
    </w:p>
    <w:p w14:paraId="1DEBB44B" w14:textId="77777777" w:rsidR="00A01CAB" w:rsidRPr="00A01CAB" w:rsidRDefault="00A01CAB" w:rsidP="000848C3">
      <w:pPr>
        <w:spacing w:line="480" w:lineRule="auto"/>
        <w:rPr>
          <w:rFonts w:ascii="Times New Roman" w:hAnsi="Times New Roman" w:cs="Times New Roman"/>
          <w:lang w:val="en-US"/>
        </w:rPr>
      </w:pPr>
      <w:r w:rsidRPr="00A01CAB">
        <w:rPr>
          <w:rFonts w:ascii="Times New Roman" w:hAnsi="Times New Roman" w:cs="Times New Roman"/>
          <w:lang w:val="en-US"/>
        </w:rPr>
        <w:t>Assignment 9</w:t>
      </w:r>
    </w:p>
    <w:p w14:paraId="76705458" w14:textId="74B0506B" w:rsidR="00A01CAB" w:rsidRPr="00A01CAB" w:rsidRDefault="00A01CAB" w:rsidP="000848C3">
      <w:pPr>
        <w:spacing w:line="480" w:lineRule="auto"/>
        <w:rPr>
          <w:rFonts w:ascii="Times New Roman" w:hAnsi="Times New Roman" w:cs="Times New Roman"/>
          <w:lang w:val="en-US"/>
        </w:rPr>
      </w:pPr>
      <w:r w:rsidRPr="00A01CAB">
        <w:rPr>
          <w:rFonts w:ascii="Times New Roman" w:hAnsi="Times New Roman" w:cs="Times New Roman"/>
          <w:lang w:val="en-US"/>
        </w:rPr>
        <w:t>19.11.2025</w:t>
      </w:r>
    </w:p>
    <w:p w14:paraId="4E60AF86" w14:textId="5E55338F" w:rsidR="00A01CAB" w:rsidRPr="00A01CAB" w:rsidRDefault="00A01CAB" w:rsidP="000848C3">
      <w:pPr>
        <w:spacing w:line="480" w:lineRule="auto"/>
        <w:rPr>
          <w:rFonts w:ascii="Times New Roman" w:hAnsi="Times New Roman" w:cs="Times New Roman"/>
          <w:lang w:val="en-US"/>
        </w:rPr>
      </w:pPr>
      <w:r w:rsidRPr="00A01CAB">
        <w:rPr>
          <w:rFonts w:ascii="Times New Roman" w:hAnsi="Times New Roman" w:cs="Times New Roman"/>
          <w:lang w:val="en-US"/>
        </w:rPr>
        <w:br/>
        <w:t xml:space="preserve">Student </w:t>
      </w:r>
      <w:proofErr w:type="gramStart"/>
      <w:r w:rsidRPr="00A01CAB">
        <w:rPr>
          <w:rFonts w:ascii="Times New Roman" w:hAnsi="Times New Roman" w:cs="Times New Roman"/>
          <w:lang w:val="en-US"/>
        </w:rPr>
        <w:t>Name :</w:t>
      </w:r>
      <w:proofErr w:type="gramEnd"/>
      <w:r w:rsidRPr="00A01CAB">
        <w:rPr>
          <w:rFonts w:ascii="Times New Roman" w:hAnsi="Times New Roman" w:cs="Times New Roman"/>
          <w:lang w:val="en-US"/>
        </w:rPr>
        <w:t xml:space="preserve"> </w:t>
      </w:r>
      <w:r w:rsidR="009F3C2A">
        <w:rPr>
          <w:rFonts w:ascii="Times New Roman" w:hAnsi="Times New Roman" w:cs="Times New Roman"/>
          <w:lang w:val="en-US"/>
        </w:rPr>
        <w:t xml:space="preserve">Dipanshu </w:t>
      </w:r>
      <w:proofErr w:type="spellStart"/>
      <w:r w:rsidR="009F3C2A">
        <w:rPr>
          <w:rFonts w:ascii="Times New Roman" w:hAnsi="Times New Roman" w:cs="Times New Roman"/>
          <w:lang w:val="en-US"/>
        </w:rPr>
        <w:t>Dipanshu</w:t>
      </w:r>
      <w:proofErr w:type="spellEnd"/>
    </w:p>
    <w:p w14:paraId="154BDAC6" w14:textId="20CF607C" w:rsidR="00A01CAB" w:rsidRPr="00A01CAB" w:rsidRDefault="00A01CAB" w:rsidP="000848C3">
      <w:pPr>
        <w:spacing w:line="480" w:lineRule="auto"/>
        <w:rPr>
          <w:rFonts w:ascii="Times New Roman" w:hAnsi="Times New Roman" w:cs="Times New Roman"/>
          <w:lang w:val="en-US"/>
        </w:rPr>
      </w:pPr>
    </w:p>
    <w:p w14:paraId="68AA8955" w14:textId="77777777" w:rsidR="00A01CAB" w:rsidRPr="00A01CAB" w:rsidRDefault="00A01CAB" w:rsidP="000848C3">
      <w:pPr>
        <w:spacing w:line="480" w:lineRule="auto"/>
        <w:rPr>
          <w:rFonts w:ascii="Times New Roman" w:hAnsi="Times New Roman" w:cs="Times New Roman"/>
          <w:lang w:val="en-US"/>
        </w:rPr>
      </w:pPr>
    </w:p>
    <w:p w14:paraId="0FCA6517" w14:textId="77777777" w:rsidR="00A01CAB" w:rsidRPr="00A01CAB" w:rsidRDefault="00A01CAB" w:rsidP="000848C3">
      <w:pPr>
        <w:spacing w:line="480" w:lineRule="auto"/>
        <w:rPr>
          <w:rFonts w:ascii="Times New Roman" w:hAnsi="Times New Roman" w:cs="Times New Roman"/>
          <w:lang w:val="en-US"/>
        </w:rPr>
      </w:pPr>
    </w:p>
    <w:p w14:paraId="05751EDD" w14:textId="77777777" w:rsidR="00A01CAB" w:rsidRPr="00A01CAB" w:rsidRDefault="00A01CAB" w:rsidP="000848C3">
      <w:pPr>
        <w:spacing w:line="480" w:lineRule="auto"/>
        <w:rPr>
          <w:rFonts w:ascii="Times New Roman" w:hAnsi="Times New Roman" w:cs="Times New Roman"/>
          <w:lang w:val="en-US"/>
        </w:rPr>
      </w:pPr>
    </w:p>
    <w:p w14:paraId="677721F6" w14:textId="77777777" w:rsidR="00A01CAB" w:rsidRPr="00A01CAB" w:rsidRDefault="00A01CAB" w:rsidP="000848C3">
      <w:pPr>
        <w:spacing w:line="480" w:lineRule="auto"/>
        <w:rPr>
          <w:rFonts w:ascii="Times New Roman" w:hAnsi="Times New Roman" w:cs="Times New Roman"/>
          <w:lang w:val="en-US"/>
        </w:rPr>
      </w:pPr>
    </w:p>
    <w:p w14:paraId="2FCBFD8B" w14:textId="77777777" w:rsidR="00A01CAB" w:rsidRPr="00A01CAB" w:rsidRDefault="00A01CAB" w:rsidP="000848C3">
      <w:pPr>
        <w:spacing w:line="480" w:lineRule="auto"/>
        <w:rPr>
          <w:rFonts w:ascii="Times New Roman" w:hAnsi="Times New Roman" w:cs="Times New Roman"/>
          <w:lang w:val="en-US"/>
        </w:rPr>
      </w:pPr>
    </w:p>
    <w:p w14:paraId="0F261C48" w14:textId="77777777" w:rsidR="00A01CAB" w:rsidRPr="00A01CAB" w:rsidRDefault="00A01CAB" w:rsidP="000848C3">
      <w:pPr>
        <w:spacing w:line="480" w:lineRule="auto"/>
        <w:rPr>
          <w:rFonts w:ascii="Times New Roman" w:hAnsi="Times New Roman" w:cs="Times New Roman"/>
          <w:b/>
          <w:bCs/>
          <w:lang w:val="en-US"/>
        </w:rPr>
      </w:pPr>
      <w:r w:rsidRPr="00A01CAB">
        <w:rPr>
          <w:rFonts w:ascii="Times New Roman" w:hAnsi="Times New Roman" w:cs="Times New Roman"/>
          <w:b/>
          <w:bCs/>
          <w:lang w:val="en-US"/>
        </w:rPr>
        <w:t xml:space="preserve">In no more than 1000 words, and 2-3 </w:t>
      </w:r>
      <w:proofErr w:type="spellStart"/>
      <w:r w:rsidRPr="00A01CAB">
        <w:rPr>
          <w:rFonts w:ascii="Times New Roman" w:hAnsi="Times New Roman" w:cs="Times New Roman"/>
          <w:b/>
          <w:bCs/>
          <w:lang w:val="en-US"/>
        </w:rPr>
        <w:t>refernces</w:t>
      </w:r>
      <w:proofErr w:type="spellEnd"/>
      <w:r w:rsidRPr="00A01CAB">
        <w:rPr>
          <w:rFonts w:ascii="Times New Roman" w:hAnsi="Times New Roman" w:cs="Times New Roman"/>
          <w:b/>
          <w:bCs/>
          <w:lang w:val="en-US"/>
        </w:rPr>
        <w:t>, choose one economic or political crisis that affected tourism in your country and explain:</w:t>
      </w:r>
    </w:p>
    <w:p w14:paraId="4417A789" w14:textId="77777777" w:rsidR="00A01CAB" w:rsidRPr="00A01CAB" w:rsidRDefault="00A01CAB" w:rsidP="000848C3">
      <w:pPr>
        <w:spacing w:line="480" w:lineRule="auto"/>
        <w:rPr>
          <w:rFonts w:ascii="Times New Roman" w:hAnsi="Times New Roman" w:cs="Times New Roman"/>
          <w:b/>
          <w:bCs/>
          <w:lang w:val="en-US"/>
        </w:rPr>
      </w:pPr>
    </w:p>
    <w:p w14:paraId="5A830125" w14:textId="77777777" w:rsidR="00A01CAB" w:rsidRPr="00A01CAB" w:rsidRDefault="00A01CAB" w:rsidP="000848C3">
      <w:pPr>
        <w:pStyle w:val="ListParagraph"/>
        <w:numPr>
          <w:ilvl w:val="0"/>
          <w:numId w:val="1"/>
        </w:numPr>
        <w:spacing w:line="480" w:lineRule="auto"/>
        <w:rPr>
          <w:rFonts w:ascii="Times New Roman" w:hAnsi="Times New Roman" w:cs="Times New Roman"/>
          <w:lang w:val="en-US"/>
        </w:rPr>
      </w:pPr>
      <w:r w:rsidRPr="00A01CAB">
        <w:rPr>
          <w:rFonts w:ascii="Times New Roman" w:hAnsi="Times New Roman" w:cs="Times New Roman"/>
          <w:lang w:val="en-US"/>
        </w:rPr>
        <w:t>Type: Economic or political.</w:t>
      </w:r>
    </w:p>
    <w:p w14:paraId="6ECFC221" w14:textId="77777777" w:rsidR="00A01CAB" w:rsidRPr="00A01CAB" w:rsidRDefault="00A01CAB" w:rsidP="000848C3">
      <w:pPr>
        <w:pStyle w:val="ListParagraph"/>
        <w:numPr>
          <w:ilvl w:val="0"/>
          <w:numId w:val="1"/>
        </w:numPr>
        <w:spacing w:line="480" w:lineRule="auto"/>
        <w:rPr>
          <w:rFonts w:ascii="Times New Roman" w:hAnsi="Times New Roman" w:cs="Times New Roman"/>
          <w:lang w:val="en-US"/>
        </w:rPr>
      </w:pPr>
      <w:r w:rsidRPr="00A01CAB">
        <w:rPr>
          <w:rFonts w:ascii="Times New Roman" w:hAnsi="Times New Roman" w:cs="Times New Roman"/>
          <w:lang w:val="en-US"/>
        </w:rPr>
        <w:t>When: Date or period of the crisis.</w:t>
      </w:r>
    </w:p>
    <w:p w14:paraId="33575616" w14:textId="77777777" w:rsidR="00A01CAB" w:rsidRPr="00A01CAB" w:rsidRDefault="00A01CAB" w:rsidP="000848C3">
      <w:pPr>
        <w:pStyle w:val="ListParagraph"/>
        <w:numPr>
          <w:ilvl w:val="0"/>
          <w:numId w:val="1"/>
        </w:numPr>
        <w:spacing w:line="480" w:lineRule="auto"/>
        <w:rPr>
          <w:rFonts w:ascii="Times New Roman" w:hAnsi="Times New Roman" w:cs="Times New Roman"/>
          <w:lang w:val="en-US"/>
        </w:rPr>
      </w:pPr>
      <w:r w:rsidRPr="00A01CAB">
        <w:rPr>
          <w:rFonts w:ascii="Times New Roman" w:hAnsi="Times New Roman" w:cs="Times New Roman"/>
          <w:lang w:val="en-US"/>
        </w:rPr>
        <w:t>Impact: Negative effects on the tourism industry.</w:t>
      </w:r>
    </w:p>
    <w:p w14:paraId="388E6BA0" w14:textId="77777777" w:rsidR="00A01CAB" w:rsidRPr="00A01CAB" w:rsidRDefault="00A01CAB" w:rsidP="000848C3">
      <w:pPr>
        <w:pStyle w:val="ListParagraph"/>
        <w:numPr>
          <w:ilvl w:val="0"/>
          <w:numId w:val="1"/>
        </w:numPr>
        <w:spacing w:line="480" w:lineRule="auto"/>
        <w:rPr>
          <w:rFonts w:ascii="Times New Roman" w:hAnsi="Times New Roman" w:cs="Times New Roman"/>
          <w:lang w:val="en-US"/>
        </w:rPr>
      </w:pPr>
      <w:r w:rsidRPr="00A01CAB">
        <w:rPr>
          <w:rFonts w:ascii="Times New Roman" w:hAnsi="Times New Roman" w:cs="Times New Roman"/>
          <w:lang w:val="en-US"/>
        </w:rPr>
        <w:t>Response: How the country managed or mitigated it.</w:t>
      </w:r>
    </w:p>
    <w:p w14:paraId="57E36985" w14:textId="77777777" w:rsidR="00A01CAB" w:rsidRDefault="00A01CAB" w:rsidP="000848C3">
      <w:pPr>
        <w:spacing w:line="480" w:lineRule="auto"/>
        <w:rPr>
          <w:rFonts w:ascii="Times New Roman" w:hAnsi="Times New Roman" w:cs="Times New Roman"/>
          <w:lang w:val="en-US"/>
        </w:rPr>
      </w:pPr>
    </w:p>
    <w:p w14:paraId="40448B7B" w14:textId="77777777" w:rsidR="00A01CAB" w:rsidRDefault="00A01CAB" w:rsidP="000848C3">
      <w:pPr>
        <w:spacing w:line="480" w:lineRule="auto"/>
        <w:rPr>
          <w:rFonts w:ascii="Times New Roman" w:hAnsi="Times New Roman" w:cs="Times New Roman"/>
          <w:lang w:val="en-US"/>
        </w:rPr>
      </w:pPr>
    </w:p>
    <w:p w14:paraId="5FAF7093" w14:textId="77777777" w:rsidR="00A01CAB" w:rsidRDefault="00A01CAB" w:rsidP="000848C3">
      <w:pPr>
        <w:spacing w:line="480" w:lineRule="auto"/>
        <w:rPr>
          <w:rFonts w:ascii="Times New Roman" w:hAnsi="Times New Roman" w:cs="Times New Roman"/>
          <w:lang w:val="en-US"/>
        </w:rPr>
      </w:pPr>
    </w:p>
    <w:p w14:paraId="29930948" w14:textId="77777777" w:rsidR="00A01CAB" w:rsidRDefault="00A01CAB" w:rsidP="000848C3">
      <w:pPr>
        <w:spacing w:line="480" w:lineRule="auto"/>
        <w:rPr>
          <w:rFonts w:ascii="Times New Roman" w:hAnsi="Times New Roman" w:cs="Times New Roman"/>
          <w:lang w:val="en-US"/>
        </w:rPr>
      </w:pPr>
    </w:p>
    <w:p w14:paraId="796617CA" w14:textId="77777777" w:rsidR="00A01CAB" w:rsidRDefault="00A01CAB" w:rsidP="000848C3">
      <w:pPr>
        <w:spacing w:line="480" w:lineRule="auto"/>
        <w:rPr>
          <w:rFonts w:ascii="Times New Roman" w:hAnsi="Times New Roman" w:cs="Times New Roman"/>
          <w:lang w:val="en-US"/>
        </w:rPr>
      </w:pPr>
    </w:p>
    <w:p w14:paraId="6280A0D1" w14:textId="77777777" w:rsidR="001D479C" w:rsidRDefault="001D479C" w:rsidP="00A9599A">
      <w:pPr>
        <w:spacing w:line="480" w:lineRule="auto"/>
        <w:rPr>
          <w:rFonts w:ascii="Times New Roman" w:hAnsi="Times New Roman" w:cs="Times New Roman"/>
          <w:b/>
          <w:bCs/>
        </w:rPr>
      </w:pPr>
      <w:r w:rsidRPr="001D479C">
        <w:rPr>
          <w:rFonts w:ascii="Times New Roman" w:hAnsi="Times New Roman" w:cs="Times New Roman"/>
          <w:b/>
          <w:bCs/>
        </w:rPr>
        <w:lastRenderedPageBreak/>
        <w:t>The Impact of the 2022–2023 Energy Crisis on Tourism in Germany</w:t>
      </w:r>
    </w:p>
    <w:p w14:paraId="744CC6B6" w14:textId="77777777" w:rsidR="003C2AB8" w:rsidRPr="003C2AB8" w:rsidRDefault="003C2AB8" w:rsidP="003C2AB8">
      <w:pPr>
        <w:spacing w:line="480" w:lineRule="auto"/>
        <w:rPr>
          <w:rFonts w:ascii="Times New Roman" w:hAnsi="Times New Roman" w:cs="Times New Roman"/>
        </w:rPr>
      </w:pPr>
      <w:r w:rsidRPr="003C2AB8">
        <w:rPr>
          <w:rFonts w:ascii="Times New Roman" w:hAnsi="Times New Roman" w:cs="Times New Roman"/>
        </w:rPr>
        <w:t>Germany is one of the most popular countries in Europe. Millions of people visit it every year because of its rich cultural history, modern cities, and great hospitality. The Energy Crisis of 2022–2023, which was caused by the Russia–Ukraine War and the end of Russian gas supplies to Europe, caused a lot of problems for the German tourism industry. The crisis was marked by high gas prices, power outages, and rising prices, all of which had a big effect on both tourism demand and the stability of operations. This essay looks at the kind of crisis, the order in which things happened, the bad effects on tourism, and the steps Germany took to deal with and lessen the disruption.</w:t>
      </w:r>
      <w:r w:rsidRPr="003C2AB8">
        <w:rPr>
          <w:rFonts w:ascii="Times New Roman" w:hAnsi="Times New Roman" w:cs="Times New Roman"/>
        </w:rPr>
        <w:br/>
      </w:r>
      <w:r w:rsidRPr="003C2AB8">
        <w:rPr>
          <w:rFonts w:ascii="Times New Roman" w:hAnsi="Times New Roman" w:cs="Times New Roman"/>
        </w:rPr>
        <w:br/>
        <w:t>The 2022–2023 Energy Crisis is best understood as an economic and geopolitical crisis, as it came about because of global conflict, weak supply chains, and a reliance on energy from other countries. Germany got more than half of its natural gas from Russia before the invasion of Ukraine in February 2022. Most of this gas came through the Nord Stream pipelines. As the conflict got worse, the Russian government slowly cut off gas supplies, which caused energy costs to rise to levels never seen before (</w:t>
      </w:r>
      <w:proofErr w:type="spellStart"/>
      <w:r w:rsidRPr="003C2AB8">
        <w:rPr>
          <w:rFonts w:ascii="Times New Roman" w:hAnsi="Times New Roman" w:cs="Times New Roman"/>
        </w:rPr>
        <w:t>Hainsch</w:t>
      </w:r>
      <w:proofErr w:type="spellEnd"/>
      <w:r w:rsidRPr="003C2AB8">
        <w:rPr>
          <w:rFonts w:ascii="Times New Roman" w:hAnsi="Times New Roman" w:cs="Times New Roman"/>
        </w:rPr>
        <w:t xml:space="preserve"> et al., 2022). Sectors that use a lot of energy, like manufacturing, transportation, and hospitality, were the first to be affected. Tourism, which depends on heating, electricity, and transportation infrastructure, was hit hard when costs of doing business went up and people stopped spending money.</w:t>
      </w:r>
      <w:r w:rsidRPr="003C2AB8">
        <w:rPr>
          <w:rFonts w:ascii="Times New Roman" w:hAnsi="Times New Roman" w:cs="Times New Roman"/>
        </w:rPr>
        <w:br/>
      </w:r>
      <w:r w:rsidRPr="003C2AB8">
        <w:rPr>
          <w:rFonts w:ascii="Times New Roman" w:hAnsi="Times New Roman" w:cs="Times New Roman"/>
        </w:rPr>
        <w:br/>
        <w:t xml:space="preserve">The crisis started in February 2022 when Russia invaded Ukraine on a large scale. But the direct effect on Germany got worse in the middle of 2022, when Russia cut back on pipeline deliveries and then stopped them completely by the end of summer (OECD, 2023). Gas prices went up by </w:t>
      </w:r>
      <w:r w:rsidRPr="003C2AB8">
        <w:rPr>
          <w:rFonts w:ascii="Times New Roman" w:hAnsi="Times New Roman" w:cs="Times New Roman"/>
        </w:rPr>
        <w:lastRenderedPageBreak/>
        <w:t>almost ten times during the worst of the crisis, and electricity prices went up to levels not seen in decades (World Bank, 2023). The crisis caused economic uncertainty, lowered people's buying power, and put a strain on businesses that depend on tourism through 2022 and early 2023. Conditions slowly got better in the second half of 2023 because of more diverse supply and government action, but many businesses still felt the effects.</w:t>
      </w:r>
      <w:r w:rsidRPr="003C2AB8">
        <w:rPr>
          <w:rFonts w:ascii="Times New Roman" w:hAnsi="Times New Roman" w:cs="Times New Roman"/>
        </w:rPr>
        <w:br/>
      </w:r>
      <w:r w:rsidRPr="003C2AB8">
        <w:rPr>
          <w:rFonts w:ascii="Times New Roman" w:hAnsi="Times New Roman" w:cs="Times New Roman"/>
        </w:rPr>
        <w:br/>
        <w:t>All over Germany, it was clear that tourism was hurt. One of the biggest effects was that hotels, resorts, hostels, restaurants, and spas had to pay a lot more to run their businesses. Utilities, heating, and lighting got very expensive, which made many hotels cut back on services, limit heating hours, or raise room rates (German Tourism Association, 2023). Winter tourism spots like Bavaria were hit harder than other places because ski resorts rely heavily on heating systems, snowmaking machines, and lift operations, all of which use a lot of energy.</w:t>
      </w:r>
      <w:r w:rsidRPr="003C2AB8">
        <w:rPr>
          <w:rFonts w:ascii="Times New Roman" w:hAnsi="Times New Roman" w:cs="Times New Roman"/>
        </w:rPr>
        <w:br/>
      </w:r>
      <w:r w:rsidRPr="003C2AB8">
        <w:rPr>
          <w:rFonts w:ascii="Times New Roman" w:hAnsi="Times New Roman" w:cs="Times New Roman"/>
        </w:rPr>
        <w:br/>
        <w:t>Another big effect was that people spent less money. During the crisis, inflation rose quickly, reaching over 10% in late 2022. This made it harder for German families to spend money. Because of this, people in the country put off trips, chose shorter stays, or switched to cheaper places to stay. International tourists also cut back on trips to Germany because of rising prices around the world and problems with flights related to energy. During the height of the crisis, Eurostat (2023) said that the average amount of money tourists spent in Europe, including Germany, went down.</w:t>
      </w:r>
      <w:r w:rsidRPr="003C2AB8">
        <w:rPr>
          <w:rFonts w:ascii="Times New Roman" w:hAnsi="Times New Roman" w:cs="Times New Roman"/>
        </w:rPr>
        <w:br/>
      </w:r>
      <w:r w:rsidRPr="003C2AB8">
        <w:rPr>
          <w:rFonts w:ascii="Times New Roman" w:hAnsi="Times New Roman" w:cs="Times New Roman"/>
        </w:rPr>
        <w:br/>
        <w:t xml:space="preserve">Business travel, which is an important part of Germany's tourism industry, was also hurt. Frankfurt, Munich, and Berlin are just a few of the cities that depend on trade shows and </w:t>
      </w:r>
      <w:r w:rsidRPr="003C2AB8">
        <w:rPr>
          <w:rFonts w:ascii="Times New Roman" w:hAnsi="Times New Roman" w:cs="Times New Roman"/>
        </w:rPr>
        <w:lastRenderedPageBreak/>
        <w:t>conferences. But putting on big events got more expensive because energy costs went up and profits were uncertain. Many businesses cut back on travel costs or moved events online, which is in line with the trend of hybrid meetings that started after the pandemic (Schulz &amp; Matthes, 2023). This drop in business travel had a big impact on the city's tourism income.</w:t>
      </w:r>
      <w:r w:rsidRPr="003C2AB8">
        <w:rPr>
          <w:rFonts w:ascii="Times New Roman" w:hAnsi="Times New Roman" w:cs="Times New Roman"/>
        </w:rPr>
        <w:br/>
      </w:r>
      <w:r w:rsidRPr="003C2AB8">
        <w:rPr>
          <w:rFonts w:ascii="Times New Roman" w:hAnsi="Times New Roman" w:cs="Times New Roman"/>
        </w:rPr>
        <w:br/>
        <w:t>The smallest tourism companies had the most trouble. As costs of doing business rose, family-run hotels, guesthouses, local restaurants, wellness centres, and cultural attractions had trouble getting enough cash. The German Tourism Association (2023) says that a lot of small tourism businesses needed help from the government to stay open. Rural tourism areas, which need a steady flow of visitors all year round, had a hard time making money during the winter months when energy use is high.</w:t>
      </w:r>
      <w:r w:rsidRPr="003C2AB8">
        <w:rPr>
          <w:rFonts w:ascii="Times New Roman" w:hAnsi="Times New Roman" w:cs="Times New Roman"/>
        </w:rPr>
        <w:br/>
      </w:r>
      <w:r w:rsidRPr="003C2AB8">
        <w:rPr>
          <w:rFonts w:ascii="Times New Roman" w:hAnsi="Times New Roman" w:cs="Times New Roman"/>
        </w:rPr>
        <w:br/>
        <w:t>The crisis also hit transportation networks hard. Long-distance buses, taxis, rental cars, and domestic flights were all affected by the big rise in fuel prices. Deutsche Bahn, Germany's national railway company, had to raise ticket prices and make changes to how it runs because electricity costs went up. As the cost of transportation went up, many people who might have wanted to visit couldn't afford to do so, which made it even harder.</w:t>
      </w:r>
      <w:r w:rsidRPr="003C2AB8">
        <w:rPr>
          <w:rFonts w:ascii="Times New Roman" w:hAnsi="Times New Roman" w:cs="Times New Roman"/>
        </w:rPr>
        <w:br/>
      </w:r>
      <w:r w:rsidRPr="003C2AB8">
        <w:rPr>
          <w:rFonts w:ascii="Times New Roman" w:hAnsi="Times New Roman" w:cs="Times New Roman"/>
        </w:rPr>
        <w:br/>
        <w:t>In response, the German government put in place a wide range of measures to protect businesses, help citizens, and stabilize the tourism economy. The most important step was the "Defence Shield," which was introduced in late 2022 and gave money to help people and businesses pay for gas and electricity (BMWK, 2023). In the tourism industry, this meant lower utility bills and better financial stability, which kept a lot of businesses from closing.</w:t>
      </w:r>
      <w:r w:rsidRPr="003C2AB8">
        <w:rPr>
          <w:rFonts w:ascii="Times New Roman" w:hAnsi="Times New Roman" w:cs="Times New Roman"/>
        </w:rPr>
        <w:br/>
      </w:r>
      <w:r w:rsidRPr="003C2AB8">
        <w:rPr>
          <w:rFonts w:ascii="Times New Roman" w:hAnsi="Times New Roman" w:cs="Times New Roman"/>
        </w:rPr>
        <w:lastRenderedPageBreak/>
        <w:br/>
        <w:t>Germany also made rules to save energy so that there wouldn't be any shortages in the winter. Hotels and other tourist businesses had to do things like lower the temperature inside, put in energy-efficient systems, and limit decorative lighting. These steps were hard at first, but they helped stabilize supply and promote long-term sustainability. To save money on future operating costs, a lot of hotels put money into LED lighting, better insulation, and smart energy systems.</w:t>
      </w:r>
      <w:r w:rsidRPr="003C2AB8">
        <w:rPr>
          <w:rFonts w:ascii="Times New Roman" w:hAnsi="Times New Roman" w:cs="Times New Roman"/>
        </w:rPr>
        <w:br/>
      </w:r>
      <w:r w:rsidRPr="003C2AB8">
        <w:rPr>
          <w:rFonts w:ascii="Times New Roman" w:hAnsi="Times New Roman" w:cs="Times New Roman"/>
        </w:rPr>
        <w:br/>
        <w:t>Another important plan was to speed up the process of diversifying energy sources. Germany quickly increased its imports of liquefied natural gas (LNG), built new LNG terminals on the North Sea, and put more money into renewable energy sources like wind and solar. These changes didn't help right away, but they did help reduce dependence on Russian gas and make energy security better in the future (OECD, 2023).</w:t>
      </w:r>
      <w:r w:rsidRPr="003C2AB8">
        <w:rPr>
          <w:rFonts w:ascii="Times New Roman" w:hAnsi="Times New Roman" w:cs="Times New Roman"/>
        </w:rPr>
        <w:br/>
      </w:r>
      <w:r w:rsidRPr="003C2AB8">
        <w:rPr>
          <w:rFonts w:ascii="Times New Roman" w:hAnsi="Times New Roman" w:cs="Times New Roman"/>
        </w:rPr>
        <w:br/>
        <w:t>Tourism organizations also did something. The German National Tourist Board started digital campaigns that focused on safe travel, cultural experiences, and tourism promotions during the off-season. Domestic travel campaigns got Germans to visit places close to home, which helped keep demand up during times of economic uncertainty. To get people to come back to areas that had been hit hard, regional tourism offices offered discounts and special packages.</w:t>
      </w:r>
      <w:r w:rsidRPr="003C2AB8">
        <w:rPr>
          <w:rFonts w:ascii="Times New Roman" w:hAnsi="Times New Roman" w:cs="Times New Roman"/>
        </w:rPr>
        <w:br/>
      </w:r>
      <w:r w:rsidRPr="003C2AB8">
        <w:rPr>
          <w:rFonts w:ascii="Times New Roman" w:hAnsi="Times New Roman" w:cs="Times New Roman"/>
        </w:rPr>
        <w:br/>
        <w:t>Helping small tourism businesses was a top priority. To help hotels and guesthouses deal with rising energy costs, many states gave them grants and low-interest loans. The German Tourism Association (2023) started training programs to help tourism workers and small businesses use digital booking tools, save energy, and change their services to meet the needs of budget-</w:t>
      </w:r>
      <w:r w:rsidRPr="003C2AB8">
        <w:rPr>
          <w:rFonts w:ascii="Times New Roman" w:hAnsi="Times New Roman" w:cs="Times New Roman"/>
        </w:rPr>
        <w:lastRenderedPageBreak/>
        <w:t>conscious customers.</w:t>
      </w:r>
      <w:r w:rsidRPr="003C2AB8">
        <w:rPr>
          <w:rFonts w:ascii="Times New Roman" w:hAnsi="Times New Roman" w:cs="Times New Roman"/>
        </w:rPr>
        <w:br/>
      </w:r>
      <w:r w:rsidRPr="003C2AB8">
        <w:rPr>
          <w:rFonts w:ascii="Times New Roman" w:hAnsi="Times New Roman" w:cs="Times New Roman"/>
        </w:rPr>
        <w:br/>
        <w:t xml:space="preserve">In short, the 2022–2023 Energy Crisis had a big effect on Germany's tourism industry. It raised costs, cut back on consumer spending, messed up travel flows, and hurt business tourism. But government policies like price caps, financial help, energy diversification, and tourism promotion were very important in making the sector stable. The crisis showed how vulnerable Germany is to </w:t>
      </w:r>
      <w:proofErr w:type="gramStart"/>
      <w:r w:rsidRPr="003C2AB8">
        <w:rPr>
          <w:rFonts w:ascii="Times New Roman" w:hAnsi="Times New Roman" w:cs="Times New Roman"/>
        </w:rPr>
        <w:t>relying</w:t>
      </w:r>
      <w:proofErr w:type="gramEnd"/>
      <w:r w:rsidRPr="003C2AB8">
        <w:rPr>
          <w:rFonts w:ascii="Times New Roman" w:hAnsi="Times New Roman" w:cs="Times New Roman"/>
        </w:rPr>
        <w:t xml:space="preserve"> on energy from other countries, but it also sped up long-term investments in renewable energy and sustainability. The tourism industry had a lot of problems, but the country's quick and organized response helped it get back on its feet and stay strong.</w:t>
      </w:r>
    </w:p>
    <w:p w14:paraId="3B5534E0" w14:textId="77777777" w:rsidR="003D1988" w:rsidRDefault="003D1988" w:rsidP="000848C3">
      <w:pPr>
        <w:spacing w:line="480" w:lineRule="auto"/>
        <w:rPr>
          <w:rFonts w:ascii="Times New Roman" w:hAnsi="Times New Roman" w:cs="Times New Roman"/>
          <w:b/>
          <w:bCs/>
        </w:rPr>
      </w:pPr>
    </w:p>
    <w:p w14:paraId="39C0DFA6" w14:textId="77777777" w:rsidR="003C2AB8" w:rsidRDefault="003C2AB8" w:rsidP="000848C3">
      <w:pPr>
        <w:spacing w:line="480" w:lineRule="auto"/>
        <w:rPr>
          <w:rFonts w:ascii="Times New Roman" w:hAnsi="Times New Roman" w:cs="Times New Roman"/>
          <w:b/>
          <w:bCs/>
        </w:rPr>
      </w:pPr>
    </w:p>
    <w:p w14:paraId="30BF973E" w14:textId="77777777" w:rsidR="003C2AB8" w:rsidRDefault="003C2AB8" w:rsidP="000848C3">
      <w:pPr>
        <w:spacing w:line="480" w:lineRule="auto"/>
        <w:rPr>
          <w:rFonts w:ascii="Times New Roman" w:hAnsi="Times New Roman" w:cs="Times New Roman"/>
          <w:b/>
          <w:bCs/>
        </w:rPr>
      </w:pPr>
    </w:p>
    <w:p w14:paraId="1B4CDCA5" w14:textId="77777777" w:rsidR="003C2AB8" w:rsidRDefault="003C2AB8" w:rsidP="000848C3">
      <w:pPr>
        <w:spacing w:line="480" w:lineRule="auto"/>
        <w:rPr>
          <w:rFonts w:ascii="Times New Roman" w:hAnsi="Times New Roman" w:cs="Times New Roman"/>
          <w:b/>
          <w:bCs/>
        </w:rPr>
      </w:pPr>
    </w:p>
    <w:p w14:paraId="58184A80" w14:textId="77777777" w:rsidR="003C2AB8" w:rsidRDefault="003C2AB8" w:rsidP="000848C3">
      <w:pPr>
        <w:spacing w:line="480" w:lineRule="auto"/>
        <w:rPr>
          <w:rFonts w:ascii="Times New Roman" w:hAnsi="Times New Roman" w:cs="Times New Roman"/>
          <w:b/>
          <w:bCs/>
        </w:rPr>
      </w:pPr>
    </w:p>
    <w:p w14:paraId="057BAA79" w14:textId="77777777" w:rsidR="003C2AB8" w:rsidRDefault="003C2AB8" w:rsidP="000848C3">
      <w:pPr>
        <w:spacing w:line="480" w:lineRule="auto"/>
        <w:rPr>
          <w:rFonts w:ascii="Times New Roman" w:hAnsi="Times New Roman" w:cs="Times New Roman"/>
          <w:b/>
          <w:bCs/>
        </w:rPr>
      </w:pPr>
    </w:p>
    <w:p w14:paraId="7938D29D" w14:textId="77777777" w:rsidR="003C2AB8" w:rsidRDefault="003C2AB8" w:rsidP="000848C3">
      <w:pPr>
        <w:spacing w:line="480" w:lineRule="auto"/>
        <w:rPr>
          <w:rFonts w:ascii="Times New Roman" w:hAnsi="Times New Roman" w:cs="Times New Roman"/>
          <w:b/>
          <w:bCs/>
        </w:rPr>
      </w:pPr>
    </w:p>
    <w:p w14:paraId="320BE2E8" w14:textId="77777777" w:rsidR="003C2AB8" w:rsidRDefault="003C2AB8" w:rsidP="000848C3">
      <w:pPr>
        <w:spacing w:line="480" w:lineRule="auto"/>
        <w:rPr>
          <w:rFonts w:ascii="Times New Roman" w:hAnsi="Times New Roman" w:cs="Times New Roman"/>
          <w:b/>
          <w:bCs/>
        </w:rPr>
      </w:pPr>
    </w:p>
    <w:p w14:paraId="3CFA63AF" w14:textId="77777777" w:rsidR="003C2AB8" w:rsidRDefault="003C2AB8" w:rsidP="000848C3">
      <w:pPr>
        <w:spacing w:line="480" w:lineRule="auto"/>
        <w:rPr>
          <w:rFonts w:ascii="Times New Roman" w:hAnsi="Times New Roman" w:cs="Times New Roman"/>
          <w:b/>
          <w:bCs/>
        </w:rPr>
      </w:pPr>
    </w:p>
    <w:p w14:paraId="5BC14DD8" w14:textId="77777777" w:rsidR="003C2AB8" w:rsidRDefault="003C2AB8" w:rsidP="000848C3">
      <w:pPr>
        <w:spacing w:line="480" w:lineRule="auto"/>
        <w:rPr>
          <w:rFonts w:ascii="Times New Roman" w:hAnsi="Times New Roman" w:cs="Times New Roman"/>
          <w:b/>
          <w:bCs/>
        </w:rPr>
      </w:pPr>
    </w:p>
    <w:p w14:paraId="682ECA6F" w14:textId="77777777" w:rsidR="003C2AB8" w:rsidRDefault="003C2AB8" w:rsidP="000848C3">
      <w:pPr>
        <w:spacing w:line="480" w:lineRule="auto"/>
        <w:rPr>
          <w:rFonts w:ascii="Times New Roman" w:hAnsi="Times New Roman" w:cs="Times New Roman"/>
          <w:b/>
          <w:bCs/>
        </w:rPr>
      </w:pPr>
    </w:p>
    <w:p w14:paraId="289C3CF7" w14:textId="77777777" w:rsidR="003D1988" w:rsidRDefault="003D1988" w:rsidP="000848C3">
      <w:pPr>
        <w:spacing w:line="480" w:lineRule="auto"/>
        <w:rPr>
          <w:rFonts w:ascii="Times New Roman" w:hAnsi="Times New Roman" w:cs="Times New Roman"/>
          <w:b/>
          <w:bCs/>
        </w:rPr>
      </w:pPr>
    </w:p>
    <w:p w14:paraId="5DC68898" w14:textId="77777777" w:rsidR="003D1988" w:rsidRDefault="003D1988" w:rsidP="000848C3">
      <w:pPr>
        <w:spacing w:line="480" w:lineRule="auto"/>
        <w:rPr>
          <w:rFonts w:ascii="Times New Roman" w:hAnsi="Times New Roman" w:cs="Times New Roman"/>
          <w:b/>
          <w:bCs/>
        </w:rPr>
      </w:pPr>
    </w:p>
    <w:p w14:paraId="6F992ECE" w14:textId="77777777" w:rsidR="003D1988" w:rsidRDefault="003D1988" w:rsidP="000848C3">
      <w:pPr>
        <w:spacing w:line="480" w:lineRule="auto"/>
        <w:rPr>
          <w:rFonts w:ascii="Times New Roman" w:hAnsi="Times New Roman" w:cs="Times New Roman"/>
          <w:b/>
          <w:bCs/>
        </w:rPr>
      </w:pPr>
    </w:p>
    <w:p w14:paraId="017C5E9D" w14:textId="7BFEFCC8" w:rsidR="003D1988" w:rsidRDefault="005476EC" w:rsidP="000848C3">
      <w:pPr>
        <w:spacing w:line="480" w:lineRule="auto"/>
        <w:rPr>
          <w:rFonts w:ascii="Times New Roman" w:hAnsi="Times New Roman" w:cs="Times New Roman"/>
          <w:b/>
          <w:bCs/>
        </w:rPr>
      </w:pPr>
      <w:r>
        <w:rPr>
          <w:rFonts w:ascii="Times New Roman" w:hAnsi="Times New Roman" w:cs="Times New Roman"/>
          <w:b/>
          <w:bCs/>
        </w:rPr>
        <w:lastRenderedPageBreak/>
        <w:t xml:space="preserve">REFERENCES </w:t>
      </w:r>
    </w:p>
    <w:p w14:paraId="4C2281CE" w14:textId="77777777" w:rsidR="003C2AB8" w:rsidRPr="003C2AB8" w:rsidRDefault="003C2AB8" w:rsidP="003C2AB8">
      <w:pPr>
        <w:spacing w:line="480" w:lineRule="auto"/>
        <w:rPr>
          <w:rFonts w:ascii="Times New Roman" w:hAnsi="Times New Roman" w:cs="Times New Roman"/>
          <w:b/>
          <w:bCs/>
        </w:rPr>
      </w:pPr>
      <w:r w:rsidRPr="003C2AB8">
        <w:rPr>
          <w:rFonts w:ascii="Times New Roman" w:hAnsi="Times New Roman" w:cs="Times New Roman"/>
          <w:b/>
          <w:bCs/>
        </w:rPr>
        <w:t xml:space="preserve">BMWK – Federal Ministry for Economic Affairs and Climate Action (2023) </w:t>
      </w:r>
      <w:r w:rsidRPr="003C2AB8">
        <w:rPr>
          <w:rFonts w:ascii="Times New Roman" w:hAnsi="Times New Roman" w:cs="Times New Roman"/>
          <w:b/>
          <w:bCs/>
          <w:i/>
          <w:iCs/>
        </w:rPr>
        <w:t>Economic Defence Shield Measures</w:t>
      </w:r>
      <w:r w:rsidRPr="003C2AB8">
        <w:rPr>
          <w:rFonts w:ascii="Times New Roman" w:hAnsi="Times New Roman" w:cs="Times New Roman"/>
          <w:b/>
          <w:bCs/>
        </w:rPr>
        <w:t>. Berlin: German Government.</w:t>
      </w:r>
    </w:p>
    <w:p w14:paraId="62DA912D" w14:textId="77777777" w:rsidR="003C2AB8" w:rsidRPr="003C2AB8" w:rsidRDefault="003C2AB8" w:rsidP="003C2AB8">
      <w:pPr>
        <w:spacing w:line="480" w:lineRule="auto"/>
        <w:rPr>
          <w:rFonts w:ascii="Times New Roman" w:hAnsi="Times New Roman" w:cs="Times New Roman"/>
          <w:b/>
          <w:bCs/>
        </w:rPr>
      </w:pPr>
      <w:r w:rsidRPr="003C2AB8">
        <w:rPr>
          <w:rFonts w:ascii="Times New Roman" w:hAnsi="Times New Roman" w:cs="Times New Roman"/>
          <w:b/>
          <w:bCs/>
        </w:rPr>
        <w:t xml:space="preserve">Eurostat (2023) </w:t>
      </w:r>
      <w:r w:rsidRPr="003C2AB8">
        <w:rPr>
          <w:rFonts w:ascii="Times New Roman" w:hAnsi="Times New Roman" w:cs="Times New Roman"/>
          <w:b/>
          <w:bCs/>
          <w:i/>
          <w:iCs/>
        </w:rPr>
        <w:t>Tourism and Expenditure Trends in the EU</w:t>
      </w:r>
      <w:r w:rsidRPr="003C2AB8">
        <w:rPr>
          <w:rFonts w:ascii="Times New Roman" w:hAnsi="Times New Roman" w:cs="Times New Roman"/>
          <w:b/>
          <w:bCs/>
        </w:rPr>
        <w:t>. European Commission.</w:t>
      </w:r>
    </w:p>
    <w:p w14:paraId="76006747" w14:textId="77777777" w:rsidR="003C2AB8" w:rsidRPr="003C2AB8" w:rsidRDefault="003C2AB8" w:rsidP="003C2AB8">
      <w:pPr>
        <w:spacing w:line="480" w:lineRule="auto"/>
        <w:rPr>
          <w:rFonts w:ascii="Times New Roman" w:hAnsi="Times New Roman" w:cs="Times New Roman"/>
          <w:b/>
          <w:bCs/>
        </w:rPr>
      </w:pPr>
      <w:r w:rsidRPr="003C2AB8">
        <w:rPr>
          <w:rFonts w:ascii="Times New Roman" w:hAnsi="Times New Roman" w:cs="Times New Roman"/>
          <w:b/>
          <w:bCs/>
        </w:rPr>
        <w:t xml:space="preserve">German Tourism Association (2023) </w:t>
      </w:r>
      <w:r w:rsidRPr="003C2AB8">
        <w:rPr>
          <w:rFonts w:ascii="Times New Roman" w:hAnsi="Times New Roman" w:cs="Times New Roman"/>
          <w:b/>
          <w:bCs/>
          <w:i/>
          <w:iCs/>
        </w:rPr>
        <w:t>Tourism Industry Report 2023</w:t>
      </w:r>
      <w:r w:rsidRPr="003C2AB8">
        <w:rPr>
          <w:rFonts w:ascii="Times New Roman" w:hAnsi="Times New Roman" w:cs="Times New Roman"/>
          <w:b/>
          <w:bCs/>
        </w:rPr>
        <w:t>. Berlin: DTV.</w:t>
      </w:r>
    </w:p>
    <w:p w14:paraId="0886F945" w14:textId="77777777" w:rsidR="003C2AB8" w:rsidRPr="003C2AB8" w:rsidRDefault="003C2AB8" w:rsidP="003C2AB8">
      <w:pPr>
        <w:spacing w:line="480" w:lineRule="auto"/>
        <w:rPr>
          <w:rFonts w:ascii="Times New Roman" w:hAnsi="Times New Roman" w:cs="Times New Roman"/>
          <w:b/>
          <w:bCs/>
        </w:rPr>
      </w:pPr>
      <w:proofErr w:type="spellStart"/>
      <w:r w:rsidRPr="003C2AB8">
        <w:rPr>
          <w:rFonts w:ascii="Times New Roman" w:hAnsi="Times New Roman" w:cs="Times New Roman"/>
          <w:b/>
          <w:bCs/>
        </w:rPr>
        <w:t>Hainsch</w:t>
      </w:r>
      <w:proofErr w:type="spellEnd"/>
      <w:r w:rsidRPr="003C2AB8">
        <w:rPr>
          <w:rFonts w:ascii="Times New Roman" w:hAnsi="Times New Roman" w:cs="Times New Roman"/>
          <w:b/>
          <w:bCs/>
        </w:rPr>
        <w:t xml:space="preserve">, K., Löffler, K. &amp; Burandt, T. (2022) ‘Energy Security Impacts of the Russia–Ukraine Conflict on Germany’, </w:t>
      </w:r>
      <w:r w:rsidRPr="003C2AB8">
        <w:rPr>
          <w:rFonts w:ascii="Times New Roman" w:hAnsi="Times New Roman" w:cs="Times New Roman"/>
          <w:b/>
          <w:bCs/>
          <w:i/>
          <w:iCs/>
        </w:rPr>
        <w:t>Energy Policy</w:t>
      </w:r>
      <w:r w:rsidRPr="003C2AB8">
        <w:rPr>
          <w:rFonts w:ascii="Times New Roman" w:hAnsi="Times New Roman" w:cs="Times New Roman"/>
          <w:b/>
          <w:bCs/>
        </w:rPr>
        <w:t>, 170, pp. 1–12.</w:t>
      </w:r>
    </w:p>
    <w:p w14:paraId="3D1583E3" w14:textId="77777777" w:rsidR="003C2AB8" w:rsidRPr="003C2AB8" w:rsidRDefault="003C2AB8" w:rsidP="003C2AB8">
      <w:pPr>
        <w:spacing w:line="480" w:lineRule="auto"/>
        <w:rPr>
          <w:rFonts w:ascii="Times New Roman" w:hAnsi="Times New Roman" w:cs="Times New Roman"/>
          <w:b/>
          <w:bCs/>
        </w:rPr>
      </w:pPr>
      <w:r w:rsidRPr="003C2AB8">
        <w:rPr>
          <w:rFonts w:ascii="Times New Roman" w:hAnsi="Times New Roman" w:cs="Times New Roman"/>
          <w:b/>
          <w:bCs/>
        </w:rPr>
        <w:t xml:space="preserve">OECD (2023) </w:t>
      </w:r>
      <w:r w:rsidRPr="003C2AB8">
        <w:rPr>
          <w:rFonts w:ascii="Times New Roman" w:hAnsi="Times New Roman" w:cs="Times New Roman"/>
          <w:b/>
          <w:bCs/>
          <w:i/>
          <w:iCs/>
        </w:rPr>
        <w:t>Germany Economic Outlook 2023</w:t>
      </w:r>
      <w:r w:rsidRPr="003C2AB8">
        <w:rPr>
          <w:rFonts w:ascii="Times New Roman" w:hAnsi="Times New Roman" w:cs="Times New Roman"/>
          <w:b/>
          <w:bCs/>
        </w:rPr>
        <w:t>. OECD Publishing.</w:t>
      </w:r>
    </w:p>
    <w:p w14:paraId="7D7181AA" w14:textId="77777777" w:rsidR="003C2AB8" w:rsidRPr="003C2AB8" w:rsidRDefault="003C2AB8" w:rsidP="003C2AB8">
      <w:pPr>
        <w:spacing w:line="480" w:lineRule="auto"/>
        <w:rPr>
          <w:rFonts w:ascii="Times New Roman" w:hAnsi="Times New Roman" w:cs="Times New Roman"/>
          <w:b/>
          <w:bCs/>
        </w:rPr>
      </w:pPr>
      <w:r w:rsidRPr="003C2AB8">
        <w:rPr>
          <w:rFonts w:ascii="Times New Roman" w:hAnsi="Times New Roman" w:cs="Times New Roman"/>
          <w:b/>
          <w:bCs/>
        </w:rPr>
        <w:t xml:space="preserve">Schulz, S. &amp; Matthes, F. (2023) ‘Germany’s Energy Crisis Response and Industrial Impact’, </w:t>
      </w:r>
      <w:r w:rsidRPr="003C2AB8">
        <w:rPr>
          <w:rFonts w:ascii="Times New Roman" w:hAnsi="Times New Roman" w:cs="Times New Roman"/>
          <w:b/>
          <w:bCs/>
          <w:i/>
          <w:iCs/>
        </w:rPr>
        <w:t>Journal of European Economic Studies</w:t>
      </w:r>
      <w:r w:rsidRPr="003C2AB8">
        <w:rPr>
          <w:rFonts w:ascii="Times New Roman" w:hAnsi="Times New Roman" w:cs="Times New Roman"/>
          <w:b/>
          <w:bCs/>
        </w:rPr>
        <w:t>, 44(2), pp. 95–112.</w:t>
      </w:r>
    </w:p>
    <w:p w14:paraId="06884DAC" w14:textId="77777777" w:rsidR="003C2AB8" w:rsidRPr="003C2AB8" w:rsidRDefault="003C2AB8" w:rsidP="003C2AB8">
      <w:pPr>
        <w:spacing w:line="480" w:lineRule="auto"/>
        <w:rPr>
          <w:rFonts w:ascii="Times New Roman" w:hAnsi="Times New Roman" w:cs="Times New Roman"/>
          <w:b/>
          <w:bCs/>
        </w:rPr>
      </w:pPr>
      <w:r w:rsidRPr="003C2AB8">
        <w:rPr>
          <w:rFonts w:ascii="Times New Roman" w:hAnsi="Times New Roman" w:cs="Times New Roman"/>
          <w:b/>
          <w:bCs/>
        </w:rPr>
        <w:t xml:space="preserve">World Bank (2023) </w:t>
      </w:r>
      <w:r w:rsidRPr="003C2AB8">
        <w:rPr>
          <w:rFonts w:ascii="Times New Roman" w:hAnsi="Times New Roman" w:cs="Times New Roman"/>
          <w:b/>
          <w:bCs/>
          <w:i/>
          <w:iCs/>
        </w:rPr>
        <w:t>Europe and Central Asia Economic Update: Energy Crisis</w:t>
      </w:r>
      <w:r w:rsidRPr="003C2AB8">
        <w:rPr>
          <w:rFonts w:ascii="Times New Roman" w:hAnsi="Times New Roman" w:cs="Times New Roman"/>
          <w:b/>
          <w:bCs/>
        </w:rPr>
        <w:t>. World Bank Group.</w:t>
      </w:r>
    </w:p>
    <w:p w14:paraId="70A2F8D0" w14:textId="77777777" w:rsidR="003D1988" w:rsidRDefault="003D1988" w:rsidP="000848C3">
      <w:pPr>
        <w:spacing w:line="480" w:lineRule="auto"/>
        <w:rPr>
          <w:rFonts w:ascii="Times New Roman" w:hAnsi="Times New Roman" w:cs="Times New Roman"/>
          <w:b/>
          <w:bCs/>
        </w:rPr>
      </w:pPr>
    </w:p>
    <w:p w14:paraId="4F0C85C0" w14:textId="77777777" w:rsidR="003D1988" w:rsidRDefault="003D1988" w:rsidP="000848C3">
      <w:pPr>
        <w:spacing w:line="480" w:lineRule="auto"/>
        <w:rPr>
          <w:rFonts w:ascii="Times New Roman" w:hAnsi="Times New Roman" w:cs="Times New Roman"/>
          <w:b/>
          <w:bCs/>
        </w:rPr>
      </w:pPr>
    </w:p>
    <w:p w14:paraId="2FBF4F97" w14:textId="77777777" w:rsidR="003D1988" w:rsidRDefault="003D1988" w:rsidP="000848C3">
      <w:pPr>
        <w:spacing w:line="480" w:lineRule="auto"/>
        <w:rPr>
          <w:rFonts w:ascii="Times New Roman" w:hAnsi="Times New Roman" w:cs="Times New Roman"/>
          <w:b/>
          <w:bCs/>
        </w:rPr>
      </w:pPr>
    </w:p>
    <w:p w14:paraId="65C04211" w14:textId="77777777" w:rsidR="003D1988" w:rsidRDefault="003D1988" w:rsidP="000848C3">
      <w:pPr>
        <w:spacing w:line="480" w:lineRule="auto"/>
        <w:rPr>
          <w:rFonts w:ascii="Times New Roman" w:hAnsi="Times New Roman" w:cs="Times New Roman"/>
          <w:b/>
          <w:bCs/>
        </w:rPr>
      </w:pPr>
    </w:p>
    <w:p w14:paraId="50AA2F3F" w14:textId="77777777" w:rsidR="003D1988" w:rsidRDefault="003D1988" w:rsidP="000848C3">
      <w:pPr>
        <w:spacing w:line="480" w:lineRule="auto"/>
        <w:rPr>
          <w:rFonts w:ascii="Times New Roman" w:hAnsi="Times New Roman" w:cs="Times New Roman"/>
          <w:b/>
          <w:bCs/>
        </w:rPr>
      </w:pPr>
    </w:p>
    <w:p w14:paraId="4E02498F" w14:textId="77777777" w:rsidR="003D1988" w:rsidRDefault="003D1988" w:rsidP="000848C3">
      <w:pPr>
        <w:spacing w:line="480" w:lineRule="auto"/>
        <w:rPr>
          <w:rFonts w:ascii="Times New Roman" w:hAnsi="Times New Roman" w:cs="Times New Roman"/>
          <w:b/>
          <w:bCs/>
        </w:rPr>
      </w:pPr>
    </w:p>
    <w:p w14:paraId="7499CA63" w14:textId="77777777" w:rsidR="003D1988" w:rsidRDefault="003D1988" w:rsidP="000848C3">
      <w:pPr>
        <w:spacing w:line="480" w:lineRule="auto"/>
        <w:rPr>
          <w:rFonts w:ascii="Times New Roman" w:hAnsi="Times New Roman" w:cs="Times New Roman"/>
          <w:b/>
          <w:bCs/>
        </w:rPr>
      </w:pPr>
    </w:p>
    <w:p w14:paraId="61A20921" w14:textId="77777777" w:rsidR="003D1988" w:rsidRDefault="003D1988" w:rsidP="000848C3">
      <w:pPr>
        <w:spacing w:line="480" w:lineRule="auto"/>
        <w:rPr>
          <w:rFonts w:ascii="Times New Roman" w:hAnsi="Times New Roman" w:cs="Times New Roman"/>
          <w:b/>
          <w:bCs/>
        </w:rPr>
      </w:pPr>
    </w:p>
    <w:p w14:paraId="176966BF" w14:textId="77777777" w:rsidR="003D1988" w:rsidRDefault="003D1988" w:rsidP="000848C3">
      <w:pPr>
        <w:spacing w:line="480" w:lineRule="auto"/>
        <w:rPr>
          <w:rFonts w:ascii="Times New Roman" w:hAnsi="Times New Roman" w:cs="Times New Roman"/>
          <w:b/>
          <w:bCs/>
        </w:rPr>
      </w:pPr>
    </w:p>
    <w:p w14:paraId="6A0991D2" w14:textId="77777777" w:rsidR="003D1988" w:rsidRDefault="003D1988" w:rsidP="000848C3">
      <w:pPr>
        <w:spacing w:line="480" w:lineRule="auto"/>
        <w:rPr>
          <w:rFonts w:ascii="Times New Roman" w:hAnsi="Times New Roman" w:cs="Times New Roman"/>
          <w:b/>
          <w:bCs/>
        </w:rPr>
      </w:pPr>
    </w:p>
    <w:p w14:paraId="146AC72A" w14:textId="77777777" w:rsidR="003D1988" w:rsidRDefault="003D1988" w:rsidP="000848C3">
      <w:pPr>
        <w:spacing w:line="480" w:lineRule="auto"/>
        <w:rPr>
          <w:rFonts w:ascii="Times New Roman" w:hAnsi="Times New Roman" w:cs="Times New Roman"/>
          <w:b/>
          <w:bCs/>
        </w:rPr>
      </w:pPr>
    </w:p>
    <w:p w14:paraId="19EBD2CE" w14:textId="77777777" w:rsidR="003D1988" w:rsidRPr="001733DC" w:rsidRDefault="003D1988" w:rsidP="000848C3">
      <w:pPr>
        <w:spacing w:line="480" w:lineRule="auto"/>
        <w:rPr>
          <w:rFonts w:ascii="Times New Roman" w:hAnsi="Times New Roman" w:cs="Times New Roman"/>
        </w:rPr>
      </w:pPr>
    </w:p>
    <w:p w14:paraId="54106933" w14:textId="188D7843" w:rsidR="000848C3" w:rsidRPr="000848C3" w:rsidRDefault="000848C3" w:rsidP="000848C3">
      <w:pPr>
        <w:spacing w:line="480" w:lineRule="auto"/>
        <w:rPr>
          <w:rFonts w:ascii="Times New Roman" w:hAnsi="Times New Roman" w:cs="Times New Roman"/>
          <w:b/>
          <w:bCs/>
          <w:lang w:val="en-US"/>
        </w:rPr>
      </w:pPr>
      <w:r w:rsidRPr="000848C3">
        <w:rPr>
          <w:rFonts w:ascii="Times New Roman" w:hAnsi="Times New Roman" w:cs="Times New Roman"/>
          <w:b/>
          <w:bCs/>
          <w:lang w:val="en-US"/>
        </w:rPr>
        <w:t xml:space="preserve">References </w:t>
      </w:r>
    </w:p>
    <w:p w14:paraId="76244433" w14:textId="77777777" w:rsidR="006933B6" w:rsidRPr="006933B6" w:rsidRDefault="006933B6" w:rsidP="006933B6">
      <w:pPr>
        <w:spacing w:line="480" w:lineRule="auto"/>
        <w:rPr>
          <w:rFonts w:ascii="Times New Roman" w:hAnsi="Times New Roman" w:cs="Times New Roman"/>
        </w:rPr>
      </w:pPr>
      <w:r w:rsidRPr="006933B6">
        <w:rPr>
          <w:rFonts w:ascii="Times New Roman" w:hAnsi="Times New Roman" w:cs="Times New Roman"/>
        </w:rPr>
        <w:t xml:space="preserve">BMWK – Federal Ministry for Economic Affairs and Climate Action (2023) </w:t>
      </w:r>
      <w:r w:rsidRPr="006933B6">
        <w:rPr>
          <w:rFonts w:ascii="Times New Roman" w:hAnsi="Times New Roman" w:cs="Times New Roman"/>
          <w:i/>
          <w:iCs/>
        </w:rPr>
        <w:t>Economic Defence Shield and Energy Measures</w:t>
      </w:r>
      <w:r w:rsidRPr="006933B6">
        <w:rPr>
          <w:rFonts w:ascii="Times New Roman" w:hAnsi="Times New Roman" w:cs="Times New Roman"/>
        </w:rPr>
        <w:t>. Berlin: German Government.</w:t>
      </w:r>
    </w:p>
    <w:p w14:paraId="6859482B" w14:textId="77777777" w:rsidR="006933B6" w:rsidRPr="006933B6" w:rsidRDefault="006933B6" w:rsidP="006933B6">
      <w:pPr>
        <w:spacing w:line="480" w:lineRule="auto"/>
        <w:rPr>
          <w:rFonts w:ascii="Times New Roman" w:hAnsi="Times New Roman" w:cs="Times New Roman"/>
        </w:rPr>
      </w:pPr>
      <w:r w:rsidRPr="006933B6">
        <w:rPr>
          <w:rFonts w:ascii="Times New Roman" w:hAnsi="Times New Roman" w:cs="Times New Roman"/>
        </w:rPr>
        <w:t xml:space="preserve">Eurostat (2023) </w:t>
      </w:r>
      <w:r w:rsidRPr="006933B6">
        <w:rPr>
          <w:rFonts w:ascii="Times New Roman" w:hAnsi="Times New Roman" w:cs="Times New Roman"/>
          <w:i/>
          <w:iCs/>
        </w:rPr>
        <w:t>Tourism Statistics: Visitor Expenditure in the EU</w:t>
      </w:r>
      <w:r w:rsidRPr="006933B6">
        <w:rPr>
          <w:rFonts w:ascii="Times New Roman" w:hAnsi="Times New Roman" w:cs="Times New Roman"/>
        </w:rPr>
        <w:t>. European Commission.</w:t>
      </w:r>
    </w:p>
    <w:p w14:paraId="44328C56" w14:textId="77777777" w:rsidR="006933B6" w:rsidRPr="006933B6" w:rsidRDefault="006933B6" w:rsidP="006933B6">
      <w:pPr>
        <w:spacing w:line="480" w:lineRule="auto"/>
        <w:rPr>
          <w:rFonts w:ascii="Times New Roman" w:hAnsi="Times New Roman" w:cs="Times New Roman"/>
        </w:rPr>
      </w:pPr>
      <w:r w:rsidRPr="006933B6">
        <w:rPr>
          <w:rFonts w:ascii="Times New Roman" w:hAnsi="Times New Roman" w:cs="Times New Roman"/>
        </w:rPr>
        <w:t xml:space="preserve">German Tourism Association (2023) </w:t>
      </w:r>
      <w:r w:rsidRPr="006933B6">
        <w:rPr>
          <w:rFonts w:ascii="Times New Roman" w:hAnsi="Times New Roman" w:cs="Times New Roman"/>
          <w:i/>
          <w:iCs/>
        </w:rPr>
        <w:t>Tourism Industry Report 2023</w:t>
      </w:r>
      <w:r w:rsidRPr="006933B6">
        <w:rPr>
          <w:rFonts w:ascii="Times New Roman" w:hAnsi="Times New Roman" w:cs="Times New Roman"/>
        </w:rPr>
        <w:t>. Berlin: DTV.</w:t>
      </w:r>
    </w:p>
    <w:p w14:paraId="623E9C9A" w14:textId="77777777" w:rsidR="006933B6" w:rsidRPr="006933B6" w:rsidRDefault="006933B6" w:rsidP="006933B6">
      <w:pPr>
        <w:spacing w:line="480" w:lineRule="auto"/>
        <w:rPr>
          <w:rFonts w:ascii="Times New Roman" w:hAnsi="Times New Roman" w:cs="Times New Roman"/>
        </w:rPr>
      </w:pPr>
      <w:proofErr w:type="spellStart"/>
      <w:r w:rsidRPr="006933B6">
        <w:rPr>
          <w:rFonts w:ascii="Times New Roman" w:hAnsi="Times New Roman" w:cs="Times New Roman"/>
        </w:rPr>
        <w:t>Hainsch</w:t>
      </w:r>
      <w:proofErr w:type="spellEnd"/>
      <w:r w:rsidRPr="006933B6">
        <w:rPr>
          <w:rFonts w:ascii="Times New Roman" w:hAnsi="Times New Roman" w:cs="Times New Roman"/>
        </w:rPr>
        <w:t xml:space="preserve">, K., Löffler, K. &amp; Burandt, T. (2022) ‘Energy Security and Economic Impacts of the Russia–Ukraine Conflict on Germany’, </w:t>
      </w:r>
      <w:r w:rsidRPr="006933B6">
        <w:rPr>
          <w:rFonts w:ascii="Times New Roman" w:hAnsi="Times New Roman" w:cs="Times New Roman"/>
          <w:i/>
          <w:iCs/>
        </w:rPr>
        <w:t>Energy Policy</w:t>
      </w:r>
      <w:r w:rsidRPr="006933B6">
        <w:rPr>
          <w:rFonts w:ascii="Times New Roman" w:hAnsi="Times New Roman" w:cs="Times New Roman"/>
        </w:rPr>
        <w:t>, 170, pp. 1–12.</w:t>
      </w:r>
    </w:p>
    <w:p w14:paraId="170AA63A" w14:textId="77777777" w:rsidR="006933B6" w:rsidRPr="006933B6" w:rsidRDefault="006933B6" w:rsidP="006933B6">
      <w:pPr>
        <w:spacing w:line="480" w:lineRule="auto"/>
        <w:rPr>
          <w:rFonts w:ascii="Times New Roman" w:hAnsi="Times New Roman" w:cs="Times New Roman"/>
        </w:rPr>
      </w:pPr>
      <w:r w:rsidRPr="006933B6">
        <w:rPr>
          <w:rFonts w:ascii="Times New Roman" w:hAnsi="Times New Roman" w:cs="Times New Roman"/>
        </w:rPr>
        <w:t xml:space="preserve">OECD (2023) </w:t>
      </w:r>
      <w:r w:rsidRPr="006933B6">
        <w:rPr>
          <w:rFonts w:ascii="Times New Roman" w:hAnsi="Times New Roman" w:cs="Times New Roman"/>
          <w:i/>
          <w:iCs/>
        </w:rPr>
        <w:t>Germany Economic Outlook 2023</w:t>
      </w:r>
      <w:r w:rsidRPr="006933B6">
        <w:rPr>
          <w:rFonts w:ascii="Times New Roman" w:hAnsi="Times New Roman" w:cs="Times New Roman"/>
        </w:rPr>
        <w:t>. OECD Publishing.</w:t>
      </w:r>
    </w:p>
    <w:p w14:paraId="0E97B03A" w14:textId="77777777" w:rsidR="006933B6" w:rsidRPr="006933B6" w:rsidRDefault="006933B6" w:rsidP="006933B6">
      <w:pPr>
        <w:spacing w:line="480" w:lineRule="auto"/>
        <w:rPr>
          <w:rFonts w:ascii="Times New Roman" w:hAnsi="Times New Roman" w:cs="Times New Roman"/>
        </w:rPr>
      </w:pPr>
      <w:r w:rsidRPr="006933B6">
        <w:rPr>
          <w:rFonts w:ascii="Times New Roman" w:hAnsi="Times New Roman" w:cs="Times New Roman"/>
        </w:rPr>
        <w:t xml:space="preserve">Schulz, S. &amp; Matthes, F. (2023) ‘Germany’s Energy Crisis Response and Implications for Industry’, </w:t>
      </w:r>
      <w:r w:rsidRPr="006933B6">
        <w:rPr>
          <w:rFonts w:ascii="Times New Roman" w:hAnsi="Times New Roman" w:cs="Times New Roman"/>
          <w:i/>
          <w:iCs/>
        </w:rPr>
        <w:t>Journal of European Economic Studies</w:t>
      </w:r>
      <w:r w:rsidRPr="006933B6">
        <w:rPr>
          <w:rFonts w:ascii="Times New Roman" w:hAnsi="Times New Roman" w:cs="Times New Roman"/>
        </w:rPr>
        <w:t>, 44(2), pp. 95–112.</w:t>
      </w:r>
    </w:p>
    <w:p w14:paraId="6C505A8A" w14:textId="77777777" w:rsidR="006933B6" w:rsidRPr="006933B6" w:rsidRDefault="006933B6" w:rsidP="006933B6">
      <w:pPr>
        <w:spacing w:line="480" w:lineRule="auto"/>
        <w:rPr>
          <w:rFonts w:ascii="Times New Roman" w:hAnsi="Times New Roman" w:cs="Times New Roman"/>
        </w:rPr>
      </w:pPr>
      <w:r w:rsidRPr="006933B6">
        <w:rPr>
          <w:rFonts w:ascii="Times New Roman" w:hAnsi="Times New Roman" w:cs="Times New Roman"/>
        </w:rPr>
        <w:t xml:space="preserve">World Bank (2023) </w:t>
      </w:r>
      <w:r w:rsidRPr="006933B6">
        <w:rPr>
          <w:rFonts w:ascii="Times New Roman" w:hAnsi="Times New Roman" w:cs="Times New Roman"/>
          <w:i/>
          <w:iCs/>
        </w:rPr>
        <w:t>Europe and Central Asia Economic Update: Energy Crisis and Recovery</w:t>
      </w:r>
      <w:r w:rsidRPr="006933B6">
        <w:rPr>
          <w:rFonts w:ascii="Times New Roman" w:hAnsi="Times New Roman" w:cs="Times New Roman"/>
        </w:rPr>
        <w:t>. World Bank Group.</w:t>
      </w:r>
    </w:p>
    <w:p w14:paraId="73C76660" w14:textId="77777777" w:rsidR="000848C3" w:rsidRPr="000848C3" w:rsidRDefault="000848C3" w:rsidP="000848C3">
      <w:pPr>
        <w:spacing w:line="480" w:lineRule="auto"/>
        <w:rPr>
          <w:rFonts w:ascii="Times New Roman" w:hAnsi="Times New Roman" w:cs="Times New Roman"/>
          <w:lang w:val="en-US"/>
        </w:rPr>
      </w:pPr>
    </w:p>
    <w:sectPr w:rsidR="000848C3" w:rsidRPr="000848C3">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angal">
    <w:panose1 w:val="02040503050203030202"/>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1627A2"/>
    <w:multiLevelType w:val="hybridMultilevel"/>
    <w:tmpl w:val="5FAE1BDA"/>
    <w:lvl w:ilvl="0" w:tplc="5E06A5F2">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9016A8"/>
    <w:multiLevelType w:val="hybridMultilevel"/>
    <w:tmpl w:val="A1129F88"/>
    <w:lvl w:ilvl="0" w:tplc="5E06A5F2">
      <w:numFmt w:val="bullet"/>
      <w:lvlText w:val="-"/>
      <w:lvlJc w:val="left"/>
      <w:pPr>
        <w:ind w:left="1440" w:hanging="360"/>
      </w:pPr>
      <w:rPr>
        <w:rFonts w:ascii="Times New Roman" w:eastAsiaTheme="minorHAnsi" w:hAnsi="Times New Roman" w:cs="Times New Roman"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1FC570D9"/>
    <w:multiLevelType w:val="hybridMultilevel"/>
    <w:tmpl w:val="1CE6FE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6A25992"/>
    <w:multiLevelType w:val="hybridMultilevel"/>
    <w:tmpl w:val="E2125502"/>
    <w:lvl w:ilvl="0" w:tplc="04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68B41BC6"/>
    <w:multiLevelType w:val="hybridMultilevel"/>
    <w:tmpl w:val="E620ED86"/>
    <w:lvl w:ilvl="0" w:tplc="5E06A5F2">
      <w:numFmt w:val="bullet"/>
      <w:lvlText w:val="-"/>
      <w:lvlJc w:val="left"/>
      <w:pPr>
        <w:ind w:left="720" w:hanging="360"/>
      </w:pPr>
      <w:rPr>
        <w:rFonts w:ascii="Times New Roman" w:eastAsiaTheme="minorHAnsi" w:hAnsi="Times New Roman" w:cs="Times New Roman" w:hint="default"/>
      </w:rPr>
    </w:lvl>
    <w:lvl w:ilvl="1" w:tplc="DE12E9C0">
      <w:numFmt w:val="bullet"/>
      <w:lvlText w:val="•"/>
      <w:lvlJc w:val="left"/>
      <w:pPr>
        <w:ind w:left="1440" w:hanging="360"/>
      </w:pPr>
      <w:rPr>
        <w:rFonts w:ascii="Times New Roman" w:eastAsiaTheme="minorHAnsi" w:hAnsi="Times New Roman" w:cs="Times New Roman"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8703916"/>
    <w:multiLevelType w:val="hybridMultilevel"/>
    <w:tmpl w:val="65947B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88899893">
    <w:abstractNumId w:val="5"/>
  </w:num>
  <w:num w:numId="2" w16cid:durableId="1926185852">
    <w:abstractNumId w:val="2"/>
  </w:num>
  <w:num w:numId="3" w16cid:durableId="1901862968">
    <w:abstractNumId w:val="4"/>
  </w:num>
  <w:num w:numId="4" w16cid:durableId="2142114883">
    <w:abstractNumId w:val="1"/>
  </w:num>
  <w:num w:numId="5" w16cid:durableId="1267732994">
    <w:abstractNumId w:val="0"/>
  </w:num>
  <w:num w:numId="6" w16cid:durableId="6195227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1CAB"/>
    <w:rsid w:val="000848C3"/>
    <w:rsid w:val="001733DC"/>
    <w:rsid w:val="00186DBC"/>
    <w:rsid w:val="001D479C"/>
    <w:rsid w:val="0038681B"/>
    <w:rsid w:val="003C2AB8"/>
    <w:rsid w:val="003D1988"/>
    <w:rsid w:val="00513B29"/>
    <w:rsid w:val="005476EC"/>
    <w:rsid w:val="0068332B"/>
    <w:rsid w:val="006933B6"/>
    <w:rsid w:val="009F3C2A"/>
    <w:rsid w:val="00A01CAB"/>
    <w:rsid w:val="00A35106"/>
    <w:rsid w:val="00A3575C"/>
    <w:rsid w:val="00A9599A"/>
    <w:rsid w:val="00B52BCD"/>
    <w:rsid w:val="00C9704C"/>
    <w:rsid w:val="00F30B09"/>
    <w:rsid w:val="00F70A97"/>
    <w:rsid w:val="00F94B12"/>
    <w:rsid w:val="00FB678C"/>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9A2C9B"/>
  <w15:chartTrackingRefBased/>
  <w15:docId w15:val="{3793ACD0-B212-4B30-9B7F-E540031BA9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01CAB"/>
    <w:pPr>
      <w:spacing w:after="0" w:line="240" w:lineRule="auto"/>
    </w:pPr>
    <w:rPr>
      <w:szCs w:val="24"/>
      <w:lang w:bidi="ar-SA"/>
    </w:rPr>
  </w:style>
  <w:style w:type="paragraph" w:styleId="Heading1">
    <w:name w:val="heading 1"/>
    <w:basedOn w:val="Normal"/>
    <w:next w:val="Normal"/>
    <w:link w:val="Heading1Char"/>
    <w:uiPriority w:val="9"/>
    <w:qFormat/>
    <w:rsid w:val="00A01CAB"/>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semiHidden/>
    <w:unhideWhenUsed/>
    <w:qFormat/>
    <w:rsid w:val="00A01CAB"/>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A01CAB"/>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A01CA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01CA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01CAB"/>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01CAB"/>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01CAB"/>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01CAB"/>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01CAB"/>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semiHidden/>
    <w:rsid w:val="00A01CAB"/>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A01CAB"/>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A01CA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01CA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01CA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01CA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01CA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01CAB"/>
    <w:rPr>
      <w:rFonts w:eastAsiaTheme="majorEastAsia" w:cstheme="majorBidi"/>
      <w:color w:val="272727" w:themeColor="text1" w:themeTint="D8"/>
    </w:rPr>
  </w:style>
  <w:style w:type="paragraph" w:styleId="Title">
    <w:name w:val="Title"/>
    <w:basedOn w:val="Normal"/>
    <w:next w:val="Normal"/>
    <w:link w:val="TitleChar"/>
    <w:uiPriority w:val="10"/>
    <w:qFormat/>
    <w:rsid w:val="00A01CAB"/>
    <w:pPr>
      <w:spacing w:after="80"/>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A01CAB"/>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A01CAB"/>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A01CAB"/>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A01CAB"/>
    <w:pPr>
      <w:spacing w:before="160"/>
      <w:jc w:val="center"/>
    </w:pPr>
    <w:rPr>
      <w:i/>
      <w:iCs/>
      <w:color w:val="404040" w:themeColor="text1" w:themeTint="BF"/>
    </w:rPr>
  </w:style>
  <w:style w:type="character" w:customStyle="1" w:styleId="QuoteChar">
    <w:name w:val="Quote Char"/>
    <w:basedOn w:val="DefaultParagraphFont"/>
    <w:link w:val="Quote"/>
    <w:uiPriority w:val="29"/>
    <w:rsid w:val="00A01CAB"/>
    <w:rPr>
      <w:i/>
      <w:iCs/>
      <w:color w:val="404040" w:themeColor="text1" w:themeTint="BF"/>
    </w:rPr>
  </w:style>
  <w:style w:type="paragraph" w:styleId="ListParagraph">
    <w:name w:val="List Paragraph"/>
    <w:basedOn w:val="Normal"/>
    <w:uiPriority w:val="34"/>
    <w:qFormat/>
    <w:rsid w:val="00A01CAB"/>
    <w:pPr>
      <w:ind w:left="720"/>
      <w:contextualSpacing/>
    </w:pPr>
  </w:style>
  <w:style w:type="character" w:styleId="IntenseEmphasis">
    <w:name w:val="Intense Emphasis"/>
    <w:basedOn w:val="DefaultParagraphFont"/>
    <w:uiPriority w:val="21"/>
    <w:qFormat/>
    <w:rsid w:val="00A01CAB"/>
    <w:rPr>
      <w:i/>
      <w:iCs/>
      <w:color w:val="0F4761" w:themeColor="accent1" w:themeShade="BF"/>
    </w:rPr>
  </w:style>
  <w:style w:type="paragraph" w:styleId="IntenseQuote">
    <w:name w:val="Intense Quote"/>
    <w:basedOn w:val="Normal"/>
    <w:next w:val="Normal"/>
    <w:link w:val="IntenseQuoteChar"/>
    <w:uiPriority w:val="30"/>
    <w:qFormat/>
    <w:rsid w:val="00A01CA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01CAB"/>
    <w:rPr>
      <w:i/>
      <w:iCs/>
      <w:color w:val="0F4761" w:themeColor="accent1" w:themeShade="BF"/>
    </w:rPr>
  </w:style>
  <w:style w:type="character" w:styleId="IntenseReference">
    <w:name w:val="Intense Reference"/>
    <w:basedOn w:val="DefaultParagraphFont"/>
    <w:uiPriority w:val="32"/>
    <w:qFormat/>
    <w:rsid w:val="00A01CAB"/>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1456</Words>
  <Characters>8300</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JITENDER</dc:creator>
  <cp:keywords/>
  <dc:description/>
  <cp:lastModifiedBy>Preeti (24131962)</cp:lastModifiedBy>
  <cp:revision>2</cp:revision>
  <dcterms:created xsi:type="dcterms:W3CDTF">2025-11-25T14:41:00Z</dcterms:created>
  <dcterms:modified xsi:type="dcterms:W3CDTF">2025-11-25T14:41:00Z</dcterms:modified>
</cp:coreProperties>
</file>