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CA6" w:rsidRPr="00D13CA6" w:rsidRDefault="00D13CA6" w:rsidP="00D13CA6">
      <w:pPr>
        <w:spacing w:line="360" w:lineRule="auto"/>
        <w:ind w:left="720" w:hanging="360"/>
        <w:jc w:val="both"/>
        <w:rPr>
          <w:rFonts w:ascii="Times New Roman" w:hAnsi="Times New Roman" w:cs="Times New Roman"/>
          <w:b/>
          <w:bCs/>
          <w:sz w:val="36"/>
          <w:szCs w:val="36"/>
          <w:lang w:val="en-AU"/>
        </w:rPr>
      </w:pPr>
    </w:p>
    <w:p w:rsidR="00D13CA6" w:rsidRPr="00D13CA6" w:rsidRDefault="00D13CA6" w:rsidP="00D13CA6">
      <w:pPr>
        <w:spacing w:line="360" w:lineRule="auto"/>
        <w:ind w:left="720" w:hanging="360"/>
        <w:jc w:val="both"/>
        <w:rPr>
          <w:lang w:val="en-AU"/>
        </w:rPr>
      </w:pPr>
    </w:p>
    <w:p w:rsidR="00D13CA6" w:rsidRPr="00D13CA6" w:rsidRDefault="00D13CA6" w:rsidP="00D13CA6">
      <w:pPr>
        <w:spacing w:line="360" w:lineRule="auto"/>
        <w:ind w:left="720" w:hanging="360"/>
        <w:jc w:val="both"/>
        <w:rPr>
          <w:lang w:val="en-AU"/>
        </w:rPr>
      </w:pPr>
    </w:p>
    <w:p w:rsidR="00D13CA6" w:rsidRPr="00D13CA6" w:rsidRDefault="00D13CA6" w:rsidP="00D13CA6">
      <w:pPr>
        <w:spacing w:line="360" w:lineRule="auto"/>
        <w:ind w:left="720" w:hanging="360"/>
        <w:jc w:val="both"/>
        <w:rPr>
          <w:lang w:val="en-AU"/>
        </w:rPr>
      </w:pPr>
    </w:p>
    <w:p w:rsidR="00D13CA6" w:rsidRPr="00D13CA6" w:rsidRDefault="00D13CA6" w:rsidP="00D13CA6">
      <w:pPr>
        <w:spacing w:line="360" w:lineRule="auto"/>
        <w:ind w:left="720" w:hanging="360"/>
        <w:jc w:val="both"/>
        <w:rPr>
          <w:lang w:val="en-AU"/>
        </w:rPr>
      </w:pPr>
    </w:p>
    <w:p w:rsidR="00D13CA6" w:rsidRPr="00D13CA6" w:rsidRDefault="00D13CA6" w:rsidP="00D13CA6">
      <w:pPr>
        <w:spacing w:line="360" w:lineRule="auto"/>
        <w:ind w:left="720" w:hanging="360"/>
        <w:jc w:val="both"/>
        <w:rPr>
          <w:lang w:val="en-AU"/>
        </w:rPr>
      </w:pPr>
    </w:p>
    <w:p w:rsidR="00D13CA6" w:rsidRPr="00D13CA6" w:rsidRDefault="00D13CA6" w:rsidP="00D13CA6">
      <w:pPr>
        <w:spacing w:line="360" w:lineRule="auto"/>
        <w:ind w:left="720" w:hanging="360"/>
        <w:jc w:val="both"/>
        <w:rPr>
          <w:lang w:val="en-AU"/>
        </w:rPr>
      </w:pPr>
    </w:p>
    <w:p w:rsidR="00D13CA6" w:rsidRPr="00D13CA6" w:rsidRDefault="00D13CA6" w:rsidP="00D13CA6">
      <w:pPr>
        <w:spacing w:line="360" w:lineRule="auto"/>
        <w:ind w:left="720" w:hanging="360"/>
        <w:jc w:val="both"/>
        <w:rPr>
          <w:lang w:val="en-AU"/>
        </w:rPr>
      </w:pPr>
      <w:r w:rsidRPr="00D13CA6">
        <w:rPr>
          <w:rFonts w:ascii="Times New Roman" w:hAnsi="Times New Roman" w:cs="Times New Roman"/>
          <w:b/>
          <w:bCs/>
          <w:noProof/>
          <w:sz w:val="36"/>
          <w:szCs w:val="36"/>
        </w:rPr>
        <w:drawing>
          <wp:inline distT="0" distB="0" distL="0" distR="0">
            <wp:extent cx="5724525" cy="103611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54019" cy="1041451"/>
                    </a:xfrm>
                    <a:prstGeom prst="rect">
                      <a:avLst/>
                    </a:prstGeom>
                    <a:noFill/>
                  </pic:spPr>
                </pic:pic>
              </a:graphicData>
            </a:graphic>
          </wp:inline>
        </w:drawing>
      </w:r>
    </w:p>
    <w:p w:rsidR="005B5086" w:rsidRDefault="005B5086" w:rsidP="00D13CA6">
      <w:pPr>
        <w:spacing w:line="360" w:lineRule="auto"/>
        <w:jc w:val="center"/>
        <w:rPr>
          <w:rFonts w:ascii="Times New Roman" w:hAnsi="Times New Roman" w:cs="Times New Roman"/>
          <w:b/>
          <w:bCs/>
          <w:sz w:val="36"/>
          <w:szCs w:val="36"/>
          <w:lang w:val="en-AU"/>
        </w:rPr>
      </w:pPr>
    </w:p>
    <w:p w:rsidR="005B5086" w:rsidRDefault="00065E02" w:rsidP="00D13CA6">
      <w:pPr>
        <w:spacing w:line="36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Research on Tourism Services Course</w:t>
      </w:r>
    </w:p>
    <w:p w:rsidR="00065E02" w:rsidRDefault="00065E02" w:rsidP="00D13CA6">
      <w:pPr>
        <w:spacing w:line="36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Assignment: 3</w:t>
      </w:r>
    </w:p>
    <w:p w:rsidR="00D13CA6" w:rsidRPr="00D13CA6" w:rsidRDefault="00D13CA6" w:rsidP="005B5086">
      <w:pPr>
        <w:spacing w:line="360" w:lineRule="auto"/>
        <w:jc w:val="center"/>
        <w:rPr>
          <w:rFonts w:ascii="Times New Roman" w:hAnsi="Times New Roman" w:cs="Times New Roman"/>
          <w:b/>
          <w:bCs/>
          <w:sz w:val="36"/>
          <w:szCs w:val="36"/>
          <w:lang w:val="en-AU"/>
        </w:rPr>
      </w:pPr>
      <w:r w:rsidRPr="00D13CA6">
        <w:rPr>
          <w:rFonts w:ascii="Times New Roman" w:hAnsi="Times New Roman" w:cs="Times New Roman"/>
          <w:b/>
          <w:bCs/>
          <w:sz w:val="36"/>
          <w:szCs w:val="36"/>
          <w:lang w:val="en-AU"/>
        </w:rPr>
        <w:t>Student Name:</w:t>
      </w:r>
      <w:r w:rsidR="005B5086">
        <w:rPr>
          <w:rFonts w:ascii="Times New Roman" w:hAnsi="Times New Roman" w:cs="Times New Roman"/>
          <w:b/>
          <w:bCs/>
          <w:sz w:val="36"/>
          <w:szCs w:val="36"/>
          <w:lang w:val="en-AU"/>
        </w:rPr>
        <w:t xml:space="preserve"> Arvinder Singh</w:t>
      </w:r>
    </w:p>
    <w:p w:rsidR="00065E02" w:rsidRPr="00D13CA6" w:rsidRDefault="00D13CA6" w:rsidP="00065E02">
      <w:pPr>
        <w:spacing w:line="360" w:lineRule="auto"/>
        <w:jc w:val="center"/>
        <w:rPr>
          <w:rFonts w:ascii="Times New Roman" w:hAnsi="Times New Roman" w:cs="Times New Roman"/>
          <w:b/>
          <w:bCs/>
          <w:sz w:val="36"/>
          <w:szCs w:val="36"/>
          <w:lang w:val="en-AU"/>
        </w:rPr>
      </w:pPr>
      <w:r w:rsidRPr="00D13CA6">
        <w:rPr>
          <w:rFonts w:ascii="Times New Roman" w:hAnsi="Times New Roman" w:cs="Times New Roman"/>
          <w:b/>
          <w:bCs/>
          <w:sz w:val="36"/>
          <w:szCs w:val="36"/>
          <w:lang w:val="en-AU"/>
        </w:rPr>
        <w:t>Student ID:</w:t>
      </w:r>
      <w:r w:rsidR="005B5086">
        <w:rPr>
          <w:rFonts w:ascii="Times New Roman" w:hAnsi="Times New Roman" w:cs="Times New Roman"/>
          <w:b/>
          <w:bCs/>
          <w:sz w:val="36"/>
          <w:szCs w:val="36"/>
          <w:lang w:val="en-AU"/>
        </w:rPr>
        <w:t xml:space="preserve"> DE240016</w:t>
      </w: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b/>
          <w:bCs/>
          <w:sz w:val="24"/>
          <w:szCs w:val="24"/>
          <w:lang w:val="en-AU"/>
        </w:rPr>
      </w:pPr>
      <w:r w:rsidRPr="00D13CA6">
        <w:rPr>
          <w:rFonts w:ascii="Times New Roman" w:hAnsi="Times New Roman" w:cs="Times New Roman"/>
          <w:b/>
          <w:bCs/>
          <w:sz w:val="24"/>
          <w:szCs w:val="24"/>
          <w:lang w:val="en-AU"/>
        </w:rPr>
        <w:t>What are the main factors contributing to transport accidents?</w:t>
      </w: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r w:rsidRPr="00D13CA6">
        <w:rPr>
          <w:rFonts w:ascii="Times New Roman" w:hAnsi="Times New Roman" w:cs="Times New Roman"/>
          <w:sz w:val="24"/>
          <w:szCs w:val="24"/>
          <w:lang w:val="en-AU"/>
        </w:rPr>
        <w:t>Transport mishaps are caused due to such factors as human, vehicular, environmental, and infrastructural. A human mistake is still the most significant of them. Drivers' reaction time and hazard perception can be affected because they are under the influence of fatigue, distractions, or some drugs such as alcohol and drugs. Just as experience and overconfidence are additional functions, leading drivers to miscalculate their risk path on dangerous roads. The unexpected might occur with the storage of the equipment, such as a brake functioning wrong, a tyre blowout, or any other kind of problem. Natural disasters such as adverse weather, poor visibility, and slippery or uneven road surfaces can spiral out of control causing an accident to occur. Furthermore, the condition of the infrastructure is a major aspect in the development of the problem, such as not proper maintenance of roads, unclear signage, and intersections that are not properly designed and that if well maintained can limit the percentage of drivers’ ability to respond safely to unexpected situations. Additionally, the regulations can also lead to problems because of inconsistent law enforcement and inadequate vehicle safety standards and most likely, the risky driving behaviour can’t be stopped while dangerous conditions will continue to exist. All of these have added up to the numerous factors which are referred to as the "multifaceted risk environment". The involvement of a multitude of approaches covering the part of the driver education system, the vehicle maintenance system, the proper design of the road network, and the application of the safety standard should be the overriding concern in preventing instances of accidents (National Highway Traffic Safety Administration, 2021; World Health Organization, 2018).</w:t>
      </w:r>
    </w:p>
    <w:p w:rsidR="00D13CA6" w:rsidRPr="00D13CA6" w:rsidRDefault="00D13CA6" w:rsidP="00D13CA6">
      <w:pPr>
        <w:spacing w:line="360" w:lineRule="auto"/>
        <w:jc w:val="both"/>
        <w:rPr>
          <w:rFonts w:ascii="Times New Roman" w:hAnsi="Times New Roman" w:cs="Times New Roman"/>
          <w:b/>
          <w:bCs/>
          <w:sz w:val="24"/>
          <w:szCs w:val="24"/>
          <w:lang w:val="en-AU"/>
        </w:rPr>
      </w:pPr>
      <w:r w:rsidRPr="00D13CA6">
        <w:rPr>
          <w:rFonts w:ascii="Times New Roman" w:hAnsi="Times New Roman" w:cs="Times New Roman"/>
          <w:b/>
          <w:bCs/>
          <w:sz w:val="24"/>
          <w:szCs w:val="24"/>
          <w:lang w:val="en-AU"/>
        </w:rPr>
        <w:t>What measures can be taken to reduce the risk of hotel fires and minimize potential damage?</w:t>
      </w:r>
    </w:p>
    <w:p w:rsidR="00D13CA6" w:rsidRPr="00D13CA6" w:rsidRDefault="00D13CA6" w:rsidP="00D13CA6">
      <w:pPr>
        <w:spacing w:line="360" w:lineRule="auto"/>
        <w:jc w:val="both"/>
        <w:rPr>
          <w:rFonts w:ascii="Times New Roman" w:hAnsi="Times New Roman" w:cs="Times New Roman"/>
          <w:sz w:val="24"/>
          <w:szCs w:val="24"/>
          <w:lang w:val="en-AU"/>
        </w:rPr>
      </w:pPr>
      <w:r w:rsidRPr="00D13CA6">
        <w:rPr>
          <w:rFonts w:ascii="Times New Roman" w:hAnsi="Times New Roman" w:cs="Times New Roman"/>
          <w:sz w:val="24"/>
          <w:szCs w:val="24"/>
          <w:lang w:val="en-AU"/>
        </w:rPr>
        <w:t xml:space="preserve">The majority of lodging facilities are at risk of fire, and only by implementing a high-level fire safety policy that incorporates preventive, readiness, and effective response measures can the hotels and the degree of fire damage be controlled.  Primarily, the hotels must comply with the very strict building laws and fire safety standards that mandate that they ensure that </w:t>
      </w:r>
      <w:r w:rsidRPr="00D13CA6">
        <w:rPr>
          <w:rFonts w:ascii="Times New Roman" w:hAnsi="Times New Roman" w:cs="Times New Roman"/>
          <w:sz w:val="24"/>
          <w:szCs w:val="24"/>
          <w:lang w:val="en-AU"/>
        </w:rPr>
        <w:lastRenderedPageBreak/>
        <w:t>design is compartmentalized, implement marking of emergency exits, and make use of fire-resistant materials. Moreover, they should do risk assessments and maintenance checks, which play a big part in the discovery and fixing of any dangers such as damaged wires, old-fashioned electrical systems, and wrong storage of flammable items, if any. Fast fire extinction is possible when there are the latest fire detection systems with heat sensors, smoke sensors, and automated sprinklers</w:t>
      </w:r>
      <w:r>
        <w:rPr>
          <w:rFonts w:ascii="Helvetica" w:hAnsi="Helvetica" w:cs="Helvetica"/>
          <w:color w:val="000000"/>
        </w:rPr>
        <w:t>(Hassanain, 2009)</w:t>
      </w:r>
      <w:r w:rsidRPr="00847016">
        <w:rPr>
          <w:rFonts w:ascii="Times New Roman" w:hAnsi="Times New Roman" w:cs="Times New Roman"/>
          <w:sz w:val="24"/>
          <w:szCs w:val="24"/>
          <w:lang w:val="en-AU"/>
        </w:rPr>
        <w:t>.</w:t>
      </w:r>
      <w:r>
        <w:rPr>
          <w:rFonts w:ascii="Times New Roman" w:hAnsi="Times New Roman" w:cs="Times New Roman"/>
          <w:sz w:val="24"/>
          <w:szCs w:val="24"/>
          <w:lang w:val="en-AU"/>
        </w:rPr>
        <w:t>.</w:t>
      </w:r>
    </w:p>
    <w:p w:rsidR="00D13CA6" w:rsidRPr="00D13CA6" w:rsidRDefault="00D13CA6" w:rsidP="00D13CA6">
      <w:pPr>
        <w:spacing w:line="360" w:lineRule="auto"/>
        <w:jc w:val="both"/>
        <w:rPr>
          <w:rFonts w:ascii="Times New Roman" w:hAnsi="Times New Roman" w:cs="Times New Roman"/>
          <w:sz w:val="24"/>
          <w:szCs w:val="24"/>
          <w:lang w:val="en-AU"/>
        </w:rPr>
      </w:pPr>
      <w:r w:rsidRPr="00D13CA6">
        <w:rPr>
          <w:rFonts w:ascii="Times New Roman" w:hAnsi="Times New Roman" w:cs="Times New Roman"/>
          <w:sz w:val="24"/>
          <w:szCs w:val="24"/>
          <w:lang w:val="en-AU"/>
        </w:rPr>
        <w:t xml:space="preserve"> Since frequent fire drills and emergency response training ensure that staff members can respond quickly and effectively in an emergency, said in an orderly evacuation, and minimise panic, staff training is equally important.  Additionally, it is an investment in the greatest possible communication with hotel guests. </w:t>
      </w:r>
    </w:p>
    <w:p w:rsidR="00D13CA6" w:rsidRPr="00D13CA6" w:rsidRDefault="00D13CA6" w:rsidP="00D13CA6">
      <w:pPr>
        <w:spacing w:line="360" w:lineRule="auto"/>
        <w:jc w:val="both"/>
        <w:rPr>
          <w:rFonts w:ascii="Times New Roman" w:hAnsi="Times New Roman" w:cs="Times New Roman"/>
          <w:b/>
          <w:bCs/>
          <w:sz w:val="24"/>
          <w:szCs w:val="24"/>
          <w:lang w:val="en-AU"/>
        </w:rPr>
      </w:pPr>
      <w:r w:rsidRPr="00D13CA6">
        <w:rPr>
          <w:rFonts w:ascii="Times New Roman" w:hAnsi="Times New Roman" w:cs="Times New Roman"/>
          <w:b/>
          <w:bCs/>
          <w:sz w:val="24"/>
          <w:szCs w:val="24"/>
          <w:lang w:val="en-AU"/>
        </w:rPr>
        <w:t xml:space="preserve">How can changing demand lead to commercial-related crises? </w:t>
      </w: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r w:rsidRPr="00D13CA6">
        <w:rPr>
          <w:rFonts w:ascii="Times New Roman" w:hAnsi="Times New Roman" w:cs="Times New Roman"/>
          <w:sz w:val="24"/>
          <w:szCs w:val="24"/>
          <w:lang w:val="en-AU"/>
        </w:rPr>
        <w:t>Several issues might arise from changes in consumer preferences; sudden changes in demand could upset the market's equilibrium and force companies to deal with overcapacity, which could also result in a reduction in output.  It's possible that new wants brought about by societal shifts or technical advancements could render outdated goods and services unappealing.  Businesses may see a sharp drop in revenue if they don't stay abreast of new developments or adapt their processes to fit them. A real-life case of the transfer of services to digital ones is that of the significant reduction of the need for brick-and-mortar stores, which thereby led to a surplus of such retailing channels and their eventual liquidation. Again, abrupt developments in the market like the need to suddenly invest in handling more technology or to use different strategies to attract new customers are going to force companies to immediately find more funds, thus increasing the risk and lower liquidity in the operations. Furthermore, the logistics that are based on older consumer preferences can become ineffective, resulting in congestion and high expenses. The large differences between what is demanded by the consumers and what is expected by the producers can lead to unavailability, difficulty in the distribution process, cut-throat competition, and hence, reduced margins of profit</w:t>
      </w:r>
      <w:r>
        <w:rPr>
          <w:rFonts w:ascii="Helvetica" w:hAnsi="Helvetica" w:cs="Helvetica"/>
          <w:color w:val="000000"/>
        </w:rPr>
        <w:t>(Chandra, 2015)</w:t>
      </w:r>
      <w:r w:rsidRPr="00D13CA6">
        <w:rPr>
          <w:rFonts w:ascii="Times New Roman" w:hAnsi="Times New Roman" w:cs="Times New Roman"/>
          <w:sz w:val="24"/>
          <w:szCs w:val="24"/>
          <w:lang w:val="en-AU"/>
        </w:rPr>
        <w:t xml:space="preserve">. Good examples of such conflicts could be the changes in the customer purchasing power which significantly affect the capital flows or establish credit limitations as well as curb the investment potentiality. </w:t>
      </w:r>
    </w:p>
    <w:p w:rsidR="00D13CA6" w:rsidRPr="00D13CA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b/>
          <w:bCs/>
          <w:sz w:val="24"/>
          <w:szCs w:val="24"/>
          <w:lang w:val="en-AU"/>
        </w:rPr>
      </w:pPr>
      <w:r w:rsidRPr="00D13CA6">
        <w:rPr>
          <w:rFonts w:ascii="Times New Roman" w:hAnsi="Times New Roman" w:cs="Times New Roman"/>
          <w:b/>
          <w:bCs/>
          <w:sz w:val="24"/>
          <w:szCs w:val="24"/>
          <w:lang w:val="en-AU"/>
        </w:rPr>
        <w:lastRenderedPageBreak/>
        <w:t>What is the nexus between competition and the commercial aspect, and how can it exacerbate commercial crises?</w:t>
      </w:r>
    </w:p>
    <w:p w:rsidR="00D13CA6" w:rsidRPr="00D13CA6" w:rsidRDefault="00D13CA6" w:rsidP="00D13CA6">
      <w:pPr>
        <w:spacing w:line="360" w:lineRule="auto"/>
        <w:jc w:val="both"/>
        <w:rPr>
          <w:rFonts w:ascii="Times New Roman" w:hAnsi="Times New Roman" w:cs="Times New Roman"/>
          <w:sz w:val="24"/>
          <w:szCs w:val="24"/>
          <w:lang w:val="en-AU"/>
        </w:rPr>
      </w:pPr>
      <w:r w:rsidRPr="00D13CA6">
        <w:rPr>
          <w:rFonts w:ascii="Times New Roman" w:hAnsi="Times New Roman" w:cs="Times New Roman"/>
          <w:sz w:val="24"/>
          <w:szCs w:val="24"/>
          <w:lang w:val="en-AU"/>
        </w:rPr>
        <w:t>It is evident that the development and propagation of crises really depend on the interaction of competitiveness with the business environment. The businesses are in a situation where they have to reduce their costs considerably due to the intense competition and this may in turn make them save on their product quality and also underinvestment of the key areas like research and development. There are still financial tools that can provide a major competitive edge but the strategies to reach short-term targets may not support the business in the long run.</w:t>
      </w:r>
    </w:p>
    <w:p w:rsidR="00874F13" w:rsidRDefault="00D13CA6" w:rsidP="00D13CA6">
      <w:pPr>
        <w:spacing w:line="360" w:lineRule="auto"/>
        <w:jc w:val="both"/>
        <w:rPr>
          <w:rFonts w:ascii="Times New Roman" w:hAnsi="Times New Roman" w:cs="Times New Roman"/>
          <w:sz w:val="24"/>
          <w:szCs w:val="24"/>
          <w:lang w:val="en-AU"/>
        </w:rPr>
      </w:pPr>
      <w:r w:rsidRPr="00D13CA6">
        <w:rPr>
          <w:rFonts w:ascii="Times New Roman" w:hAnsi="Times New Roman" w:cs="Times New Roman"/>
          <w:sz w:val="24"/>
          <w:szCs w:val="24"/>
          <w:lang w:val="en-AU"/>
        </w:rPr>
        <w:t xml:space="preserve"> Therefore, employing strategies like price undercutting only serves to jar the market, and in addition, profitability may drop to the point where the business faces cash flow issues. In addition, the pressure from other companies makes it likely that businesses make unwise decisions such as taking unnecessary risks or going ahead with expansion plans without being sure of the market size and composition. By doing this, they expose a larger surface area to the impact of events such as market volatility and economic crises</w:t>
      </w:r>
      <w:r>
        <w:rPr>
          <w:rFonts w:ascii="Helvetica" w:hAnsi="Helvetica" w:cs="Helvetica"/>
          <w:color w:val="000000"/>
        </w:rPr>
        <w:t>(Kowalski &amp;Weresa, 2021)</w:t>
      </w:r>
      <w:r w:rsidRPr="00847016">
        <w:rPr>
          <w:rFonts w:ascii="Times New Roman" w:hAnsi="Times New Roman" w:cs="Times New Roman"/>
          <w:sz w:val="24"/>
          <w:szCs w:val="24"/>
          <w:lang w:val="en-AU"/>
        </w:rPr>
        <w:t>.</w:t>
      </w:r>
      <w:r w:rsidRPr="00D13CA6">
        <w:rPr>
          <w:rFonts w:ascii="Times New Roman" w:hAnsi="Times New Roman" w:cs="Times New Roman"/>
          <w:sz w:val="24"/>
          <w:szCs w:val="24"/>
          <w:lang w:val="en-AU"/>
        </w:rPr>
        <w:t>. In a market that is changing at an accelerating rate and where consumers are no longer brand loyal, a company's rivals that react quickly to changing consumer preferences will lose market share and put less adaptable businesses at a significant disadvantage.</w:t>
      </w:r>
    </w:p>
    <w:p w:rsidR="00D13CA6" w:rsidRDefault="00D13CA6" w:rsidP="00D13CA6">
      <w:pPr>
        <w:spacing w:line="360" w:lineRule="auto"/>
        <w:jc w:val="both"/>
        <w:rPr>
          <w:rFonts w:ascii="Times New Roman" w:hAnsi="Times New Roman" w:cs="Times New Roman"/>
          <w:sz w:val="24"/>
          <w:szCs w:val="24"/>
          <w:lang w:val="en-AU"/>
        </w:rPr>
      </w:pPr>
    </w:p>
    <w:p w:rsidR="00D13CA6" w:rsidRDefault="00D13CA6" w:rsidP="00D13CA6">
      <w:pPr>
        <w:spacing w:line="360" w:lineRule="auto"/>
        <w:jc w:val="both"/>
        <w:rPr>
          <w:rFonts w:ascii="Times New Roman" w:hAnsi="Times New Roman" w:cs="Times New Roman"/>
          <w:sz w:val="24"/>
          <w:szCs w:val="24"/>
          <w:lang w:val="en-AU"/>
        </w:rPr>
      </w:pPr>
    </w:p>
    <w:p w:rsidR="00D13CA6" w:rsidRPr="00D2386D" w:rsidRDefault="00D13CA6" w:rsidP="00D13CA6">
      <w:pPr>
        <w:spacing w:after="0" w:line="240" w:lineRule="auto"/>
        <w:rPr>
          <w:rFonts w:ascii="Times New Roman" w:eastAsia="Times New Roman" w:hAnsi="Times New Roman" w:cs="Times New Roman"/>
          <w:b/>
          <w:bCs/>
          <w:color w:val="000000"/>
          <w:sz w:val="24"/>
          <w:szCs w:val="24"/>
          <w:lang w:val="en-IN" w:eastAsia="en-IN"/>
        </w:rPr>
      </w:pPr>
      <w:r w:rsidRPr="00D2386D">
        <w:rPr>
          <w:rFonts w:ascii="Times New Roman" w:eastAsia="Times New Roman" w:hAnsi="Times New Roman" w:cs="Times New Roman"/>
          <w:b/>
          <w:bCs/>
          <w:color w:val="000000"/>
          <w:sz w:val="24"/>
          <w:szCs w:val="24"/>
          <w:lang w:val="en-IN" w:eastAsia="en-IN"/>
        </w:rPr>
        <w:t>References</w:t>
      </w:r>
    </w:p>
    <w:p w:rsidR="00D13CA6" w:rsidRPr="00D2386D" w:rsidRDefault="00D13CA6" w:rsidP="00D13CA6">
      <w:pPr>
        <w:spacing w:before="100" w:beforeAutospacing="1" w:after="0" w:line="480" w:lineRule="auto"/>
        <w:ind w:left="720" w:hanging="720"/>
        <w:rPr>
          <w:rFonts w:ascii="Georgia" w:eastAsia="Times New Roman" w:hAnsi="Georgia" w:cs="Helvetica"/>
          <w:color w:val="000000"/>
          <w:sz w:val="24"/>
          <w:szCs w:val="24"/>
          <w:lang w:val="en-IN" w:eastAsia="en-IN"/>
        </w:rPr>
      </w:pPr>
      <w:r w:rsidRPr="00D2386D">
        <w:rPr>
          <w:rFonts w:ascii="Georgia" w:eastAsia="Times New Roman" w:hAnsi="Georgia" w:cs="Helvetica"/>
          <w:color w:val="000000"/>
          <w:sz w:val="24"/>
          <w:szCs w:val="24"/>
          <w:lang w:val="en-IN" w:eastAsia="en-IN"/>
        </w:rPr>
        <w:t>Chand, A., Jayesh, S., &amp;Bhasi, A. B. (2021). Road traffic accidents: An overview of data sources, analysis techniques and contributing factors. </w:t>
      </w:r>
      <w:r w:rsidRPr="00D2386D">
        <w:rPr>
          <w:rFonts w:ascii="Georgia" w:eastAsia="Times New Roman" w:hAnsi="Georgia" w:cs="Helvetica"/>
          <w:i/>
          <w:iCs/>
          <w:color w:val="000000"/>
          <w:sz w:val="24"/>
          <w:szCs w:val="24"/>
          <w:lang w:val="en-IN" w:eastAsia="en-IN"/>
        </w:rPr>
        <w:t>Materials Today: Proceedings</w:t>
      </w:r>
      <w:r w:rsidRPr="00D2386D">
        <w:rPr>
          <w:rFonts w:ascii="Georgia" w:eastAsia="Times New Roman" w:hAnsi="Georgia" w:cs="Helvetica"/>
          <w:color w:val="000000"/>
          <w:sz w:val="24"/>
          <w:szCs w:val="24"/>
          <w:lang w:val="en-IN" w:eastAsia="en-IN"/>
        </w:rPr>
        <w:t>, </w:t>
      </w:r>
      <w:r w:rsidRPr="00D2386D">
        <w:rPr>
          <w:rFonts w:ascii="Georgia" w:eastAsia="Times New Roman" w:hAnsi="Georgia" w:cs="Helvetica"/>
          <w:i/>
          <w:iCs/>
          <w:color w:val="000000"/>
          <w:sz w:val="24"/>
          <w:szCs w:val="24"/>
          <w:lang w:val="en-IN" w:eastAsia="en-IN"/>
        </w:rPr>
        <w:t>47</w:t>
      </w:r>
      <w:r w:rsidRPr="00D2386D">
        <w:rPr>
          <w:rFonts w:ascii="Georgia" w:eastAsia="Times New Roman" w:hAnsi="Georgia" w:cs="Helvetica"/>
          <w:color w:val="000000"/>
          <w:sz w:val="24"/>
          <w:szCs w:val="24"/>
          <w:lang w:val="en-IN" w:eastAsia="en-IN"/>
        </w:rPr>
        <w:t>, 5135–5141. doi:10.1016/j.matpr.2021.05.415</w:t>
      </w:r>
    </w:p>
    <w:p w:rsidR="00D13CA6" w:rsidRPr="00D2386D" w:rsidRDefault="00D13CA6" w:rsidP="00D13CA6">
      <w:pPr>
        <w:spacing w:before="100" w:beforeAutospacing="1" w:after="0" w:line="480" w:lineRule="auto"/>
        <w:ind w:left="720" w:hanging="720"/>
        <w:rPr>
          <w:rFonts w:ascii="Georgia" w:eastAsia="Times New Roman" w:hAnsi="Georgia" w:cs="Helvetica"/>
          <w:color w:val="000000"/>
          <w:sz w:val="24"/>
          <w:szCs w:val="24"/>
          <w:lang w:val="en-IN" w:eastAsia="en-IN"/>
        </w:rPr>
      </w:pPr>
      <w:r w:rsidRPr="00D2386D">
        <w:rPr>
          <w:rFonts w:ascii="Georgia" w:eastAsia="Times New Roman" w:hAnsi="Georgia" w:cs="Helvetica"/>
          <w:color w:val="000000"/>
          <w:sz w:val="24"/>
          <w:szCs w:val="24"/>
          <w:lang w:val="en-IN" w:eastAsia="en-IN"/>
        </w:rPr>
        <w:t>Chandra, V. (2015). Changing consumer behavior and its impact on market structure. </w:t>
      </w:r>
      <w:r w:rsidRPr="00D2386D">
        <w:rPr>
          <w:rFonts w:ascii="Georgia" w:eastAsia="Times New Roman" w:hAnsi="Georgia" w:cs="Helvetica"/>
          <w:i/>
          <w:iCs/>
          <w:color w:val="000000"/>
          <w:sz w:val="24"/>
          <w:szCs w:val="24"/>
          <w:lang w:val="en-IN" w:eastAsia="en-IN"/>
        </w:rPr>
        <w:t>Journal of Business Research</w:t>
      </w:r>
      <w:r w:rsidRPr="00D2386D">
        <w:rPr>
          <w:rFonts w:ascii="Georgia" w:eastAsia="Times New Roman" w:hAnsi="Georgia" w:cs="Helvetica"/>
          <w:color w:val="000000"/>
          <w:sz w:val="24"/>
          <w:szCs w:val="24"/>
          <w:lang w:val="en-IN" w:eastAsia="en-IN"/>
        </w:rPr>
        <w:t>, </w:t>
      </w:r>
      <w:r w:rsidRPr="00D2386D">
        <w:rPr>
          <w:rFonts w:ascii="Georgia" w:eastAsia="Times New Roman" w:hAnsi="Georgia" w:cs="Helvetica"/>
          <w:i/>
          <w:iCs/>
          <w:color w:val="000000"/>
          <w:sz w:val="24"/>
          <w:szCs w:val="24"/>
          <w:lang w:val="en-IN" w:eastAsia="en-IN"/>
        </w:rPr>
        <w:t>68</w:t>
      </w:r>
      <w:r w:rsidRPr="00D2386D">
        <w:rPr>
          <w:rFonts w:ascii="Georgia" w:eastAsia="Times New Roman" w:hAnsi="Georgia" w:cs="Helvetica"/>
          <w:color w:val="000000"/>
          <w:sz w:val="24"/>
          <w:szCs w:val="24"/>
          <w:lang w:val="en-IN" w:eastAsia="en-IN"/>
        </w:rPr>
        <w:t>(1), 15–26.</w:t>
      </w:r>
    </w:p>
    <w:p w:rsidR="00D13CA6" w:rsidRPr="00D2386D" w:rsidRDefault="00D13CA6" w:rsidP="00D13CA6">
      <w:pPr>
        <w:spacing w:before="100" w:beforeAutospacing="1" w:after="0" w:line="480" w:lineRule="auto"/>
        <w:ind w:left="720" w:hanging="720"/>
        <w:rPr>
          <w:rFonts w:ascii="Georgia" w:eastAsia="Times New Roman" w:hAnsi="Georgia" w:cs="Helvetica"/>
          <w:color w:val="000000"/>
          <w:sz w:val="24"/>
          <w:szCs w:val="24"/>
          <w:lang w:val="en-IN" w:eastAsia="en-IN"/>
        </w:rPr>
      </w:pPr>
      <w:r w:rsidRPr="00D2386D">
        <w:rPr>
          <w:rFonts w:ascii="Georgia" w:eastAsia="Times New Roman" w:hAnsi="Georgia" w:cs="Helvetica"/>
          <w:color w:val="000000"/>
          <w:sz w:val="24"/>
          <w:szCs w:val="24"/>
          <w:lang w:val="en-IN" w:eastAsia="en-IN"/>
        </w:rPr>
        <w:t>Global status report on road safety 2018. (2018). </w:t>
      </w:r>
      <w:r w:rsidRPr="00D2386D">
        <w:rPr>
          <w:rFonts w:ascii="Georgia" w:eastAsia="Times New Roman" w:hAnsi="Georgia" w:cs="Helvetica"/>
          <w:i/>
          <w:iCs/>
          <w:color w:val="000000"/>
          <w:sz w:val="24"/>
          <w:szCs w:val="24"/>
          <w:lang w:val="en-IN" w:eastAsia="en-IN"/>
        </w:rPr>
        <w:t>World Health Organization</w:t>
      </w:r>
      <w:r w:rsidRPr="00D2386D">
        <w:rPr>
          <w:rFonts w:ascii="Georgia" w:eastAsia="Times New Roman" w:hAnsi="Georgia" w:cs="Helvetica"/>
          <w:color w:val="000000"/>
          <w:sz w:val="24"/>
          <w:szCs w:val="24"/>
          <w:lang w:val="en-IN" w:eastAsia="en-IN"/>
        </w:rPr>
        <w:t>.</w:t>
      </w:r>
    </w:p>
    <w:p w:rsidR="00D13CA6" w:rsidRPr="00D2386D" w:rsidRDefault="00D13CA6" w:rsidP="00D13CA6">
      <w:pPr>
        <w:spacing w:before="100" w:beforeAutospacing="1" w:after="0" w:line="480" w:lineRule="auto"/>
        <w:ind w:left="720" w:hanging="720"/>
        <w:rPr>
          <w:rFonts w:ascii="Georgia" w:eastAsia="Times New Roman" w:hAnsi="Georgia" w:cs="Helvetica"/>
          <w:color w:val="000000"/>
          <w:sz w:val="24"/>
          <w:szCs w:val="24"/>
          <w:lang w:val="en-IN" w:eastAsia="en-IN"/>
        </w:rPr>
      </w:pPr>
      <w:r w:rsidRPr="00D2386D">
        <w:rPr>
          <w:rFonts w:ascii="Georgia" w:eastAsia="Times New Roman" w:hAnsi="Georgia" w:cs="Helvetica"/>
          <w:color w:val="000000"/>
          <w:sz w:val="24"/>
          <w:szCs w:val="24"/>
          <w:lang w:val="en-IN" w:eastAsia="en-IN"/>
        </w:rPr>
        <w:lastRenderedPageBreak/>
        <w:t>Hassanain, M. A. (2009). Approaches to qualitative fire safety risk assessment in hotel facilities. </w:t>
      </w:r>
      <w:r w:rsidRPr="00D2386D">
        <w:rPr>
          <w:rFonts w:ascii="Georgia" w:eastAsia="Times New Roman" w:hAnsi="Georgia" w:cs="Helvetica"/>
          <w:i/>
          <w:iCs/>
          <w:color w:val="000000"/>
          <w:sz w:val="24"/>
          <w:szCs w:val="24"/>
          <w:lang w:val="en-IN" w:eastAsia="en-IN"/>
        </w:rPr>
        <w:t>Structural Survey</w:t>
      </w:r>
      <w:r w:rsidRPr="00D2386D">
        <w:rPr>
          <w:rFonts w:ascii="Georgia" w:eastAsia="Times New Roman" w:hAnsi="Georgia" w:cs="Helvetica"/>
          <w:color w:val="000000"/>
          <w:sz w:val="24"/>
          <w:szCs w:val="24"/>
          <w:lang w:val="en-IN" w:eastAsia="en-IN"/>
        </w:rPr>
        <w:t>, </w:t>
      </w:r>
      <w:r w:rsidRPr="00D2386D">
        <w:rPr>
          <w:rFonts w:ascii="Georgia" w:eastAsia="Times New Roman" w:hAnsi="Georgia" w:cs="Helvetica"/>
          <w:i/>
          <w:iCs/>
          <w:color w:val="000000"/>
          <w:sz w:val="24"/>
          <w:szCs w:val="24"/>
          <w:lang w:val="en-IN" w:eastAsia="en-IN"/>
        </w:rPr>
        <w:t>27</w:t>
      </w:r>
      <w:r w:rsidRPr="00D2386D">
        <w:rPr>
          <w:rFonts w:ascii="Georgia" w:eastAsia="Times New Roman" w:hAnsi="Georgia" w:cs="Helvetica"/>
          <w:color w:val="000000"/>
          <w:sz w:val="24"/>
          <w:szCs w:val="24"/>
          <w:lang w:val="en-IN" w:eastAsia="en-IN"/>
        </w:rPr>
        <w:t>(4), 287–300. doi:10.1108/02630800910985081</w:t>
      </w:r>
    </w:p>
    <w:p w:rsidR="00D13CA6" w:rsidRPr="00D2386D" w:rsidRDefault="00D13CA6" w:rsidP="00D13CA6">
      <w:pPr>
        <w:spacing w:before="100" w:beforeAutospacing="1" w:after="0" w:line="480" w:lineRule="auto"/>
        <w:ind w:left="720" w:hanging="720"/>
        <w:rPr>
          <w:rFonts w:ascii="Georgia" w:eastAsia="Times New Roman" w:hAnsi="Georgia" w:cs="Helvetica"/>
          <w:color w:val="000000"/>
          <w:sz w:val="24"/>
          <w:szCs w:val="24"/>
          <w:lang w:val="en-IN" w:eastAsia="en-IN"/>
        </w:rPr>
      </w:pPr>
      <w:r w:rsidRPr="00D2386D">
        <w:rPr>
          <w:rFonts w:ascii="Georgia" w:eastAsia="Times New Roman" w:hAnsi="Georgia" w:cs="Helvetica"/>
          <w:color w:val="000000"/>
          <w:sz w:val="24"/>
          <w:szCs w:val="24"/>
          <w:lang w:val="en-IN" w:eastAsia="en-IN"/>
        </w:rPr>
        <w:t>Kowalski, A. M., &amp;Weresa, M. A. (2021). International competitiveness and cooperation in times of economic crises-theoretical aspects. In </w:t>
      </w:r>
      <w:r w:rsidRPr="00D2386D">
        <w:rPr>
          <w:rFonts w:ascii="Georgia" w:eastAsia="Times New Roman" w:hAnsi="Georgia" w:cs="Helvetica"/>
          <w:i/>
          <w:iCs/>
          <w:color w:val="000000"/>
          <w:sz w:val="24"/>
          <w:szCs w:val="24"/>
          <w:lang w:val="en-IN" w:eastAsia="en-IN"/>
        </w:rPr>
        <w:t>Competitiveness Report 2021. Bilateral Economic Cooperation and Competitive Advantages</w:t>
      </w:r>
      <w:r w:rsidRPr="00D2386D">
        <w:rPr>
          <w:rFonts w:ascii="Georgia" w:eastAsia="Times New Roman" w:hAnsi="Georgia" w:cs="Helvetica"/>
          <w:color w:val="000000"/>
          <w:sz w:val="24"/>
          <w:szCs w:val="24"/>
          <w:lang w:val="en-IN" w:eastAsia="en-IN"/>
        </w:rPr>
        <w:t> (pp. 13–26).</w:t>
      </w:r>
    </w:p>
    <w:p w:rsidR="00D13CA6" w:rsidRPr="00847016" w:rsidRDefault="00D13CA6" w:rsidP="00D13CA6">
      <w:pPr>
        <w:spacing w:line="360" w:lineRule="auto"/>
        <w:jc w:val="both"/>
        <w:rPr>
          <w:rFonts w:ascii="Times New Roman" w:hAnsi="Times New Roman" w:cs="Times New Roman"/>
          <w:sz w:val="24"/>
          <w:szCs w:val="24"/>
          <w:lang w:val="en-AU"/>
        </w:rPr>
      </w:pPr>
    </w:p>
    <w:p w:rsidR="00D13CA6" w:rsidRPr="00D13CA6" w:rsidRDefault="00D13CA6" w:rsidP="00D13CA6">
      <w:pPr>
        <w:spacing w:line="360" w:lineRule="auto"/>
        <w:jc w:val="both"/>
        <w:rPr>
          <w:rFonts w:ascii="Times New Roman" w:hAnsi="Times New Roman" w:cs="Times New Roman"/>
          <w:sz w:val="24"/>
          <w:szCs w:val="24"/>
          <w:lang w:val="en-AU"/>
        </w:rPr>
      </w:pPr>
    </w:p>
    <w:sectPr w:rsidR="00D13CA6" w:rsidRPr="00D13CA6" w:rsidSect="00BC7A1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63F3" w:rsidRDefault="00B663F3" w:rsidP="007863FA">
      <w:pPr>
        <w:spacing w:after="0" w:line="240" w:lineRule="auto"/>
      </w:pPr>
      <w:r>
        <w:separator/>
      </w:r>
    </w:p>
  </w:endnote>
  <w:endnote w:type="continuationSeparator" w:id="1">
    <w:p w:rsidR="00B663F3" w:rsidRDefault="00B663F3" w:rsidP="007863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63F3" w:rsidRDefault="00B663F3" w:rsidP="007863FA">
      <w:pPr>
        <w:spacing w:after="0" w:line="240" w:lineRule="auto"/>
      </w:pPr>
      <w:r>
        <w:separator/>
      </w:r>
    </w:p>
  </w:footnote>
  <w:footnote w:type="continuationSeparator" w:id="1">
    <w:p w:rsidR="00B663F3" w:rsidRDefault="00B663F3" w:rsidP="007863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45D74"/>
    <w:multiLevelType w:val="hybridMultilevel"/>
    <w:tmpl w:val="A68E11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43136BB0"/>
    <w:multiLevelType w:val="hybridMultilevel"/>
    <w:tmpl w:val="A68E11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rsids>
    <w:rsidRoot w:val="00D13CA6"/>
    <w:rsid w:val="00065E02"/>
    <w:rsid w:val="00363240"/>
    <w:rsid w:val="00373A9A"/>
    <w:rsid w:val="005B5086"/>
    <w:rsid w:val="007863FA"/>
    <w:rsid w:val="00874F13"/>
    <w:rsid w:val="00B663F3"/>
    <w:rsid w:val="00BC7A19"/>
    <w:rsid w:val="00D13C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A19"/>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CA6"/>
    <w:pPr>
      <w:ind w:left="720"/>
      <w:contextualSpacing/>
    </w:pPr>
  </w:style>
  <w:style w:type="paragraph" w:styleId="Header">
    <w:name w:val="header"/>
    <w:basedOn w:val="Normal"/>
    <w:link w:val="HeaderChar"/>
    <w:uiPriority w:val="99"/>
    <w:unhideWhenUsed/>
    <w:rsid w:val="007863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3FA"/>
    <w:rPr>
      <w:lang w:val="en-US"/>
    </w:rPr>
  </w:style>
  <w:style w:type="paragraph" w:styleId="Footer">
    <w:name w:val="footer"/>
    <w:basedOn w:val="Normal"/>
    <w:link w:val="FooterChar"/>
    <w:uiPriority w:val="99"/>
    <w:unhideWhenUsed/>
    <w:rsid w:val="007863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3FA"/>
    <w:rPr>
      <w:lang w:val="en-US"/>
    </w:rPr>
  </w:style>
  <w:style w:type="paragraph" w:styleId="BalloonText">
    <w:name w:val="Balloon Text"/>
    <w:basedOn w:val="Normal"/>
    <w:link w:val="BalloonTextChar"/>
    <w:uiPriority w:val="99"/>
    <w:semiHidden/>
    <w:unhideWhenUsed/>
    <w:rsid w:val="005B50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086"/>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1086</Words>
  <Characters>6193</Characters>
  <Application>Microsoft Office Word</Application>
  <DocSecurity>0</DocSecurity>
  <Lines>51</Lines>
  <Paragraphs>14</Paragraphs>
  <ScaleCrop>false</ScaleCrop>
  <LinksUpToDate>false</LinksUpToDate>
  <CharactersWithSpaces>7265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2025-03-31T20:23:00Z</dcterms:created>
  <dcterms:modified xsi:type="dcterms:W3CDTF">2025-03-31T20:23:00Z</dcterms:modified>
</cp:coreProperties>
</file>