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40"/>
        </w:rPr>
        <w:br/>
        <w:br/>
        <w:t>M10 – STRATEGIC SALES MANAGEMENT</w:t>
      </w:r>
    </w:p>
    <w:p>
      <w:pPr>
        <w:jc w:val="center"/>
      </w:pPr>
      <w:r>
        <w:rPr>
          <w:b/>
          <w:sz w:val="32"/>
        </w:rPr>
        <w:br/>
        <w:t>Assignment 1: Strategic Sales Planning and Competitive Advantage</w:t>
      </w:r>
    </w:p>
    <w:p>
      <w:r>
        <w:br/>
        <w:br/>
        <w:br/>
      </w:r>
    </w:p>
    <w:p>
      <w:pPr>
        <w:jc w:val="center"/>
      </w:pPr>
      <w:r>
        <w:rPr>
          <w:b/>
        </w:rPr>
        <w:t xml:space="preserve">Student Name: </w:t>
      </w:r>
      <w:r>
        <w:t>Divya</w:t>
      </w:r>
    </w:p>
    <w:p>
      <w:pPr>
        <w:jc w:val="center"/>
      </w:pPr>
      <w:r>
        <w:rPr>
          <w:b/>
        </w:rPr>
        <w:t xml:space="preserve">Student ID: </w:t>
      </w:r>
      <w:r>
        <w:t>PMB26001</w:t>
      </w:r>
    </w:p>
    <w:p>
      <w:pPr>
        <w:jc w:val="center"/>
      </w:pPr>
      <w:r>
        <w:rPr>
          <w:b/>
        </w:rPr>
        <w:t xml:space="preserve">Module: </w:t>
      </w:r>
      <w:r>
        <w:t>M10 – Strategic Sales Management</w:t>
      </w:r>
    </w:p>
    <w:p>
      <w:pPr>
        <w:jc w:val="center"/>
      </w:pPr>
      <w:r>
        <w:rPr>
          <w:b/>
        </w:rPr>
        <w:t xml:space="preserve">Submission Date: </w:t>
      </w:r>
      <w:r>
        <w:t>4th September 2026</w:t>
      </w:r>
    </w:p>
    <w:p>
      <w:pPr>
        <w:jc w:val="center"/>
      </w:pPr>
      <w:r>
        <w:rPr>
          <w:b/>
        </w:rPr>
        <w:t xml:space="preserve">Word Count: </w:t>
      </w:r>
      <w:r>
        <w:t>Approximately 4,500 words (excluding references and appendices)</w:t>
      </w:r>
    </w:p>
    <w:p>
      <w:r>
        <w:br w:type="page"/>
      </w:r>
    </w:p>
    <w:p>
      <w:pPr>
        <w:pStyle w:val="Heading1"/>
      </w:pPr>
      <w:r>
        <w:t>Table of Contents</w:t>
      </w:r>
    </w:p>
    <w:p>
      <w:r>
        <w:rPr>
          <w:b w:val="0"/>
          <w:i w:val="0"/>
        </w:rPr>
        <w:t>Abstract</w:t>
      </w:r>
    </w:p>
    <w:p>
      <w:r>
        <w:rPr>
          <w:b w:val="0"/>
          <w:i w:val="0"/>
        </w:rPr>
        <w:t>1. Introduction</w:t>
      </w:r>
    </w:p>
    <w:p>
      <w:r>
        <w:rPr>
          <w:b w:val="0"/>
          <w:i w:val="0"/>
        </w:rPr>
        <w:t>2. Literature Review</w:t>
      </w:r>
    </w:p>
    <w:p>
      <w:r>
        <w:rPr>
          <w:b w:val="0"/>
          <w:i w:val="0"/>
        </w:rPr>
        <w:t>2.1 Strategic sales management and organisational goals</w:t>
      </w:r>
    </w:p>
    <w:p>
      <w:r>
        <w:rPr>
          <w:b w:val="0"/>
          <w:i w:val="0"/>
        </w:rPr>
        <w:t>2.2 Sales strategy, marketing strategy and value creation</w:t>
      </w:r>
    </w:p>
    <w:p>
      <w:r>
        <w:rPr>
          <w:b w:val="0"/>
          <w:i w:val="0"/>
        </w:rPr>
        <w:t>2.3 Sales force structure and customer orientation</w:t>
      </w:r>
    </w:p>
    <w:p>
      <w:r>
        <w:rPr>
          <w:b w:val="0"/>
          <w:i w:val="0"/>
        </w:rPr>
        <w:t>2.4 Sales forecasting and strategic decision-making</w:t>
      </w:r>
    </w:p>
    <w:p>
      <w:r>
        <w:rPr>
          <w:b w:val="0"/>
          <w:i w:val="0"/>
        </w:rPr>
        <w:t>2.5 Competitive advantage and relationship value</w:t>
      </w:r>
    </w:p>
    <w:p>
      <w:r>
        <w:rPr>
          <w:b w:val="0"/>
          <w:i w:val="0"/>
        </w:rPr>
        <w:t>3. Strategic Analysis / Methodology</w:t>
      </w:r>
    </w:p>
    <w:p>
      <w:r>
        <w:rPr>
          <w:b w:val="0"/>
          <w:i w:val="0"/>
        </w:rPr>
        <w:t>4. Findings and Analysis</w:t>
      </w:r>
    </w:p>
    <w:p>
      <w:r>
        <w:rPr>
          <w:b w:val="0"/>
          <w:i w:val="0"/>
        </w:rPr>
        <w:t>4.1 Market analysis and segmentation</w:t>
      </w:r>
    </w:p>
    <w:p>
      <w:r>
        <w:rPr>
          <w:b w:val="0"/>
          <w:i w:val="0"/>
        </w:rPr>
        <w:t>4.2 Sales objectives, targets and territory planning</w:t>
      </w:r>
    </w:p>
    <w:p>
      <w:r>
        <w:rPr>
          <w:b w:val="0"/>
          <w:i w:val="0"/>
        </w:rPr>
        <w:t>4.3 Resource allocation and sales force design</w:t>
      </w:r>
    </w:p>
    <w:p>
      <w:r>
        <w:rPr>
          <w:b w:val="0"/>
          <w:i w:val="0"/>
        </w:rPr>
        <w:t>4.4 Sales forecasting</w:t>
      </w:r>
    </w:p>
    <w:p>
      <w:r>
        <w:rPr>
          <w:b w:val="0"/>
          <w:i w:val="0"/>
        </w:rPr>
        <w:t>4.5 Customer relationships and value creation</w:t>
      </w:r>
    </w:p>
    <w:p>
      <w:r>
        <w:rPr>
          <w:b w:val="0"/>
          <w:i w:val="0"/>
        </w:rPr>
        <w:t>4.6 Competitive pressure and sales strategy</w:t>
      </w:r>
    </w:p>
    <w:p>
      <w:r>
        <w:rPr>
          <w:b w:val="0"/>
          <w:i w:val="0"/>
        </w:rPr>
        <w:t>4.7 Performance measurement and ethical sales</w:t>
      </w:r>
    </w:p>
    <w:p>
      <w:r>
        <w:rPr>
          <w:b w:val="0"/>
          <w:i w:val="0"/>
        </w:rPr>
        <w:t>4.8 Real-world organisational examples</w:t>
      </w:r>
    </w:p>
    <w:p>
      <w:r>
        <w:rPr>
          <w:b w:val="0"/>
          <w:i w:val="0"/>
        </w:rPr>
        <w:t>5. Discussion</w:t>
      </w:r>
    </w:p>
    <w:p>
      <w:r>
        <w:rPr>
          <w:b w:val="0"/>
          <w:i w:val="0"/>
        </w:rPr>
        <w:t>6. Recommendations</w:t>
      </w:r>
    </w:p>
    <w:p>
      <w:r>
        <w:rPr>
          <w:b w:val="0"/>
          <w:i w:val="0"/>
        </w:rPr>
        <w:t>7. Conclusion</w:t>
      </w:r>
    </w:p>
    <w:p>
      <w:r>
        <w:rPr>
          <w:b w:val="0"/>
          <w:i w:val="0"/>
        </w:rPr>
        <w:t>References</w:t>
      </w:r>
    </w:p>
    <w:p>
      <w:r>
        <w:rPr>
          <w:b w:val="0"/>
          <w:i w:val="0"/>
        </w:rPr>
        <w:t>Appendix A – Strategic Sales Planning Framework</w:t>
      </w:r>
    </w:p>
    <w:p>
      <w:r>
        <w:rPr>
          <w:b w:val="0"/>
          <w:i w:val="0"/>
        </w:rPr>
        <w:t>Appendix B – Sales Performance Dashboard</w:t>
      </w:r>
    </w:p>
    <w:p>
      <w:r>
        <w:br w:type="page"/>
      </w:r>
    </w:p>
    <w:p>
      <w:pPr>
        <w:pStyle w:val="Heading1"/>
      </w:pPr>
      <w:r>
        <w:t>Abstract</w:t>
      </w:r>
    </w:p>
    <w:p>
      <w:r>
        <w:rPr>
          <w:b w:val="0"/>
          <w:i w:val="0"/>
        </w:rPr>
        <w:t>Strategic sales management is the process of aligning sales resources, customer priorities, market opportunities and performance systems with an organisation’s wider strategy. This report critically analyses how organisations develop and implement effective sales strategies to achieve competitive advantage, with particular attention to market analysis, segmentation, sales targets, territory design, resource allocation, forecasting, customer value and performance measurement. The analysis integrates sales-management literature with practical evidence and examples from Salesforce, Microsoft and Procter &amp; Gamble to demonstrate how strategic sales capabilities can support growth and customer relationships. The report argues that sales strategy is most effective when it is connected to marketing and value-creation decisions rather than treated as a short-term revenue function. It also finds that forecasting quality depends not only on analytical methods but on organisational processes, sales-manager judgement, data quality and accountability. In competitive markets, organisations need differentiated customer value propositions, appropriate sales-force structures, disciplined performance measurement and ethical practices. The report recommends an integrated sales planning cycle based on customer segmentation, data-informed forecasting, account prioritisation, territory balancing, capability development and continuous review. It concludes that sustainable competitive advantage comes from combining sales execution with organisational learning, customer insight and strategic alignment.</w:t>
      </w:r>
    </w:p>
    <w:p>
      <w:pPr>
        <w:pStyle w:val="Heading1"/>
      </w:pPr>
      <w:r>
        <w:t>1. Introduction</w:t>
      </w:r>
    </w:p>
    <w:p>
      <w:r>
        <w:rPr>
          <w:b w:val="0"/>
          <w:i w:val="0"/>
        </w:rPr>
        <w:t>Sales is one of the main organisational interfaces between a company and its market. Salespeople and sales channels communicate value propositions, identify customer needs, negotiate exchanges, develop relationships and generate revenue. However, modern sales management is broader than the act of selling. Strategic sales management determines where a sales organisation should compete, which customers should receive attention, what value should be offered, how resources should be deployed and how performance should be measured. The sales function therefore has a direct relationship with organisational strategy and competitive positioning.</w:t>
      </w:r>
    </w:p>
    <w:p>
      <w:r>
        <w:rPr>
          <w:b w:val="0"/>
          <w:i w:val="0"/>
        </w:rPr>
        <w:t>The strategic importance of sales has increased as markets have become more transparent, customers have access to more information and buying processes have become more complex. In business-to-business markets, for example, a purchase may involve technical users, procurement specialists, finance teams and senior decision-makers. In consumer markets, digital channels allow customers to compare alternatives rapidly. Sales organisations consequently need customer insight, data, technology and consultative capabilities rather than relying solely on product knowledge or persuasive communication.</w:t>
      </w:r>
    </w:p>
    <w:p>
      <w:r>
        <w:rPr>
          <w:b w:val="0"/>
          <w:i w:val="0"/>
        </w:rPr>
        <w:t>The assessment brief asks how organisations develop and implement effective sales strategies to achieve competitive advantage. This report addresses that question through Option 1: Strategic Sales Planning and Competitive Advantage. It examines the relationship between sales and marketing strategy, the sales planning process, forecasting, competitive pressure, customer value and practical organisational examples. The report uses secondary research and strategic analysis to evaluate the conditions under which sales management contributes to sustainable performance.</w:t>
      </w:r>
    </w:p>
    <w:p>
      <w:pPr>
        <w:pStyle w:val="Heading1"/>
      </w:pPr>
      <w:r>
        <w:t>2. Literature Review</w:t>
      </w:r>
    </w:p>
    <w:p>
      <w:pPr>
        <w:pStyle w:val="Heading2"/>
      </w:pPr>
      <w:r>
        <w:t>2.1 Strategic sales management and organisational goals</w:t>
      </w:r>
    </w:p>
    <w:p>
      <w:r>
        <w:rPr>
          <w:b w:val="0"/>
          <w:i w:val="0"/>
        </w:rPr>
        <w:t>Strategic sales management can be understood as the set of decisions that determines how the sales function supports the overall strategy of the firm. Cron and Cravens describe sales-force strategy as decisions concerning where the sales force should focus attention and the role it plays in creating customer value consistent with firm strategy. They emphasise capabilities such as customer acquisition, relationship development, trust building and retention. This perspective positions sales as a strategic capability rather than an isolated operational activity.</w:t>
      </w:r>
    </w:p>
    <w:p>
      <w:r>
        <w:rPr>
          <w:b w:val="0"/>
          <w:i w:val="0"/>
        </w:rPr>
        <w:t>Zoltners and colleagues similarly argue that sales-force structure should be designed around customer and company needs. Decisions about specialisation, reporting relationships and coverage influence salesperson activities and customer outcomes. A sales force that is designed for a mass transactional market may be inappropriate for a complex enterprise market where customers expect technical expertise and long-term account management. Strategic sales management therefore requires fit between market characteristics, customer expectations and sales organisation design.</w:t>
      </w:r>
    </w:p>
    <w:p>
      <w:r>
        <w:rPr>
          <w:b w:val="0"/>
          <w:i w:val="0"/>
        </w:rPr>
        <w:t>Strategic alignment also matters because sales targets can create unintended behaviour. If a company rewards only short-term revenue, salespeople may discount excessively, oversell unsuitable products or neglect retention. A broader performance system can balance revenue with margin, customer retention, pipeline quality, satisfaction, strategic-account development and ethical compliance. The design of incentives is therefore part of strategic sales management.</w:t>
      </w:r>
    </w:p>
    <w:p>
      <w:pPr>
        <w:pStyle w:val="Heading2"/>
      </w:pPr>
      <w:r>
        <w:t>2.2 Sales strategy, marketing strategy and value creation</w:t>
      </w:r>
    </w:p>
    <w:p>
      <w:r>
        <w:rPr>
          <w:b w:val="0"/>
          <w:i w:val="0"/>
        </w:rPr>
        <w:t>Sales strategy and marketing strategy are related but not identical. Marketing typically addresses market selection, positioning, brand, communication and customer demand, while sales converts opportunities into customer relationships and revenue. Effective organisations coordinate the two. Marketing research can identify segments and customer needs, while salespeople provide direct market intelligence about objections, competitor activity and changing requirements.</w:t>
      </w:r>
    </w:p>
    <w:p>
      <w:r>
        <w:rPr>
          <w:b w:val="0"/>
          <w:i w:val="0"/>
        </w:rPr>
        <w:t>Customer value is central to this relationship. Research on business relationships identifies sales as a contributor to relationship value through interaction, problem solving, coordination and customer understanding. The implication is that salespeople can create value beyond the immediate transaction. A salesperson who helps a customer reduce process costs, improve reliability or manage risk can strengthen the relationship and differentiate the firm even when competing products are technically similar.</w:t>
      </w:r>
    </w:p>
    <w:p>
      <w:r>
        <w:rPr>
          <w:b w:val="0"/>
          <w:i w:val="0"/>
        </w:rPr>
        <w:t>CRM systems and account-management processes support this integration by creating a shared view of customer information. CRM should not be treated merely as a database for reporting. Its strategic value depends on whether customer data is converted into better prioritisation, service, communication and decisions. The Oxford Handbook literature highlights the relationship between CRM models and sales-force roles, including transactional selling, solution selling, relationship selling and strategic partnerships.</w:t>
      </w:r>
    </w:p>
    <w:p>
      <w:pPr>
        <w:pStyle w:val="Heading2"/>
      </w:pPr>
      <w:r>
        <w:t>2.3 Sales force structure and customer orientation</w:t>
      </w:r>
    </w:p>
    <w:p>
      <w:r>
        <w:rPr>
          <w:b w:val="0"/>
          <w:i w:val="0"/>
        </w:rPr>
        <w:t>Sales-force structure determines how customers are allocated and how expertise is organised. Common approaches include geographic, product, customer/industry and functional structures. Geographic structures can be efficient when local presence matters, while customer-based structures may be more suitable where different customer groups have distinct buying processes. Product specialisation can improve technical expertise but may increase the number of sales contacts a customer must manage.</w:t>
      </w:r>
    </w:p>
    <w:p>
      <w:r>
        <w:rPr>
          <w:b w:val="0"/>
          <w:i w:val="0"/>
        </w:rPr>
        <w:t>The appropriate structure depends on the firm's strategy and the complexity of its offerings. A consultative or solution-selling model may require account executives, solution consultants, customer-success specialists and technical experts. Strategic account management may use cross-functional teams because large customers can represent substantial revenue and require coordinated service. Structural decisions should therefore be reviewed when products, channels or customer expectations change.</w:t>
      </w:r>
    </w:p>
    <w:p>
      <w:pPr>
        <w:pStyle w:val="Heading2"/>
      </w:pPr>
      <w:r>
        <w:t>2.4 Sales forecasting and strategic decision-making</w:t>
      </w:r>
    </w:p>
    <w:p>
      <w:r>
        <w:rPr>
          <w:b w:val="0"/>
          <w:i w:val="0"/>
        </w:rPr>
        <w:t>Sales forecasting estimates future demand and revenue and supports decisions about inventory, staffing, production, cash flow, marketing investment and territory resources. Forecasts can use historical time series, market indicators, pipeline data, customer intentions, statistical models and managerial judgement. No method is universally accurate because sales outcomes depend on changing customer behaviour, competition, economic conditions and internal execution.</w:t>
      </w:r>
    </w:p>
    <w:p>
      <w:r>
        <w:rPr>
          <w:b w:val="0"/>
          <w:i w:val="0"/>
        </w:rPr>
        <w:t>Research by Davis and Mentzer identifies organisational climate, forecasting capability, learning and performance measurement as important elements of forecasting management. Their study of practitioners in global manufacturing firms illustrates that technical forecasting methods are only part of the process. Forecasts become strategically useful when organisations have clear processes for reviewing assumptions, challenging bias and using forecast information in planning.</w:t>
      </w:r>
    </w:p>
    <w:p>
      <w:r>
        <w:rPr>
          <w:b w:val="0"/>
          <w:i w:val="0"/>
        </w:rPr>
        <w:t>Recent research also indicates that sales technology can positively influence sales-force performance, although the effect varies by context. A 2026 meta-analysis of 62 independent studies found a moderate average positive relationship between sales technologies and sales-force performance, with CRM, sales-force automation and social selling technologies among the technologies examined. This supports a contingency perspective: technology is an enabler, not a substitute for capable people and effective processes.</w:t>
      </w:r>
    </w:p>
    <w:p>
      <w:pPr>
        <w:pStyle w:val="Heading2"/>
      </w:pPr>
      <w:r>
        <w:t>2.5 Competitive advantage and relationship value</w:t>
      </w:r>
    </w:p>
    <w:p>
      <w:r>
        <w:rPr>
          <w:b w:val="0"/>
          <w:i w:val="0"/>
        </w:rPr>
        <w:t>Competitive advantage exists when an organisation can create and capture value in ways that competitors cannot easily replicate. Sales can contribute through superior customer knowledge, service responsiveness, relationship quality, solution expertise and channel reach. Relationship capabilities may be especially important where products are similar and switching costs, trust or service quality influence customer decisions.</w:t>
      </w:r>
    </w:p>
    <w:p>
      <w:r>
        <w:rPr>
          <w:b w:val="0"/>
          <w:i w:val="0"/>
        </w:rPr>
        <w:t>However, sales advantage is not automatically sustainable. Competitors can copy sales scripts, adopt similar CRM systems or hire experienced salespeople. Sustainable capability therefore requires organisational learning, data quality, customer trust, distinctive processes and integration across functions. Sales strategy should also be consistent with the organisation's ethical standards because reputational damage can undermine customer relationships and long-term performance.</w:t>
      </w:r>
    </w:p>
    <w:p>
      <w:pPr>
        <w:pStyle w:val="Heading1"/>
      </w:pPr>
      <w:r>
        <w:t>3. Strategic Analysis / Methodology</w:t>
      </w:r>
    </w:p>
    <w:p>
      <w:r>
        <w:rPr>
          <w:b w:val="0"/>
          <w:i w:val="0"/>
        </w:rPr>
        <w:t>This report adopts a qualitative secondary-research methodology. Academic research on strategic sales management, CRM, sales-force design, forecasting and relationship value is combined with publicly available organisational information and business cases. The analysis is organised around the assessment requirements: strategic role, alignment with marketing and value creation, planning, forecasting, competitive pressure and organisational examples.</w:t>
      </w:r>
    </w:p>
    <w:p>
      <w:r>
        <w:rPr>
          <w:b w:val="0"/>
          <w:i w:val="0"/>
        </w:rPr>
        <w:t>A thematic framework was used to compare the evidence. The themes were market segmentation, target setting, territory and resource allocation, forecasting, customer relationship management, sales-force capabilities, performance measurement and ethical practice. The approach enables conceptual theory to be connected to managerial decisions. A limitation is that public company examples cannot reveal every internal sales-management decision, so examples are used illustratively rather than as complete causal evaluations.</w:t>
      </w:r>
    </w:p>
    <w:p>
      <w:pPr>
        <w:pStyle w:val="Heading1"/>
      </w:pPr>
      <w:r>
        <w:t>4. Findings and Analysis</w:t>
      </w:r>
    </w:p>
    <w:p>
      <w:pPr>
        <w:pStyle w:val="Heading2"/>
      </w:pPr>
      <w:r>
        <w:t>4.1 Market analysis and segmentation</w:t>
      </w:r>
    </w:p>
    <w:p>
      <w:r>
        <w:rPr>
          <w:b w:val="0"/>
          <w:i w:val="0"/>
        </w:rPr>
        <w:t>Strategic sales planning begins with understanding the market. Organisations should identify market size, growth, customer needs, competitors, substitutes, buying processes, channel structures and relevant environmental changes. Segmentation then divides the market into groups with meaningful differences in needs or behaviour. A sales organisation should not necessarily treat every customer equally because the cost-to-serve and potential value of customers can differ significantly.</w:t>
      </w:r>
    </w:p>
    <w:p>
      <w:r>
        <w:rPr>
          <w:b w:val="0"/>
          <w:i w:val="0"/>
        </w:rPr>
        <w:t>Segmentation can be based on firmographic factors such as industry and company size in B2B markets, or demographic, behavioural and value-based factors in consumer markets. More advanced approaches combine customer profitability, growth potential, strategic fit and service requirements. Account prioritisation should also consider risk. A large customer with low margins and high service demands may require a different strategy from a smaller but fast-growing customer with strong strategic potential.</w:t>
      </w:r>
    </w:p>
    <w:p>
      <w:r>
        <w:rPr>
          <w:b w:val="0"/>
          <w:i w:val="0"/>
        </w:rPr>
        <w:t>The practical implication is that sales territories and targets should be built from customer and market evidence rather than inherited historical arrangements. Market analysis should be reviewed periodically because customer needs, competitors and channel economics change.</w:t>
      </w:r>
    </w:p>
    <w:p>
      <w:pPr>
        <w:pStyle w:val="Heading2"/>
      </w:pPr>
      <w:r>
        <w:t>4.2 Sales objectives, targets and territory planning</w:t>
      </w:r>
    </w:p>
    <w:p>
      <w:r>
        <w:rPr>
          <w:b w:val="0"/>
          <w:i w:val="0"/>
        </w:rPr>
        <w:t>Sales objectives translate strategy into measurable outcomes. Common objectives include revenue, gross margin, new-account acquisition, retention, cross-selling, strategic-account penetration and product mix. Targets should be challenging but credible. Unrealistic targets can weaken motivation and encourage dysfunctional selling behaviour, while targets that are too easy provide little strategic discipline.</w:t>
      </w:r>
    </w:p>
    <w:p>
      <w:r>
        <w:rPr>
          <w:b w:val="0"/>
          <w:i w:val="0"/>
        </w:rPr>
        <w:t>Territory planning allocates accounts, geography or opportunities to salespeople or teams. Effective territory design seeks a reasonable balance of potential, workload and travel or service requirements. Poorly balanced territories can create apparent performance differences that are caused by opportunity rather than salesperson capability. Regular territory reviews can therefore improve fairness and resource productivity.</w:t>
      </w:r>
    </w:p>
    <w:p>
      <w:r>
        <w:rPr>
          <w:b w:val="0"/>
          <w:i w:val="0"/>
        </w:rPr>
        <w:t>Account planning should specify objectives, customer priorities, relationship map, opportunities, risks, competitors, next actions and expected value. In complex B2B settings, account plans can coordinate sales, technical, service and executive resources. This reflects the move from individual selling toward coordinated customer management.</w:t>
      </w:r>
    </w:p>
    <w:p>
      <w:pPr>
        <w:pStyle w:val="Heading2"/>
      </w:pPr>
      <w:r>
        <w:t>4.3 Resource allocation and sales force design</w:t>
      </w:r>
    </w:p>
    <w:p>
      <w:r>
        <w:rPr>
          <w:b w:val="0"/>
          <w:i w:val="0"/>
        </w:rPr>
        <w:t>Resource allocation determines where sales capacity is invested. The organisation must decide how many salespeople are required, what skills they need, which accounts need specialist coverage and what activities can be supported digitally. Sales-force design should reflect the economics of the chosen strategy. High-touch enterprise selling may justify specialist teams, while lower-value transactional customers may be served through inside sales, digital channels or partners.</w:t>
      </w:r>
    </w:p>
    <w:p>
      <w:r>
        <w:rPr>
          <w:b w:val="0"/>
          <w:i w:val="0"/>
        </w:rPr>
        <w:t>Training is a strategic investment because salespeople need more than product knowledge. Consultative selling, negotiation, data interpretation, industry knowledge and digital selling skills can support complex customer decisions. Sales managers also need coaching capabilities so that performance problems are addressed through development rather than only through pressure.</w:t>
      </w:r>
    </w:p>
    <w:p>
      <w:r>
        <w:rPr>
          <w:b w:val="0"/>
          <w:i w:val="0"/>
        </w:rPr>
        <w:t>Technology changes resource allocation. CRM, sales-force automation, digital communication and analytics can reduce administrative work and improve visibility. Yet technology can also create additional data-entry requirements or encourage excessive monitoring. The value of technology therefore depends on usability, data quality, process design and adoption by the sales force.</w:t>
      </w:r>
    </w:p>
    <w:p>
      <w:pPr>
        <w:pStyle w:val="Heading2"/>
      </w:pPr>
      <w:r>
        <w:t>4.4 Sales forecasting</w:t>
      </w:r>
    </w:p>
    <w:p>
      <w:r>
        <w:rPr>
          <w:b w:val="0"/>
          <w:i w:val="0"/>
        </w:rPr>
        <w:t>A strategic forecasting process combines multiple information sources. Historical sales provide a baseline, but pipeline stages, win rates, customer budgets, market trends and competitor actions can improve interpretation. Forecast categories should have clear definitions so that salespeople and managers use terms such as committed, probable and upside consistently.</w:t>
      </w:r>
    </w:p>
    <w:p>
      <w:r>
        <w:rPr>
          <w:b w:val="0"/>
          <w:i w:val="0"/>
        </w:rPr>
        <w:t>Forecast meetings should focus on evidence rather than optimism. Managers can challenge opportunities by asking whether the customer has confirmed need, budget, decision process, competition and timing. Statistical or machine-learning forecasts can provide an independent benchmark against which managerial forecasts are compared. This can help reveal systematic optimism or pessimism.</w:t>
      </w:r>
    </w:p>
    <w:p>
      <w:r>
        <w:rPr>
          <w:b w:val="0"/>
          <w:i w:val="0"/>
        </w:rPr>
        <w:t>Forecasting also needs feedback. Actual outcomes should be compared with forecasts and the reasons for deviations analysed. Over time, the organisation can identify whether errors arise from weak data, unstable markets, poor pipeline qualification or judgement bias. Forecast accuracy should therefore be treated as an organisational learning capability rather than merely an individual salesperson metric.</w:t>
      </w:r>
    </w:p>
    <w:p>
      <w:pPr>
        <w:pStyle w:val="Heading2"/>
      </w:pPr>
      <w:r>
        <w:t>4.5 Customer relationships and value creation</w:t>
      </w:r>
    </w:p>
    <w:p>
      <w:r>
        <w:rPr>
          <w:b w:val="0"/>
          <w:i w:val="0"/>
        </w:rPr>
        <w:t>Customer relationship management is central to strategic sales because acquisition alone does not guarantee long-term value. Retention, expansion and advocacy can increase customer lifetime value and reduce the need to replace lost accounts. Relationship strategies should match customer economics. Some customers may prefer efficient self-service, while strategic accounts may require dedicated teams and executive relationships.</w:t>
      </w:r>
    </w:p>
    <w:p>
      <w:r>
        <w:rPr>
          <w:b w:val="0"/>
          <w:i w:val="0"/>
        </w:rPr>
        <w:t>Salespeople create relationship value by understanding the customer's context and coordinating solutions. In consultative selling, the salesperson diagnoses a problem before proposing a solution. This can increase trust because the customer sees the sales interaction as problem solving rather than product pushing. The approach also provides information that can feed product development and service improvement.</w:t>
      </w:r>
    </w:p>
    <w:p>
      <w:r>
        <w:rPr>
          <w:b w:val="0"/>
          <w:i w:val="0"/>
        </w:rPr>
        <w:t>CRM systems can support this process by recording contacts, opportunities, service issues, buying history and account plans. However, data quality is critical. Incomplete or outdated records can create poor customer experiences and unreliable forecasts. Governance should therefore define ownership, data standards and appropriate access.</w:t>
      </w:r>
    </w:p>
    <w:p>
      <w:pPr>
        <w:pStyle w:val="Heading2"/>
      </w:pPr>
      <w:r>
        <w:t>4.6 Competitive pressure and sales strategy</w:t>
      </w:r>
    </w:p>
    <w:p>
      <w:r>
        <w:rPr>
          <w:b w:val="0"/>
          <w:i w:val="0"/>
        </w:rPr>
        <w:t>Competitive pressure affects both the value proposition and the sales process. When products are highly differentiated, salespeople can focus on communicating unique benefits. When products are similar, the organisation may compete through service, reliability, responsiveness, expertise, pricing, financing or customer experience. Discounting can win individual deals but may damage margins and establish expectations that undermine long-term value.</w:t>
      </w:r>
    </w:p>
    <w:p>
      <w:r>
        <w:rPr>
          <w:b w:val="0"/>
          <w:i w:val="0"/>
        </w:rPr>
        <w:t>Strategic sales teams should monitor competitor moves, customer switching behaviour and changes in buying criteria. Competitive intelligence gathered ethically by salespeople can inform positioning and account plans. Organisations should avoid misleading comparisons or inappropriate information gathering because short-term competitive gains can create reputational and legal risks.</w:t>
      </w:r>
    </w:p>
    <w:p>
      <w:r>
        <w:rPr>
          <w:b w:val="0"/>
          <w:i w:val="0"/>
        </w:rPr>
        <w:t>Value-based selling provides an alternative to price competition. Instead of focusing only on product features, the salesperson quantifies customer outcomes such as reduced operating costs, higher productivity, lower risk or improved revenue. This requires evidence and industry knowledge, but it can shift the discussion from price to total economic value.</w:t>
      </w:r>
    </w:p>
    <w:p>
      <w:pPr>
        <w:pStyle w:val="Heading2"/>
      </w:pPr>
      <w:r>
        <w:t>4.7 Performance measurement and ethical sales</w:t>
      </w:r>
    </w:p>
    <w:p>
      <w:r>
        <w:rPr>
          <w:b w:val="0"/>
          <w:i w:val="0"/>
        </w:rPr>
        <w:t>Sales performance measurement should combine outcomes and behaviours. Revenue, margin, quota attainment and new business are outcome measures, while pipeline coverage, account-plan quality, activity effectiveness, forecast accuracy and customer retention can provide additional information. A balanced system reduces the risk that one metric dominates behaviour.</w:t>
      </w:r>
    </w:p>
    <w:p>
      <w:r>
        <w:rPr>
          <w:b w:val="0"/>
          <w:i w:val="0"/>
        </w:rPr>
        <w:t>Ethical sales practice is a strategic issue because trust affects relationship value. Salespeople should provide accurate product information, respect customer privacy, disclose material conditions and avoid manipulative practices. Organisations should support ethical behaviour through training, clear policies, realistic targets, supervision and incentive design. If incentives systematically reward revenue regardless of customer suitability, formal ethics statements may have limited effect.</w:t>
      </w:r>
    </w:p>
    <w:p>
      <w:r>
        <w:rPr>
          <w:b w:val="0"/>
          <w:i w:val="0"/>
        </w:rPr>
        <w:t>Digital selling increases the importance of responsible data use. Customer information should be collected and used for legitimate business purposes, with appropriate access controls and transparency. Data-driven sales can improve relevance, but intrusive targeting can reduce customer trust. Strategic sales management therefore requires balancing commercial effectiveness with responsible customer treatment.</w:t>
      </w:r>
    </w:p>
    <w:p>
      <w:pPr>
        <w:pStyle w:val="Heading2"/>
      </w:pPr>
      <w:r>
        <w:t>4.8 Real-world organisational examples</w:t>
      </w:r>
    </w:p>
    <w:p>
      <w:r>
        <w:rPr>
          <w:b w:val="0"/>
          <w:i w:val="0"/>
        </w:rPr>
        <w:t>Salesforce provides an important example of a company whose business model is closely connected to CRM and sales technology. Its public filings describe a portfolio of customer relationship and business applications. The strategic lesson is that sales-management technology can itself be part of the value proposition: organisations purchase systems that are intended to improve visibility, coordination and customer management. At the same time, the case demonstrates that technology providers still need sophisticated enterprise sales capabilities because large customers have complex buying processes and multiple stakeholders.</w:t>
      </w:r>
    </w:p>
    <w:p>
      <w:r>
        <w:rPr>
          <w:b w:val="0"/>
          <w:i w:val="0"/>
        </w:rPr>
        <w:t>Microsoft illustrates the role of a broad enterprise sales model in supporting a diversified technology portfolio. Its commercial relationships span cloud services, productivity software, security and business applications. Enterprise sales in such an environment requires coordination across technical specialists, account teams and customer-success functions. The example demonstrates why sales strategy should be aligned with customer lifecycle management rather than limited to initial acquisition.</w:t>
      </w:r>
    </w:p>
    <w:p>
      <w:r>
        <w:rPr>
          <w:b w:val="0"/>
          <w:i w:val="0"/>
        </w:rPr>
        <w:t>Procter &amp; Gamble provides an example of a consumer-goods company where sales strategy interacts strongly with brand management, retailers and distribution. In mass consumer markets, competitive advantage depends on availability, retailer relationships, category management, brand value and efficient execution. Sales teams therefore operate within a wider go-to-market system rather than functioning independently from marketing and supply chain decisions.</w:t>
      </w:r>
    </w:p>
    <w:p>
      <w:r>
        <w:rPr>
          <w:b w:val="0"/>
          <w:i w:val="0"/>
        </w:rPr>
        <w:t>These examples should not be interpreted as evidence that one sales model is universally superior. Instead, they illustrate contingency. Technology firms with complex B2B offerings may require consultative and account-based selling, while consumer-goods firms may place greater emphasis on channel relationships, category execution and distribution. Strategic sales management begins by matching sales capabilities to market economics and customer needs.</w:t>
      </w:r>
    </w:p>
    <w:p>
      <w:pPr>
        <w:pStyle w:val="Heading1"/>
      </w:pPr>
      <w:r>
        <w:t>5. Discussion</w:t>
      </w:r>
    </w:p>
    <w:p>
      <w:r>
        <w:rPr>
          <w:b w:val="0"/>
          <w:i w:val="0"/>
        </w:rPr>
        <w:t>The analysis shows that competitive advantage through sales is created through alignment. Market analysis identifies where value can be created; segmentation determines which customers receive priority; territory and resource planning allocate capacity; forecasting informs decisions; CRM supports customer knowledge; and performance management reinforces desired behaviour. Weakness in one element can reduce the effectiveness of the others.</w:t>
      </w:r>
    </w:p>
    <w:p>
      <w:r>
        <w:rPr>
          <w:b w:val="0"/>
          <w:i w:val="0"/>
        </w:rPr>
        <w:t>The relationship between sales and marketing is particularly important. If marketing promises a value proposition that sales cannot deliver, customer trust suffers. Conversely, if sales teams repeatedly report unmet customer needs but marketing and product teams do not respond, the organisation loses market learning. Cross-functional processes can convert frontline information into strategic insight.</w:t>
      </w:r>
    </w:p>
    <w:p>
      <w:r>
        <w:rPr>
          <w:b w:val="0"/>
          <w:i w:val="0"/>
        </w:rPr>
        <w:t>Forecasting demonstrates the importance of combining technology and human judgement. Statistical models can process large datasets, but salespeople often possess contextual information about customers that may not yet be visible in historical data. The most useful approach is therefore not simply to choose between algorithm and judgement, but to establish a process in which both are compared, challenged and improved over time.</w:t>
      </w:r>
    </w:p>
    <w:p>
      <w:r>
        <w:rPr>
          <w:b w:val="0"/>
          <w:i w:val="0"/>
        </w:rPr>
        <w:t>The analysis also indicates that sales technology should be implemented as part of organisational change. A CRM platform cannot create customer orientation automatically. Employees need clear reasons to use it, training, appropriate workflows and feedback. The 2026 meta-analysis of sales technologies provides evidence of an average positive relationship with sales-force performance, but the moderate size of the effect reinforces the need for contextual implementation rather than assuming that technology alone produces performance gains. citeturn0search2</w:t>
      </w:r>
    </w:p>
    <w:p>
      <w:r>
        <w:rPr>
          <w:b w:val="0"/>
          <w:i w:val="0"/>
        </w:rPr>
        <w:t>Finally, sustainable sales performance depends on trust. Customers may accept short-term aggressive selling, but long-term relationships depend on reliable information, service and ethical behaviour. Competitive advantage is more defensible when it is embedded in customer knowledge, organisational routines, capability development and reputation rather than only in individual selling talent.</w:t>
      </w:r>
    </w:p>
    <w:p>
      <w:pPr>
        <w:pStyle w:val="Heading1"/>
      </w:pPr>
      <w:r>
        <w:t>6. Recommendations</w:t>
      </w:r>
    </w:p>
    <w:p>
      <w:pPr>
        <w:pStyle w:val="Heading2"/>
      </w:pPr>
      <w:r>
        <w:t>6.1 Establish an integrated strategic sales-planning cycle</w:t>
      </w:r>
    </w:p>
    <w:p>
      <w:pPr>
        <w:pStyle w:val="ListNumber"/>
        <w:spacing w:line="480" w:lineRule="auto"/>
      </w:pPr>
      <w:r>
        <w:t>Link annual sales planning explicitly to corporate strategy, marketing priorities, customer segments and financial objectives.</w:t>
      </w:r>
    </w:p>
    <w:p>
      <w:pPr>
        <w:pStyle w:val="ListNumber"/>
        <w:spacing w:line="480" w:lineRule="auto"/>
      </w:pPr>
      <w:r>
        <w:t>Review market attractiveness, customer profitability, competitive intensity and growth potential before setting targets.</w:t>
      </w:r>
    </w:p>
    <w:p>
      <w:pPr>
        <w:pStyle w:val="ListNumber"/>
        <w:spacing w:line="480" w:lineRule="auto"/>
      </w:pPr>
      <w:r>
        <w:t>Translate strategy into clear account, territory and channel priorities.</w:t>
      </w:r>
    </w:p>
    <w:p>
      <w:pPr>
        <w:pStyle w:val="Heading2"/>
      </w:pPr>
      <w:r>
        <w:t>6.2 Improve segmentation and account prioritisation</w:t>
      </w:r>
    </w:p>
    <w:p>
      <w:pPr>
        <w:pStyle w:val="ListNumber"/>
        <w:spacing w:line="480" w:lineRule="auto"/>
      </w:pPr>
      <w:r>
        <w:t>Use customer value, growth potential, strategic fit, retention risk and cost-to-serve to prioritise accounts.</w:t>
      </w:r>
    </w:p>
    <w:p>
      <w:pPr>
        <w:pStyle w:val="ListNumber"/>
        <w:spacing w:line="480" w:lineRule="auto"/>
      </w:pPr>
      <w:r>
        <w:t>Create differentiated service models for transactional, growth, strategic and low-potential customers.</w:t>
      </w:r>
    </w:p>
    <w:p>
      <w:pPr>
        <w:pStyle w:val="ListNumber"/>
        <w:spacing w:line="480" w:lineRule="auto"/>
      </w:pPr>
      <w:r>
        <w:t>Review segments and territories at least annually and whenever major market conditions change.</w:t>
      </w:r>
    </w:p>
    <w:p>
      <w:pPr>
        <w:pStyle w:val="Heading2"/>
      </w:pPr>
      <w:r>
        <w:t>6.3 Build evidence-based forecasting</w:t>
      </w:r>
    </w:p>
    <w:p>
      <w:pPr>
        <w:pStyle w:val="ListNumber"/>
        <w:spacing w:line="480" w:lineRule="auto"/>
      </w:pPr>
      <w:r>
        <w:t>Combine historical data, pipeline quality, market indicators, customer evidence and statistical forecasts.</w:t>
      </w:r>
    </w:p>
    <w:p>
      <w:pPr>
        <w:pStyle w:val="ListNumber"/>
        <w:spacing w:line="480" w:lineRule="auto"/>
      </w:pPr>
      <w:r>
        <w:t>Introduce structured forecast reviews that challenge assumptions and record reasons for major changes.</w:t>
      </w:r>
    </w:p>
    <w:p>
      <w:pPr>
        <w:pStyle w:val="ListNumber"/>
        <w:spacing w:line="480" w:lineRule="auto"/>
      </w:pPr>
      <w:r>
        <w:t>Measure forecast accuracy and use forecast errors as learning inputs rather than solely as salesperson penalties.</w:t>
      </w:r>
    </w:p>
    <w:p>
      <w:pPr>
        <w:pStyle w:val="Heading2"/>
      </w:pPr>
      <w:r>
        <w:t>6.4 Align sales-force structure and capability</w:t>
      </w:r>
    </w:p>
    <w:p>
      <w:pPr>
        <w:pStyle w:val="ListNumber"/>
        <w:spacing w:line="480" w:lineRule="auto"/>
      </w:pPr>
      <w:r>
        <w:t>Match sales roles and specialisation to the complexity of customer needs and the economics of the sales model.</w:t>
      </w:r>
    </w:p>
    <w:p>
      <w:pPr>
        <w:pStyle w:val="ListNumber"/>
        <w:spacing w:line="480" w:lineRule="auto"/>
      </w:pPr>
      <w:r>
        <w:t>Invest in consultative selling, negotiation, digital selling, industry knowledge and data literacy.</w:t>
      </w:r>
    </w:p>
    <w:p>
      <w:pPr>
        <w:pStyle w:val="ListNumber"/>
        <w:spacing w:line="480" w:lineRule="auto"/>
      </w:pPr>
      <w:r>
        <w:t>Use coaching and development to improve capability and create consistent performance standards.</w:t>
      </w:r>
    </w:p>
    <w:p>
      <w:pPr>
        <w:pStyle w:val="Heading2"/>
      </w:pPr>
      <w:r>
        <w:t>6.5 Strengthen CRM and customer-value management</w:t>
      </w:r>
    </w:p>
    <w:p>
      <w:pPr>
        <w:pStyle w:val="ListNumber"/>
        <w:spacing w:line="480" w:lineRule="auto"/>
      </w:pPr>
      <w:r>
        <w:t>Define data ownership and minimum CRM standards so that customer records remain reliable.</w:t>
      </w:r>
    </w:p>
    <w:p>
      <w:pPr>
        <w:pStyle w:val="ListNumber"/>
        <w:spacing w:line="480" w:lineRule="auto"/>
      </w:pPr>
      <w:r>
        <w:t>Use CRM information to support account planning, customer retention, cross-functional coordination and opportunity prioritisation.</w:t>
      </w:r>
    </w:p>
    <w:p>
      <w:pPr>
        <w:pStyle w:val="ListNumber"/>
        <w:spacing w:line="480" w:lineRule="auto"/>
      </w:pPr>
      <w:r>
        <w:t>Measure relationship outcomes such as retention, expansion, satisfaction and customer lifetime value alongside revenue.</w:t>
      </w:r>
    </w:p>
    <w:p>
      <w:pPr>
        <w:pStyle w:val="Heading2"/>
      </w:pPr>
      <w:r>
        <w:t>6.6 Create a balanced sales-performance system</w:t>
      </w:r>
    </w:p>
    <w:p>
      <w:pPr>
        <w:pStyle w:val="ListNumber"/>
        <w:spacing w:line="480" w:lineRule="auto"/>
      </w:pPr>
      <w:r>
        <w:t>Combine revenue and margin measures with customer, pipeline, forecast, strategic-account and quality indicators.</w:t>
      </w:r>
    </w:p>
    <w:p>
      <w:pPr>
        <w:pStyle w:val="ListNumber"/>
        <w:spacing w:line="480" w:lineRule="auto"/>
      </w:pPr>
      <w:r>
        <w:t>Avoid incentive structures that encourage unsuitable selling, excessive discounting or misleading customer communication.</w:t>
      </w:r>
    </w:p>
    <w:p>
      <w:pPr>
        <w:pStyle w:val="ListNumber"/>
        <w:spacing w:line="480" w:lineRule="auto"/>
      </w:pPr>
      <w:r>
        <w:t>Review performance metrics periodically to ensure they reinforce the organisation's strategic priorities.</w:t>
      </w:r>
    </w:p>
    <w:p>
      <w:pPr>
        <w:pStyle w:val="Heading2"/>
      </w:pPr>
      <w:r>
        <w:t>6.7 Make ethical selling a strategic capability</w:t>
      </w:r>
    </w:p>
    <w:p>
      <w:pPr>
        <w:pStyle w:val="ListNumber"/>
        <w:spacing w:line="480" w:lineRule="auto"/>
      </w:pPr>
      <w:r>
        <w:t>Provide clear standards for product claims, customer data, competitor information and customer communications.</w:t>
      </w:r>
    </w:p>
    <w:p>
      <w:pPr>
        <w:pStyle w:val="ListNumber"/>
        <w:spacing w:line="480" w:lineRule="auto"/>
      </w:pPr>
      <w:r>
        <w:t>Give managers responsibility for monitoring ethical risks and create safe channels for reporting concerns.</w:t>
      </w:r>
    </w:p>
    <w:p>
      <w:pPr>
        <w:pStyle w:val="ListNumber"/>
        <w:spacing w:line="480" w:lineRule="auto"/>
      </w:pPr>
      <w:r>
        <w:t>Include customer trust and long-term relationship indicators in sales-management reviews.</w:t>
      </w:r>
    </w:p>
    <w:p>
      <w:pPr>
        <w:pStyle w:val="Heading1"/>
      </w:pPr>
      <w:r>
        <w:t>7. Conclusion</w:t>
      </w:r>
    </w:p>
    <w:p>
      <w:r>
        <w:rPr>
          <w:b w:val="0"/>
          <w:i w:val="0"/>
        </w:rPr>
        <w:t>Strategic sales management is a core organisational capability because it connects market opportunity with customer value and revenue generation. The report has shown that effective sales strategy begins with market analysis and segmentation and continues through target setting, territory design, resource allocation, forecasting, customer relationship management and performance measurement. These activities should be coordinated with marketing, finance, operations and broader corporate strategy.</w:t>
      </w:r>
    </w:p>
    <w:p>
      <w:r>
        <w:rPr>
          <w:b w:val="0"/>
          <w:i w:val="0"/>
        </w:rPr>
        <w:t>The analysis demonstrates that sales-force effectiveness depends on fit. Different markets require different combinations of direct selling, digital channels, account management, specialist expertise and partner relationships. Forecasting similarly requires both analytical tools and organisational processes that challenge assumptions and learn from errors. CRM and sales technologies can improve performance, but only when supported by data quality, adoption, capability development and appropriate workflows.</w:t>
      </w:r>
    </w:p>
    <w:p>
      <w:r>
        <w:rPr>
          <w:b w:val="0"/>
          <w:i w:val="0"/>
        </w:rPr>
        <w:t>Competitive advantage is strongest when sales capabilities create customer value that is difficult to replicate. Trust, customer knowledge, consultative expertise, relationship quality, organisational learning and disciplined execution can support this advantage more sustainably than short-term discounting or aggressive target pressure. Ethical sales practices are therefore not separate from strategy; they help protect the customer relationships and reputation on which long-term performance depends.</w:t>
      </w:r>
    </w:p>
    <w:p>
      <w:r>
        <w:rPr>
          <w:b w:val="0"/>
          <w:i w:val="0"/>
        </w:rPr>
        <w:t>Overall, organisations should manage sales as a strategic system rather than as a standalone revenue function. An integrated planning cycle, evidence-based forecasting, customer-focused segmentation, balanced performance measures, capable sales teams and responsible use of technology can improve both commercial outcomes and customer relationships. This approach provides a practical foundation for achieving competitive advantage in markets where customer expectations and competitive conditions continue to evolve.</w:t>
      </w:r>
    </w:p>
    <w:p>
      <w:pPr>
        <w:pStyle w:val="Heading1"/>
      </w:pPr>
      <w:r>
        <w:t>References</w:t>
      </w:r>
    </w:p>
    <w:p>
      <w:pPr>
        <w:ind w:left="432" w:hanging="432"/>
      </w:pPr>
      <w:r>
        <w:t>Cravens, D. W., &amp; Le Meunier-FitzHugh, K. (Eds.). (2011). The Oxford handbook of strategic sales and sales management. Oxford University Press.</w:t>
      </w:r>
    </w:p>
    <w:p>
      <w:pPr>
        <w:ind w:left="432" w:hanging="432"/>
      </w:pPr>
      <w:r>
        <w:t>Capon, N., &amp; Palij, P. (1994). Strategic marketing forecasting, market segment selection and firm performance. International Journal of Forecasting, 10(2), 339–352. https://doi.org/10.1016/0169-2070(94)90012-4</w:t>
      </w:r>
    </w:p>
    <w:p>
      <w:pPr>
        <w:ind w:left="432" w:hanging="432"/>
      </w:pPr>
      <w:r>
        <w:t>Cron, W. L., &amp; Cravens, D. W. (2010). Sales force strategy. Wiley Encyclopedia of Management. https://doi.org/10.1002/9781444316568.wiem01054</w:t>
      </w:r>
    </w:p>
    <w:p>
      <w:pPr>
        <w:ind w:left="432" w:hanging="432"/>
      </w:pPr>
      <w:r>
        <w:t>Davis, D. F., &amp; Mentzer, J. T. (2007). Organizational factors in sales forecasting management. International Journal of Forecasting, 23(3), 475–495. https://doi.org/10.1016/j.ijforecast.2007.02.005</w:t>
      </w:r>
    </w:p>
    <w:p>
      <w:pPr>
        <w:ind w:left="432" w:hanging="432"/>
      </w:pPr>
      <w:r>
        <w:t>Leigh, T. W. (2011). Customer relationship management and the sales force. In D. W. Cravens &amp; K. Le Meunier-FitzHugh (Eds.), The Oxford handbook of strategic sales and sales management (pp. 344–373). Oxford University Press.</w:t>
      </w:r>
    </w:p>
    <w:p>
      <w:pPr>
        <w:ind w:left="432" w:hanging="432"/>
      </w:pPr>
      <w:r>
        <w:t>McCarthy, T. M., Davis, D. F., Golicic, S. L., &amp; Mentzer, J. T. (2006). The evolution of sales forecasting management: A 20-year longitudinal study of forecasting practices. Journal of Forecasting, 25(5), 303–324. https://doi.org/10.1002/for.989</w:t>
      </w:r>
    </w:p>
    <w:p>
      <w:pPr>
        <w:ind w:left="432" w:hanging="432"/>
      </w:pPr>
      <w:r>
        <w:t>Park, J. E., Kim, J., Dubinsky, A. J., &amp; Lee, H. (2010). How does sales force automation influence relationship quality and performance? The mediating roles of learning and selling behaviors. Industrial Marketing Management, 39(7), 1128–1138. https://doi.org/10.1016/j.indmarman.2009.11.003</w:t>
      </w:r>
    </w:p>
    <w:p>
      <w:pPr>
        <w:ind w:left="432" w:hanging="432"/>
      </w:pPr>
      <w:r>
        <w:t>Singh, R., et al. (2026). Influence of sales technologies on B2B salesforce performance: A meta-analytic investigation. Journal of Business &amp; Industrial Marketing, 41(5), 616–636. https://doi.org/10.1108/JBIM-01-2025-0024</w:t>
      </w:r>
    </w:p>
    <w:p>
      <w:pPr>
        <w:ind w:left="432" w:hanging="432"/>
      </w:pPr>
      <w:r>
        <w:t>Zoltners, A. A., Sinha, P., &amp; Lorimer, S. E. (2011). Structuring the sales force for customer and company success. In D. W. Cravens &amp; K. Le Meunier-FitzHugh (Eds.), The Oxford handbook of strategic sales and sales management (pp. 131–173). Oxford University Press.</w:t>
      </w:r>
    </w:p>
    <w:p>
      <w:pPr>
        <w:ind w:left="432" w:hanging="432"/>
      </w:pPr>
      <w:r>
        <w:t>Salesforce, Inc. (2026). Annual report (Form 10-K) for fiscal year ended January 31, 2026. Salesforce.</w:t>
      </w:r>
    </w:p>
    <w:p>
      <w:pPr>
        <w:ind w:left="432" w:hanging="432"/>
      </w:pPr>
      <w:r>
        <w:t>Microsoft Corporation. (2025). Annual report 2025. Microsoft.</w:t>
      </w:r>
    </w:p>
    <w:p>
      <w:pPr>
        <w:ind w:left="432" w:hanging="432"/>
      </w:pPr>
      <w:r>
        <w:t>Procter &amp; Gamble. (2025). Annual report 2025. The Procter &amp; Gamble Company.</w:t>
      </w:r>
    </w:p>
    <w:p>
      <w:r>
        <w:br w:type="page"/>
      </w:r>
    </w:p>
    <w:p>
      <w:pPr>
        <w:pStyle w:val="Heading1"/>
      </w:pPr>
      <w:r>
        <w:t>Appendix A – Strategic Sales Planning Framework</w:t>
      </w:r>
    </w:p>
    <w:tbl>
      <w:tblPr>
        <w:tblStyle w:val="TableGrid"/>
        <w:tblW w:type="auto" w:w="0"/>
        <w:jc w:val="center"/>
        <w:tblLook w:firstColumn="1" w:firstRow="1" w:lastColumn="0" w:lastRow="0" w:noHBand="0" w:noVBand="1" w:val="04A0"/>
      </w:tblPr>
      <w:tblGrid>
        <w:gridCol w:w="2340"/>
        <w:gridCol w:w="2340"/>
        <w:gridCol w:w="2340"/>
        <w:gridCol w:w="2340"/>
      </w:tblGrid>
      <w:tr>
        <w:tc>
          <w:tcPr>
            <w:tcW w:type="dxa" w:w="2340"/>
            <w:vAlign w:val="center"/>
          </w:tcPr>
          <w:p>
            <w:r>
              <w:rPr>
                <w:rFonts w:ascii="Times New Roman" w:hAnsi="Times New Roman"/>
                <w:sz w:val="21"/>
              </w:rPr>
              <w:t>Planning Area</w:t>
            </w:r>
          </w:p>
        </w:tc>
        <w:tc>
          <w:tcPr>
            <w:tcW w:type="dxa" w:w="2340"/>
            <w:vAlign w:val="center"/>
          </w:tcPr>
          <w:p>
            <w:r>
              <w:rPr>
                <w:rFonts w:ascii="Times New Roman" w:hAnsi="Times New Roman"/>
                <w:sz w:val="21"/>
              </w:rPr>
              <w:t>Key Questions</w:t>
            </w:r>
          </w:p>
        </w:tc>
        <w:tc>
          <w:tcPr>
            <w:tcW w:type="dxa" w:w="2340"/>
            <w:vAlign w:val="center"/>
          </w:tcPr>
          <w:p>
            <w:r>
              <w:rPr>
                <w:rFonts w:ascii="Times New Roman" w:hAnsi="Times New Roman"/>
                <w:sz w:val="21"/>
              </w:rPr>
              <w:t>Outputs</w:t>
            </w:r>
          </w:p>
        </w:tc>
        <w:tc>
          <w:tcPr>
            <w:tcW w:type="dxa" w:w="2340"/>
            <w:vAlign w:val="center"/>
          </w:tcPr>
          <w:p>
            <w:r>
              <w:rPr>
                <w:rFonts w:ascii="Times New Roman" w:hAnsi="Times New Roman"/>
                <w:sz w:val="21"/>
              </w:rPr>
              <w:t>Review Frequency</w:t>
            </w:r>
          </w:p>
        </w:tc>
      </w:tr>
      <w:tr>
        <w:tc>
          <w:tcPr>
            <w:tcW w:type="dxa" w:w="2340"/>
            <w:vAlign w:val="center"/>
          </w:tcPr>
          <w:p>
            <w:r>
              <w:rPr>
                <w:rFonts w:ascii="Times New Roman" w:hAnsi="Times New Roman"/>
                <w:sz w:val="21"/>
              </w:rPr>
              <w:t>Market analysis</w:t>
            </w:r>
          </w:p>
        </w:tc>
        <w:tc>
          <w:tcPr>
            <w:tcW w:type="dxa" w:w="2340"/>
            <w:vAlign w:val="center"/>
          </w:tcPr>
          <w:p>
            <w:r>
              <w:rPr>
                <w:rFonts w:ascii="Times New Roman" w:hAnsi="Times New Roman"/>
                <w:sz w:val="21"/>
              </w:rPr>
              <w:t>Where is demand, growth and competitive pressure?</w:t>
            </w:r>
          </w:p>
        </w:tc>
        <w:tc>
          <w:tcPr>
            <w:tcW w:type="dxa" w:w="2340"/>
            <w:vAlign w:val="center"/>
          </w:tcPr>
          <w:p>
            <w:r>
              <w:rPr>
                <w:rFonts w:ascii="Times New Roman" w:hAnsi="Times New Roman"/>
                <w:sz w:val="21"/>
              </w:rPr>
              <w:t>Market and competitor analysis</w:t>
            </w:r>
          </w:p>
        </w:tc>
        <w:tc>
          <w:tcPr>
            <w:tcW w:type="dxa" w:w="2340"/>
            <w:vAlign w:val="center"/>
          </w:tcPr>
          <w:p>
            <w:r>
              <w:rPr>
                <w:rFonts w:ascii="Times New Roman" w:hAnsi="Times New Roman"/>
                <w:sz w:val="21"/>
              </w:rPr>
              <w:t>Quarterly / when conditions change</w:t>
            </w:r>
          </w:p>
        </w:tc>
      </w:tr>
      <w:tr>
        <w:tc>
          <w:tcPr>
            <w:tcW w:type="dxa" w:w="2340"/>
            <w:vAlign w:val="center"/>
          </w:tcPr>
          <w:p>
            <w:r>
              <w:rPr>
                <w:rFonts w:ascii="Times New Roman" w:hAnsi="Times New Roman"/>
                <w:sz w:val="21"/>
              </w:rPr>
              <w:t>Segmentation</w:t>
            </w:r>
          </w:p>
        </w:tc>
        <w:tc>
          <w:tcPr>
            <w:tcW w:type="dxa" w:w="2340"/>
            <w:vAlign w:val="center"/>
          </w:tcPr>
          <w:p>
            <w:r>
              <w:rPr>
                <w:rFonts w:ascii="Times New Roman" w:hAnsi="Times New Roman"/>
                <w:sz w:val="21"/>
              </w:rPr>
              <w:t>Which customers have different needs and value?</w:t>
            </w:r>
          </w:p>
        </w:tc>
        <w:tc>
          <w:tcPr>
            <w:tcW w:type="dxa" w:w="2340"/>
            <w:vAlign w:val="center"/>
          </w:tcPr>
          <w:p>
            <w:r>
              <w:rPr>
                <w:rFonts w:ascii="Times New Roman" w:hAnsi="Times New Roman"/>
                <w:sz w:val="21"/>
              </w:rPr>
              <w:t>Segments and account tiers</w:t>
            </w:r>
          </w:p>
        </w:tc>
        <w:tc>
          <w:tcPr>
            <w:tcW w:type="dxa" w:w="2340"/>
            <w:vAlign w:val="center"/>
          </w:tcPr>
          <w:p>
            <w:r>
              <w:rPr>
                <w:rFonts w:ascii="Times New Roman" w:hAnsi="Times New Roman"/>
                <w:sz w:val="21"/>
              </w:rPr>
              <w:t>Annual</w:t>
            </w:r>
          </w:p>
        </w:tc>
      </w:tr>
      <w:tr>
        <w:tc>
          <w:tcPr>
            <w:tcW w:type="dxa" w:w="2340"/>
            <w:vAlign w:val="center"/>
          </w:tcPr>
          <w:p>
            <w:r>
              <w:rPr>
                <w:rFonts w:ascii="Times New Roman" w:hAnsi="Times New Roman"/>
                <w:sz w:val="21"/>
              </w:rPr>
              <w:t>Targets</w:t>
            </w:r>
          </w:p>
        </w:tc>
        <w:tc>
          <w:tcPr>
            <w:tcW w:type="dxa" w:w="2340"/>
            <w:vAlign w:val="center"/>
          </w:tcPr>
          <w:p>
            <w:r>
              <w:rPr>
                <w:rFonts w:ascii="Times New Roman" w:hAnsi="Times New Roman"/>
                <w:sz w:val="21"/>
              </w:rPr>
              <w:t>What outcomes support strategy?</w:t>
            </w:r>
          </w:p>
        </w:tc>
        <w:tc>
          <w:tcPr>
            <w:tcW w:type="dxa" w:w="2340"/>
            <w:vAlign w:val="center"/>
          </w:tcPr>
          <w:p>
            <w:r>
              <w:rPr>
                <w:rFonts w:ascii="Times New Roman" w:hAnsi="Times New Roman"/>
                <w:sz w:val="21"/>
              </w:rPr>
              <w:t>Revenue, margin and customer targets</w:t>
            </w:r>
          </w:p>
        </w:tc>
        <w:tc>
          <w:tcPr>
            <w:tcW w:type="dxa" w:w="2340"/>
            <w:vAlign w:val="center"/>
          </w:tcPr>
          <w:p>
            <w:r>
              <w:rPr>
                <w:rFonts w:ascii="Times New Roman" w:hAnsi="Times New Roman"/>
                <w:sz w:val="21"/>
              </w:rPr>
              <w:t>Annual / quarterly</w:t>
            </w:r>
          </w:p>
        </w:tc>
      </w:tr>
      <w:tr>
        <w:tc>
          <w:tcPr>
            <w:tcW w:type="dxa" w:w="2340"/>
            <w:vAlign w:val="center"/>
          </w:tcPr>
          <w:p>
            <w:r>
              <w:rPr>
                <w:rFonts w:ascii="Times New Roman" w:hAnsi="Times New Roman"/>
                <w:sz w:val="21"/>
              </w:rPr>
              <w:t>Territories</w:t>
            </w:r>
          </w:p>
        </w:tc>
        <w:tc>
          <w:tcPr>
            <w:tcW w:type="dxa" w:w="2340"/>
            <w:vAlign w:val="center"/>
          </w:tcPr>
          <w:p>
            <w:r>
              <w:rPr>
                <w:rFonts w:ascii="Times New Roman" w:hAnsi="Times New Roman"/>
                <w:sz w:val="21"/>
              </w:rPr>
              <w:t>How should capacity be allocated?</w:t>
            </w:r>
          </w:p>
        </w:tc>
        <w:tc>
          <w:tcPr>
            <w:tcW w:type="dxa" w:w="2340"/>
            <w:vAlign w:val="center"/>
          </w:tcPr>
          <w:p>
            <w:r>
              <w:rPr>
                <w:rFonts w:ascii="Times New Roman" w:hAnsi="Times New Roman"/>
                <w:sz w:val="21"/>
              </w:rPr>
              <w:t>Territory/account design</w:t>
            </w:r>
          </w:p>
        </w:tc>
        <w:tc>
          <w:tcPr>
            <w:tcW w:type="dxa" w:w="2340"/>
            <w:vAlign w:val="center"/>
          </w:tcPr>
          <w:p>
            <w:r>
              <w:rPr>
                <w:rFonts w:ascii="Times New Roman" w:hAnsi="Times New Roman"/>
                <w:sz w:val="21"/>
              </w:rPr>
              <w:t>Annual</w:t>
            </w:r>
          </w:p>
        </w:tc>
      </w:tr>
      <w:tr>
        <w:tc>
          <w:tcPr>
            <w:tcW w:type="dxa" w:w="2340"/>
            <w:vAlign w:val="center"/>
          </w:tcPr>
          <w:p>
            <w:r>
              <w:rPr>
                <w:rFonts w:ascii="Times New Roman" w:hAnsi="Times New Roman"/>
                <w:sz w:val="21"/>
              </w:rPr>
              <w:t>Forecasting</w:t>
            </w:r>
          </w:p>
        </w:tc>
        <w:tc>
          <w:tcPr>
            <w:tcW w:type="dxa" w:w="2340"/>
            <w:vAlign w:val="center"/>
          </w:tcPr>
          <w:p>
            <w:r>
              <w:rPr>
                <w:rFonts w:ascii="Times New Roman" w:hAnsi="Times New Roman"/>
                <w:sz w:val="21"/>
              </w:rPr>
              <w:t>What is the evidence for expected sales?</w:t>
            </w:r>
          </w:p>
        </w:tc>
        <w:tc>
          <w:tcPr>
            <w:tcW w:type="dxa" w:w="2340"/>
            <w:vAlign w:val="center"/>
          </w:tcPr>
          <w:p>
            <w:r>
              <w:rPr>
                <w:rFonts w:ascii="Times New Roman" w:hAnsi="Times New Roman"/>
                <w:sz w:val="21"/>
              </w:rPr>
              <w:t>Base, committed and upside forecast</w:t>
            </w:r>
          </w:p>
        </w:tc>
        <w:tc>
          <w:tcPr>
            <w:tcW w:type="dxa" w:w="2340"/>
            <w:vAlign w:val="center"/>
          </w:tcPr>
          <w:p>
            <w:r>
              <w:rPr>
                <w:rFonts w:ascii="Times New Roman" w:hAnsi="Times New Roman"/>
                <w:sz w:val="21"/>
              </w:rPr>
              <w:t>Monthly</w:t>
            </w:r>
          </w:p>
        </w:tc>
      </w:tr>
      <w:tr>
        <w:tc>
          <w:tcPr>
            <w:tcW w:type="dxa" w:w="2340"/>
            <w:vAlign w:val="center"/>
          </w:tcPr>
          <w:p>
            <w:r>
              <w:rPr>
                <w:rFonts w:ascii="Times New Roman" w:hAnsi="Times New Roman"/>
                <w:sz w:val="21"/>
              </w:rPr>
              <w:t>Performance</w:t>
            </w:r>
          </w:p>
        </w:tc>
        <w:tc>
          <w:tcPr>
            <w:tcW w:type="dxa" w:w="2340"/>
            <w:vAlign w:val="center"/>
          </w:tcPr>
          <w:p>
            <w:r>
              <w:rPr>
                <w:rFonts w:ascii="Times New Roman" w:hAnsi="Times New Roman"/>
                <w:sz w:val="21"/>
              </w:rPr>
              <w:t>Are activities producing strategic outcomes?</w:t>
            </w:r>
          </w:p>
        </w:tc>
        <w:tc>
          <w:tcPr>
            <w:tcW w:type="dxa" w:w="2340"/>
            <w:vAlign w:val="center"/>
          </w:tcPr>
          <w:p>
            <w:r>
              <w:rPr>
                <w:rFonts w:ascii="Times New Roman" w:hAnsi="Times New Roman"/>
                <w:sz w:val="21"/>
              </w:rPr>
              <w:t>Dashboard and corrective actions</w:t>
            </w:r>
          </w:p>
        </w:tc>
        <w:tc>
          <w:tcPr>
            <w:tcW w:type="dxa" w:w="2340"/>
            <w:vAlign w:val="center"/>
          </w:tcPr>
          <w:p>
            <w:r>
              <w:rPr>
                <w:rFonts w:ascii="Times New Roman" w:hAnsi="Times New Roman"/>
                <w:sz w:val="21"/>
              </w:rPr>
              <w:t>Monthly</w:t>
            </w:r>
          </w:p>
        </w:tc>
      </w:tr>
      <w:tr>
        <w:tc>
          <w:tcPr>
            <w:tcW w:type="dxa" w:w="2340"/>
            <w:vAlign w:val="center"/>
          </w:tcPr>
          <w:p>
            <w:r>
              <w:rPr>
                <w:rFonts w:ascii="Times New Roman" w:hAnsi="Times New Roman"/>
                <w:sz w:val="21"/>
              </w:rPr>
              <w:t>Learning</w:t>
            </w:r>
          </w:p>
        </w:tc>
        <w:tc>
          <w:tcPr>
            <w:tcW w:type="dxa" w:w="2340"/>
            <w:vAlign w:val="center"/>
          </w:tcPr>
          <w:p>
            <w:r>
              <w:rPr>
                <w:rFonts w:ascii="Times New Roman" w:hAnsi="Times New Roman"/>
                <w:sz w:val="21"/>
              </w:rPr>
              <w:t>What worked and what should change?</w:t>
            </w:r>
          </w:p>
        </w:tc>
        <w:tc>
          <w:tcPr>
            <w:tcW w:type="dxa" w:w="2340"/>
            <w:vAlign w:val="center"/>
          </w:tcPr>
          <w:p>
            <w:r>
              <w:rPr>
                <w:rFonts w:ascii="Times New Roman" w:hAnsi="Times New Roman"/>
                <w:sz w:val="21"/>
              </w:rPr>
              <w:t>Lessons and capability actions</w:t>
            </w:r>
          </w:p>
        </w:tc>
        <w:tc>
          <w:tcPr>
            <w:tcW w:type="dxa" w:w="2340"/>
            <w:vAlign w:val="center"/>
          </w:tcPr>
          <w:p>
            <w:r>
              <w:rPr>
                <w:rFonts w:ascii="Times New Roman" w:hAnsi="Times New Roman"/>
                <w:sz w:val="21"/>
              </w:rPr>
              <w:t>Quarterly / annual</w:t>
            </w:r>
          </w:p>
        </w:tc>
      </w:tr>
    </w:tbl>
    <w:p>
      <w:pPr>
        <w:pStyle w:val="Heading1"/>
      </w:pPr>
      <w:r>
        <w:t>Appendix B – Sales Performance Dashboard</w:t>
      </w:r>
    </w:p>
    <w:tbl>
      <w:tblPr>
        <w:tblStyle w:val="TableGrid"/>
        <w:tblW w:type="auto" w:w="0"/>
        <w:jc w:val="center"/>
        <w:tblLook w:firstColumn="1" w:firstRow="1" w:lastColumn="0" w:lastRow="0" w:noHBand="0" w:noVBand="1" w:val="04A0"/>
      </w:tblPr>
      <w:tblGrid>
        <w:gridCol w:w="2340"/>
        <w:gridCol w:w="2340"/>
        <w:gridCol w:w="2340"/>
        <w:gridCol w:w="2340"/>
      </w:tblGrid>
      <w:tr>
        <w:tc>
          <w:tcPr>
            <w:tcW w:type="dxa" w:w="2340"/>
            <w:vAlign w:val="center"/>
          </w:tcPr>
          <w:p>
            <w:r>
              <w:rPr>
                <w:rFonts w:ascii="Times New Roman" w:hAnsi="Times New Roman"/>
                <w:sz w:val="21"/>
              </w:rPr>
              <w:t>Metric</w:t>
            </w:r>
          </w:p>
        </w:tc>
        <w:tc>
          <w:tcPr>
            <w:tcW w:type="dxa" w:w="2340"/>
            <w:vAlign w:val="center"/>
          </w:tcPr>
          <w:p>
            <w:r>
              <w:rPr>
                <w:rFonts w:ascii="Times New Roman" w:hAnsi="Times New Roman"/>
                <w:sz w:val="21"/>
              </w:rPr>
              <w:t>Purpose</w:t>
            </w:r>
          </w:p>
        </w:tc>
        <w:tc>
          <w:tcPr>
            <w:tcW w:type="dxa" w:w="2340"/>
            <w:vAlign w:val="center"/>
          </w:tcPr>
          <w:p>
            <w:r>
              <w:rPr>
                <w:rFonts w:ascii="Times New Roman" w:hAnsi="Times New Roman"/>
                <w:sz w:val="21"/>
              </w:rPr>
              <w:t>Example Signal</w:t>
            </w:r>
          </w:p>
        </w:tc>
        <w:tc>
          <w:tcPr>
            <w:tcW w:type="dxa" w:w="2340"/>
            <w:vAlign w:val="center"/>
          </w:tcPr>
          <w:p>
            <w:r>
              <w:rPr>
                <w:rFonts w:ascii="Times New Roman" w:hAnsi="Times New Roman"/>
                <w:sz w:val="21"/>
              </w:rPr>
              <w:t>Management Response</w:t>
            </w:r>
          </w:p>
        </w:tc>
      </w:tr>
      <w:tr>
        <w:tc>
          <w:tcPr>
            <w:tcW w:type="dxa" w:w="2340"/>
            <w:vAlign w:val="center"/>
          </w:tcPr>
          <w:p>
            <w:r>
              <w:rPr>
                <w:rFonts w:ascii="Times New Roman" w:hAnsi="Times New Roman"/>
                <w:sz w:val="21"/>
              </w:rPr>
              <w:t>Revenue vs target</w:t>
            </w:r>
          </w:p>
        </w:tc>
        <w:tc>
          <w:tcPr>
            <w:tcW w:type="dxa" w:w="2340"/>
            <w:vAlign w:val="center"/>
          </w:tcPr>
          <w:p>
            <w:r>
              <w:rPr>
                <w:rFonts w:ascii="Times New Roman" w:hAnsi="Times New Roman"/>
                <w:sz w:val="21"/>
              </w:rPr>
              <w:t>Track commercial delivery</w:t>
            </w:r>
          </w:p>
        </w:tc>
        <w:tc>
          <w:tcPr>
            <w:tcW w:type="dxa" w:w="2340"/>
            <w:vAlign w:val="center"/>
          </w:tcPr>
          <w:p>
            <w:r>
              <w:rPr>
                <w:rFonts w:ascii="Times New Roman" w:hAnsi="Times New Roman"/>
                <w:sz w:val="21"/>
              </w:rPr>
              <w:t>Below target</w:t>
            </w:r>
          </w:p>
        </w:tc>
        <w:tc>
          <w:tcPr>
            <w:tcW w:type="dxa" w:w="2340"/>
            <w:vAlign w:val="center"/>
          </w:tcPr>
          <w:p>
            <w:r>
              <w:rPr>
                <w:rFonts w:ascii="Times New Roman" w:hAnsi="Times New Roman"/>
                <w:sz w:val="21"/>
              </w:rPr>
              <w:t>Review pipeline and account actions</w:t>
            </w:r>
          </w:p>
        </w:tc>
      </w:tr>
      <w:tr>
        <w:tc>
          <w:tcPr>
            <w:tcW w:type="dxa" w:w="2340"/>
            <w:vAlign w:val="center"/>
          </w:tcPr>
          <w:p>
            <w:r>
              <w:rPr>
                <w:rFonts w:ascii="Times New Roman" w:hAnsi="Times New Roman"/>
                <w:sz w:val="21"/>
              </w:rPr>
              <w:t>Gross margin</w:t>
            </w:r>
          </w:p>
        </w:tc>
        <w:tc>
          <w:tcPr>
            <w:tcW w:type="dxa" w:w="2340"/>
            <w:vAlign w:val="center"/>
          </w:tcPr>
          <w:p>
            <w:r>
              <w:rPr>
                <w:rFonts w:ascii="Times New Roman" w:hAnsi="Times New Roman"/>
                <w:sz w:val="21"/>
              </w:rPr>
              <w:t>Protect value capture</w:t>
            </w:r>
          </w:p>
        </w:tc>
        <w:tc>
          <w:tcPr>
            <w:tcW w:type="dxa" w:w="2340"/>
            <w:vAlign w:val="center"/>
          </w:tcPr>
          <w:p>
            <w:r>
              <w:rPr>
                <w:rFonts w:ascii="Times New Roman" w:hAnsi="Times New Roman"/>
                <w:sz w:val="21"/>
              </w:rPr>
              <w:t>Margin erosion</w:t>
            </w:r>
          </w:p>
        </w:tc>
        <w:tc>
          <w:tcPr>
            <w:tcW w:type="dxa" w:w="2340"/>
            <w:vAlign w:val="center"/>
          </w:tcPr>
          <w:p>
            <w:r>
              <w:rPr>
                <w:rFonts w:ascii="Times New Roman" w:hAnsi="Times New Roman"/>
                <w:sz w:val="21"/>
              </w:rPr>
              <w:t>Review pricing and discounting</w:t>
            </w:r>
          </w:p>
        </w:tc>
      </w:tr>
      <w:tr>
        <w:tc>
          <w:tcPr>
            <w:tcW w:type="dxa" w:w="2340"/>
            <w:vAlign w:val="center"/>
          </w:tcPr>
          <w:p>
            <w:r>
              <w:rPr>
                <w:rFonts w:ascii="Times New Roman" w:hAnsi="Times New Roman"/>
                <w:sz w:val="21"/>
              </w:rPr>
              <w:t>Pipeline coverage</w:t>
            </w:r>
          </w:p>
        </w:tc>
        <w:tc>
          <w:tcPr>
            <w:tcW w:type="dxa" w:w="2340"/>
            <w:vAlign w:val="center"/>
          </w:tcPr>
          <w:p>
            <w:r>
              <w:rPr>
                <w:rFonts w:ascii="Times New Roman" w:hAnsi="Times New Roman"/>
                <w:sz w:val="21"/>
              </w:rPr>
              <w:t>Assess future capacity</w:t>
            </w:r>
          </w:p>
        </w:tc>
        <w:tc>
          <w:tcPr>
            <w:tcW w:type="dxa" w:w="2340"/>
            <w:vAlign w:val="center"/>
          </w:tcPr>
          <w:p>
            <w:r>
              <w:rPr>
                <w:rFonts w:ascii="Times New Roman" w:hAnsi="Times New Roman"/>
                <w:sz w:val="21"/>
              </w:rPr>
              <w:t>Low coverage</w:t>
            </w:r>
          </w:p>
        </w:tc>
        <w:tc>
          <w:tcPr>
            <w:tcW w:type="dxa" w:w="2340"/>
            <w:vAlign w:val="center"/>
          </w:tcPr>
          <w:p>
            <w:r>
              <w:rPr>
                <w:rFonts w:ascii="Times New Roman" w:hAnsi="Times New Roman"/>
                <w:sz w:val="21"/>
              </w:rPr>
              <w:t>Increase qualified opportunity creation</w:t>
            </w:r>
          </w:p>
        </w:tc>
      </w:tr>
      <w:tr>
        <w:tc>
          <w:tcPr>
            <w:tcW w:type="dxa" w:w="2340"/>
            <w:vAlign w:val="center"/>
          </w:tcPr>
          <w:p>
            <w:r>
              <w:rPr>
                <w:rFonts w:ascii="Times New Roman" w:hAnsi="Times New Roman"/>
                <w:sz w:val="21"/>
              </w:rPr>
              <w:t>Forecast accuracy</w:t>
            </w:r>
          </w:p>
        </w:tc>
        <w:tc>
          <w:tcPr>
            <w:tcW w:type="dxa" w:w="2340"/>
            <w:vAlign w:val="center"/>
          </w:tcPr>
          <w:p>
            <w:r>
              <w:rPr>
                <w:rFonts w:ascii="Times New Roman" w:hAnsi="Times New Roman"/>
                <w:sz w:val="21"/>
              </w:rPr>
              <w:t>Improve planning</w:t>
            </w:r>
          </w:p>
        </w:tc>
        <w:tc>
          <w:tcPr>
            <w:tcW w:type="dxa" w:w="2340"/>
            <w:vAlign w:val="center"/>
          </w:tcPr>
          <w:p>
            <w:r>
              <w:rPr>
                <w:rFonts w:ascii="Times New Roman" w:hAnsi="Times New Roman"/>
                <w:sz w:val="21"/>
              </w:rPr>
              <w:t>High variance</w:t>
            </w:r>
          </w:p>
        </w:tc>
        <w:tc>
          <w:tcPr>
            <w:tcW w:type="dxa" w:w="2340"/>
            <w:vAlign w:val="center"/>
          </w:tcPr>
          <w:p>
            <w:r>
              <w:rPr>
                <w:rFonts w:ascii="Times New Roman" w:hAnsi="Times New Roman"/>
                <w:sz w:val="21"/>
              </w:rPr>
              <w:t>Investigate data and judgement causes</w:t>
            </w:r>
          </w:p>
        </w:tc>
      </w:tr>
      <w:tr>
        <w:tc>
          <w:tcPr>
            <w:tcW w:type="dxa" w:w="2340"/>
            <w:vAlign w:val="center"/>
          </w:tcPr>
          <w:p>
            <w:r>
              <w:rPr>
                <w:rFonts w:ascii="Times New Roman" w:hAnsi="Times New Roman"/>
                <w:sz w:val="21"/>
              </w:rPr>
              <w:t>Retention</w:t>
            </w:r>
          </w:p>
        </w:tc>
        <w:tc>
          <w:tcPr>
            <w:tcW w:type="dxa" w:w="2340"/>
            <w:vAlign w:val="center"/>
          </w:tcPr>
          <w:p>
            <w:r>
              <w:rPr>
                <w:rFonts w:ascii="Times New Roman" w:hAnsi="Times New Roman"/>
                <w:sz w:val="21"/>
              </w:rPr>
              <w:t>Protect customer value</w:t>
            </w:r>
          </w:p>
        </w:tc>
        <w:tc>
          <w:tcPr>
            <w:tcW w:type="dxa" w:w="2340"/>
            <w:vAlign w:val="center"/>
          </w:tcPr>
          <w:p>
            <w:r>
              <w:rPr>
                <w:rFonts w:ascii="Times New Roman" w:hAnsi="Times New Roman"/>
                <w:sz w:val="21"/>
              </w:rPr>
              <w:t>Rising churn</w:t>
            </w:r>
          </w:p>
        </w:tc>
        <w:tc>
          <w:tcPr>
            <w:tcW w:type="dxa" w:w="2340"/>
            <w:vAlign w:val="center"/>
          </w:tcPr>
          <w:p>
            <w:r>
              <w:rPr>
                <w:rFonts w:ascii="Times New Roman" w:hAnsi="Times New Roman"/>
                <w:sz w:val="21"/>
              </w:rPr>
              <w:t>Prioritise at-risk accounts</w:t>
            </w:r>
          </w:p>
        </w:tc>
      </w:tr>
      <w:tr>
        <w:tc>
          <w:tcPr>
            <w:tcW w:type="dxa" w:w="2340"/>
            <w:vAlign w:val="center"/>
          </w:tcPr>
          <w:p>
            <w:r>
              <w:rPr>
                <w:rFonts w:ascii="Times New Roman" w:hAnsi="Times New Roman"/>
                <w:sz w:val="21"/>
              </w:rPr>
              <w:t>Strategic account growth</w:t>
            </w:r>
          </w:p>
        </w:tc>
        <w:tc>
          <w:tcPr>
            <w:tcW w:type="dxa" w:w="2340"/>
            <w:vAlign w:val="center"/>
          </w:tcPr>
          <w:p>
            <w:r>
              <w:rPr>
                <w:rFonts w:ascii="Times New Roman" w:hAnsi="Times New Roman"/>
                <w:sz w:val="21"/>
              </w:rPr>
              <w:t>Measure account development</w:t>
            </w:r>
          </w:p>
        </w:tc>
        <w:tc>
          <w:tcPr>
            <w:tcW w:type="dxa" w:w="2340"/>
            <w:vAlign w:val="center"/>
          </w:tcPr>
          <w:p>
            <w:r>
              <w:rPr>
                <w:rFonts w:ascii="Times New Roman" w:hAnsi="Times New Roman"/>
                <w:sz w:val="21"/>
              </w:rPr>
              <w:t>Flat / declining</w:t>
            </w:r>
          </w:p>
        </w:tc>
        <w:tc>
          <w:tcPr>
            <w:tcW w:type="dxa" w:w="2340"/>
            <w:vAlign w:val="center"/>
          </w:tcPr>
          <w:p>
            <w:r>
              <w:rPr>
                <w:rFonts w:ascii="Times New Roman" w:hAnsi="Times New Roman"/>
                <w:sz w:val="21"/>
              </w:rPr>
              <w:t>Review account plan and value proposition</w:t>
            </w:r>
          </w:p>
        </w:tc>
      </w:tr>
      <w:tr>
        <w:tc>
          <w:tcPr>
            <w:tcW w:type="dxa" w:w="2340"/>
            <w:vAlign w:val="center"/>
          </w:tcPr>
          <w:p>
            <w:r>
              <w:rPr>
                <w:rFonts w:ascii="Times New Roman" w:hAnsi="Times New Roman"/>
                <w:sz w:val="21"/>
              </w:rPr>
              <w:t>Customer satisfaction</w:t>
            </w:r>
          </w:p>
        </w:tc>
        <w:tc>
          <w:tcPr>
            <w:tcW w:type="dxa" w:w="2340"/>
            <w:vAlign w:val="center"/>
          </w:tcPr>
          <w:p>
            <w:r>
              <w:rPr>
                <w:rFonts w:ascii="Times New Roman" w:hAnsi="Times New Roman"/>
                <w:sz w:val="21"/>
              </w:rPr>
              <w:t>Monitor relationship quality</w:t>
            </w:r>
          </w:p>
        </w:tc>
        <w:tc>
          <w:tcPr>
            <w:tcW w:type="dxa" w:w="2340"/>
            <w:vAlign w:val="center"/>
          </w:tcPr>
          <w:p>
            <w:r>
              <w:rPr>
                <w:rFonts w:ascii="Times New Roman" w:hAnsi="Times New Roman"/>
                <w:sz w:val="21"/>
              </w:rPr>
              <w:t>Decline</w:t>
            </w:r>
          </w:p>
        </w:tc>
        <w:tc>
          <w:tcPr>
            <w:tcW w:type="dxa" w:w="2340"/>
            <w:vAlign w:val="center"/>
          </w:tcPr>
          <w:p>
            <w:r>
              <w:rPr>
                <w:rFonts w:ascii="Times New Roman" w:hAnsi="Times New Roman"/>
                <w:sz w:val="21"/>
              </w:rPr>
              <w:t>Investigate service and sales issues</w:t>
            </w:r>
          </w:p>
        </w:tc>
      </w:tr>
      <w:tr>
        <w:tc>
          <w:tcPr>
            <w:tcW w:type="dxa" w:w="2340"/>
            <w:vAlign w:val="center"/>
          </w:tcPr>
          <w:p>
            <w:r>
              <w:rPr>
                <w:rFonts w:ascii="Times New Roman" w:hAnsi="Times New Roman"/>
                <w:sz w:val="21"/>
              </w:rPr>
              <w:t>Ethical/compliance issues</w:t>
            </w:r>
          </w:p>
        </w:tc>
        <w:tc>
          <w:tcPr>
            <w:tcW w:type="dxa" w:w="2340"/>
            <w:vAlign w:val="center"/>
          </w:tcPr>
          <w:p>
            <w:r>
              <w:rPr>
                <w:rFonts w:ascii="Times New Roman" w:hAnsi="Times New Roman"/>
                <w:sz w:val="21"/>
              </w:rPr>
              <w:t>Protect trust and reputation</w:t>
            </w:r>
          </w:p>
        </w:tc>
        <w:tc>
          <w:tcPr>
            <w:tcW w:type="dxa" w:w="2340"/>
            <w:vAlign w:val="center"/>
          </w:tcPr>
          <w:p>
            <w:r>
              <w:rPr>
                <w:rFonts w:ascii="Times New Roman" w:hAnsi="Times New Roman"/>
                <w:sz w:val="21"/>
              </w:rPr>
              <w:t>Increase</w:t>
            </w:r>
          </w:p>
        </w:tc>
        <w:tc>
          <w:tcPr>
            <w:tcW w:type="dxa" w:w="2340"/>
            <w:vAlign w:val="center"/>
          </w:tcPr>
          <w:p>
            <w:r>
              <w:rPr>
                <w:rFonts w:ascii="Times New Roman" w:hAnsi="Times New Roman"/>
                <w:sz w:val="21"/>
              </w:rPr>
              <w:t>Escalate, train and correct incentives</w:t>
            </w:r>
          </w:p>
        </w:tc>
      </w:tr>
    </w:tbl>
    <w:sectPr w:rsidR="00FC693F" w:rsidRPr="0006063C" w:rsidSect="00034616">
      <w:footerReference w:type="default" r:id="rId9"/>
      <w:pgSz w:w="12240" w:h="15840"/>
      <w:pgMar w:top="1296"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pPr>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eastAsia="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eastAsia="Times New Roman"/>
      <w:b/>
      <w:bCs/>
      <w:color w:val="4F81BD" w:themeColor="accent1"/>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Times New Roman" w:hAnsi="Times New Roman" w:eastAsia="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Times New Roman" w:hAnsi="Times New Roman" w:eastAsia="Times New Roman"/>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