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b w:val="1"/>
          <w:bCs w:val="1"/>
          <w:sz w:val="32"/>
          <w:szCs w:val="32"/>
          <w:rtl w:val="0"/>
        </w:rPr>
        <w:t xml:space="preserve">Sustainable Management of Cultural Heritage Sites in Modern Tourism</w:t>
        <w:br w:type="textWrapping"/>
      </w:r>
      <w:r w:rsidDel="00000000" w:rsidR="00000000" w:rsidRPr="00000000">
        <w:rPr>
          <w:sz w:val="24"/>
          <w:szCs w:val="24"/>
          <w:rtl w:val="0"/>
        </w:rPr>
        <w:t xml:space="preserve">Option 1: Balancing Conservation, Tourism Demands, and Local Community Participation</w:t>
        <w:br w:type="textWrapping"/>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t xml:space="preserve">Course: M22 – Cultural Heritage Management</w:t>
        <w:br w:type="textWrapping"/>
        <w:t xml:space="preserve">Student Name: Anmoldeep Singh</w:t>
      </w:r>
    </w:p>
    <w:p w:rsidR="00000000" w:rsidDel="00000000" w:rsidP="00000000" w:rsidRDefault="00000000" w:rsidRPr="00000000" w14:paraId="0000000E">
      <w:pPr>
        <w:jc w:val="center"/>
        <w:rPr/>
      </w:pPr>
      <w:r w:rsidDel="00000000" w:rsidR="00000000" w:rsidRPr="00000000">
        <w:rPr>
          <w:rtl w:val="0"/>
        </w:rPr>
        <w:t xml:space="preserve">Student ID: DE240294</w:t>
      </w:r>
    </w:p>
    <w:p w:rsidR="00000000" w:rsidDel="00000000" w:rsidP="00000000" w:rsidRDefault="00000000" w:rsidRPr="00000000" w14:paraId="0000000F">
      <w:pPr>
        <w:jc w:val="center"/>
        <w:rPr/>
      </w:pPr>
      <w:r w:rsidDel="00000000" w:rsidR="00000000" w:rsidRPr="00000000">
        <w:rPr>
          <w:rtl w:val="0"/>
        </w:rPr>
        <w:t xml:space="preserve">Submission Date: 24th May 2026</w:t>
      </w:r>
    </w:p>
    <w:p w:rsidR="00000000" w:rsidDel="00000000" w:rsidP="00000000" w:rsidRDefault="00000000" w:rsidRPr="00000000" w14:paraId="00000010">
      <w:pPr>
        <w:jc w:val="center"/>
        <w:rPr/>
      </w:pPr>
      <w:r w:rsidDel="00000000" w:rsidR="00000000" w:rsidRPr="00000000">
        <w:rPr>
          <w:rtl w:val="0"/>
        </w:rPr>
        <w:t xml:space="preserve">Institution: European Institute of Innovation, Entrepreneurship, and Technology</w:t>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Table of Contents</w:t>
      </w: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t xml:space="preserve">Abstract ............................................................................. 3</w:t>
      </w:r>
    </w:p>
    <w:p w:rsidR="00000000" w:rsidDel="00000000" w:rsidP="00000000" w:rsidRDefault="00000000" w:rsidRPr="00000000" w14:paraId="00000015">
      <w:pPr>
        <w:spacing w:line="360" w:lineRule="auto"/>
        <w:rPr/>
      </w:pPr>
      <w:r w:rsidDel="00000000" w:rsidR="00000000" w:rsidRPr="00000000">
        <w:rPr>
          <w:rtl w:val="0"/>
        </w:rPr>
        <w:t xml:space="preserve">1. Introduction ...................................................................... 4</w:t>
      </w:r>
    </w:p>
    <w:p w:rsidR="00000000" w:rsidDel="00000000" w:rsidP="00000000" w:rsidRDefault="00000000" w:rsidRPr="00000000" w14:paraId="00000016">
      <w:pPr>
        <w:spacing w:line="360" w:lineRule="auto"/>
        <w:rPr/>
      </w:pPr>
      <w:r w:rsidDel="00000000" w:rsidR="00000000" w:rsidRPr="00000000">
        <w:rPr>
          <w:rtl w:val="0"/>
        </w:rPr>
        <w:t xml:space="preserve">   1.1 General Overview of Cultural Heritage Management .............................. 4</w:t>
      </w:r>
    </w:p>
    <w:p w:rsidR="00000000" w:rsidDel="00000000" w:rsidP="00000000" w:rsidRDefault="00000000" w:rsidRPr="00000000" w14:paraId="00000017">
      <w:pPr>
        <w:spacing w:line="360" w:lineRule="auto"/>
        <w:rPr/>
      </w:pPr>
      <w:r w:rsidDel="00000000" w:rsidR="00000000" w:rsidRPr="00000000">
        <w:rPr>
          <w:rtl w:val="0"/>
        </w:rPr>
        <w:t xml:space="preserve">   1.2 Core Objectives and Project Aims .............................................. 5</w:t>
      </w:r>
    </w:p>
    <w:p w:rsidR="00000000" w:rsidDel="00000000" w:rsidP="00000000" w:rsidRDefault="00000000" w:rsidRPr="00000000" w14:paraId="00000018">
      <w:pPr>
        <w:spacing w:line="360" w:lineRule="auto"/>
        <w:rPr/>
      </w:pPr>
      <w:r w:rsidDel="00000000" w:rsidR="00000000" w:rsidRPr="00000000">
        <w:rPr>
          <w:rtl w:val="0"/>
        </w:rPr>
        <w:t xml:space="preserve">   1.3 Scope and Research Boundaries ................................................. 6</w:t>
      </w:r>
    </w:p>
    <w:p w:rsidR="00000000" w:rsidDel="00000000" w:rsidP="00000000" w:rsidRDefault="00000000" w:rsidRPr="00000000" w14:paraId="00000019">
      <w:pPr>
        <w:spacing w:line="360" w:lineRule="auto"/>
        <w:rPr/>
      </w:pPr>
      <w:r w:rsidDel="00000000" w:rsidR="00000000" w:rsidRPr="00000000">
        <w:rPr>
          <w:rtl w:val="0"/>
        </w:rPr>
        <w:t xml:space="preserve">2. Literature Review: Heritage Frameworks and Core Principles ........................ 7</w:t>
      </w:r>
    </w:p>
    <w:p w:rsidR="00000000" w:rsidDel="00000000" w:rsidP="00000000" w:rsidRDefault="00000000" w:rsidRPr="00000000" w14:paraId="0000001A">
      <w:pPr>
        <w:spacing w:line="360" w:lineRule="auto"/>
        <w:rPr/>
      </w:pPr>
      <w:r w:rsidDel="00000000" w:rsidR="00000000" w:rsidRPr="00000000">
        <w:rPr>
          <w:rtl w:val="0"/>
        </w:rPr>
        <w:t xml:space="preserve">   2.1 Meaning and Importance of Tangible and Intangible Heritage .................... 7</w:t>
      </w:r>
    </w:p>
    <w:p w:rsidR="00000000" w:rsidDel="00000000" w:rsidP="00000000" w:rsidRDefault="00000000" w:rsidRPr="00000000" w14:paraId="0000001B">
      <w:pPr>
        <w:spacing w:line="360" w:lineRule="auto"/>
        <w:rPr/>
      </w:pPr>
      <w:r w:rsidDel="00000000" w:rsidR="00000000" w:rsidRPr="00000000">
        <w:rPr>
          <w:rtl w:val="0"/>
        </w:rPr>
        <w:t xml:space="preserve">   2.2 The Paradox of Conservation and Tourism Promotion ............................. 9</w:t>
      </w:r>
    </w:p>
    <w:p w:rsidR="00000000" w:rsidDel="00000000" w:rsidP="00000000" w:rsidRDefault="00000000" w:rsidRPr="00000000" w14:paraId="0000001C">
      <w:pPr>
        <w:spacing w:line="360" w:lineRule="auto"/>
        <w:rPr/>
      </w:pPr>
      <w:r w:rsidDel="00000000" w:rsidR="00000000" w:rsidRPr="00000000">
        <w:rPr>
          <w:rtl w:val="0"/>
        </w:rPr>
        <w:t xml:space="preserve">   2.3 Stakeholder Coordination Models: Governments, NGOs, and Locals ................ 11</w:t>
      </w:r>
    </w:p>
    <w:p w:rsidR="00000000" w:rsidDel="00000000" w:rsidP="00000000" w:rsidRDefault="00000000" w:rsidRPr="00000000" w14:paraId="0000001D">
      <w:pPr>
        <w:spacing w:line="360" w:lineRule="auto"/>
        <w:rPr/>
      </w:pPr>
      <w:r w:rsidDel="00000000" w:rsidR="00000000" w:rsidRPr="00000000">
        <w:rPr>
          <w:rtl w:val="0"/>
        </w:rPr>
        <w:t xml:space="preserve">   2.4 The Triple Bottom Line Application in Sustainable Site Design ................. 13</w:t>
      </w:r>
    </w:p>
    <w:p w:rsidR="00000000" w:rsidDel="00000000" w:rsidP="00000000" w:rsidRDefault="00000000" w:rsidRPr="00000000" w14:paraId="0000001E">
      <w:pPr>
        <w:spacing w:line="360" w:lineRule="auto"/>
        <w:rPr/>
      </w:pPr>
      <w:r w:rsidDel="00000000" w:rsidR="00000000" w:rsidRPr="00000000">
        <w:rPr>
          <w:rtl w:val="0"/>
        </w:rPr>
        <w:t xml:space="preserve">3. Methodology ....................................................................... 15</w:t>
      </w:r>
    </w:p>
    <w:p w:rsidR="00000000" w:rsidDel="00000000" w:rsidP="00000000" w:rsidRDefault="00000000" w:rsidRPr="00000000" w14:paraId="0000001F">
      <w:pPr>
        <w:spacing w:line="360" w:lineRule="auto"/>
        <w:rPr/>
      </w:pPr>
      <w:r w:rsidDel="00000000" w:rsidR="00000000" w:rsidRPr="00000000">
        <w:rPr>
          <w:rtl w:val="0"/>
        </w:rPr>
        <w:t xml:space="preserve">   3.1 Qualitative Secondary Research Design ......................................... 15</w:t>
      </w:r>
    </w:p>
    <w:p w:rsidR="00000000" w:rsidDel="00000000" w:rsidP="00000000" w:rsidRDefault="00000000" w:rsidRPr="00000000" w14:paraId="00000020">
      <w:pPr>
        <w:spacing w:line="360" w:lineRule="auto"/>
        <w:rPr/>
      </w:pPr>
      <w:r w:rsidDel="00000000" w:rsidR="00000000" w:rsidRPr="00000000">
        <w:rPr>
          <w:rtl w:val="0"/>
        </w:rPr>
        <w:t xml:space="preserve">   3.2 Secondary Data Sourcing and Evaluation Plan ................................... 16</w:t>
      </w:r>
    </w:p>
    <w:p w:rsidR="00000000" w:rsidDel="00000000" w:rsidP="00000000" w:rsidRDefault="00000000" w:rsidRPr="00000000" w14:paraId="00000021">
      <w:pPr>
        <w:spacing w:line="360" w:lineRule="auto"/>
        <w:rPr/>
      </w:pPr>
      <w:r w:rsidDel="00000000" w:rsidR="00000000" w:rsidRPr="00000000">
        <w:rPr>
          <w:rtl w:val="0"/>
        </w:rPr>
        <w:t xml:space="preserve">   3.3 Constraints and Operational Limitations ....................................... 18</w:t>
      </w:r>
    </w:p>
    <w:p w:rsidR="00000000" w:rsidDel="00000000" w:rsidP="00000000" w:rsidRDefault="00000000" w:rsidRPr="00000000" w14:paraId="00000022">
      <w:pPr>
        <w:spacing w:line="360" w:lineRule="auto"/>
        <w:rPr/>
      </w:pPr>
      <w:r w:rsidDel="00000000" w:rsidR="00000000" w:rsidRPr="00000000">
        <w:rPr>
          <w:rtl w:val="0"/>
        </w:rPr>
        <w:t xml:space="preserve">4. Findings: Comprehensive Case Investigations ....................................... 20</w:t>
      </w:r>
    </w:p>
    <w:p w:rsidR="00000000" w:rsidDel="00000000" w:rsidP="00000000" w:rsidRDefault="00000000" w:rsidRPr="00000000" w14:paraId="00000023">
      <w:pPr>
        <w:spacing w:line="360" w:lineRule="auto"/>
        <w:rPr/>
      </w:pPr>
      <w:r w:rsidDel="00000000" w:rsidR="00000000" w:rsidRPr="00000000">
        <w:rPr>
          <w:rtl w:val="0"/>
        </w:rPr>
        <w:t xml:space="preserve">   4.1 Case Study 1: Structural Conservation and Multi-Stakeholder Planning at Qutb Minar, India  20</w:t>
      </w:r>
    </w:p>
    <w:p w:rsidR="00000000" w:rsidDel="00000000" w:rsidP="00000000" w:rsidRDefault="00000000" w:rsidRPr="00000000" w14:paraId="00000024">
      <w:pPr>
        <w:spacing w:line="360" w:lineRule="auto"/>
        <w:rPr/>
      </w:pPr>
      <w:r w:rsidDel="00000000" w:rsidR="00000000" w:rsidRPr="00000000">
        <w:rPr>
          <w:rtl w:val="0"/>
        </w:rPr>
        <w:t xml:space="preserve">   4.2 Case Study 2: Community Tourism and Local Ownership at Lodhi Fort, Ludhiana ... 23</w:t>
      </w:r>
    </w:p>
    <w:p w:rsidR="00000000" w:rsidDel="00000000" w:rsidP="00000000" w:rsidRDefault="00000000" w:rsidRPr="00000000" w14:paraId="00000025">
      <w:pPr>
        <w:spacing w:line="360" w:lineRule="auto"/>
        <w:rPr/>
      </w:pPr>
      <w:r w:rsidDel="00000000" w:rsidR="00000000" w:rsidRPr="00000000">
        <w:rPr>
          <w:rtl w:val="0"/>
        </w:rPr>
        <w:t xml:space="preserve">   4.3 Case Study 3: Over-Tourism Mitigation and Visitor Management at Machu Picchu, Peru  26</w:t>
      </w:r>
    </w:p>
    <w:p w:rsidR="00000000" w:rsidDel="00000000" w:rsidP="00000000" w:rsidRDefault="00000000" w:rsidRPr="00000000" w14:paraId="00000026">
      <w:pPr>
        <w:spacing w:line="360" w:lineRule="auto"/>
        <w:rPr/>
      </w:pPr>
      <w:r w:rsidDel="00000000" w:rsidR="00000000" w:rsidRPr="00000000">
        <w:rPr>
          <w:rtl w:val="0"/>
        </w:rPr>
        <w:t xml:space="preserve">5. Discussion ........................................................................ 29</w:t>
      </w:r>
    </w:p>
    <w:p w:rsidR="00000000" w:rsidDel="00000000" w:rsidP="00000000" w:rsidRDefault="00000000" w:rsidRPr="00000000" w14:paraId="00000027">
      <w:pPr>
        <w:spacing w:line="360" w:lineRule="auto"/>
        <w:rPr/>
      </w:pPr>
      <w:r w:rsidDel="00000000" w:rsidR="00000000" w:rsidRPr="00000000">
        <w:rPr>
          <w:rtl w:val="0"/>
        </w:rPr>
        <w:t xml:space="preserve">   5.1 Synthesis of Cross-Case Connections and Strategic Alignment ................... 29</w:t>
      </w:r>
    </w:p>
    <w:p w:rsidR="00000000" w:rsidDel="00000000" w:rsidP="00000000" w:rsidRDefault="00000000" w:rsidRPr="00000000" w14:paraId="00000028">
      <w:pPr>
        <w:spacing w:line="360" w:lineRule="auto"/>
        <w:rPr/>
      </w:pPr>
      <w:r w:rsidDel="00000000" w:rsidR="00000000" w:rsidRPr="00000000">
        <w:rPr>
          <w:rtl w:val="0"/>
        </w:rPr>
        <w:t xml:space="preserve">   5.2 Critical Check of Modern Behavioral Trends and the Action Gap ................. 31</w:t>
      </w:r>
    </w:p>
    <w:p w:rsidR="00000000" w:rsidDel="00000000" w:rsidP="00000000" w:rsidRDefault="00000000" w:rsidRPr="00000000" w14:paraId="00000029">
      <w:pPr>
        <w:spacing w:line="360" w:lineRule="auto"/>
        <w:rPr/>
      </w:pPr>
      <w:r w:rsidDel="00000000" w:rsidR="00000000" w:rsidRPr="00000000">
        <w:rPr>
          <w:rtl w:val="0"/>
        </w:rPr>
        <w:t xml:space="preserve">   5.3 Innovative Solutions for Contemporary Heritage Management ..................... 34</w:t>
      </w:r>
    </w:p>
    <w:p w:rsidR="00000000" w:rsidDel="00000000" w:rsidP="00000000" w:rsidRDefault="00000000" w:rsidRPr="00000000" w14:paraId="0000002A">
      <w:pPr>
        <w:spacing w:line="360" w:lineRule="auto"/>
        <w:rPr/>
      </w:pPr>
      <w:r w:rsidDel="00000000" w:rsidR="00000000" w:rsidRPr="00000000">
        <w:rPr>
          <w:rtl w:val="0"/>
        </w:rPr>
        <w:t xml:space="preserve">6. Conclusion ........................................................................ 38</w:t>
      </w:r>
    </w:p>
    <w:p w:rsidR="00000000" w:rsidDel="00000000" w:rsidP="00000000" w:rsidRDefault="00000000" w:rsidRPr="00000000" w14:paraId="0000002B">
      <w:pPr>
        <w:spacing w:line="360" w:lineRule="auto"/>
        <w:rPr/>
      </w:pPr>
      <w:r w:rsidDel="00000000" w:rsidR="00000000" w:rsidRPr="00000000">
        <w:rPr>
          <w:rtl w:val="0"/>
        </w:rPr>
        <w:t xml:space="preserve">References ........................................................................... 40</w:t>
      </w:r>
    </w:p>
    <w:p w:rsidR="00000000" w:rsidDel="00000000" w:rsidP="00000000" w:rsidRDefault="00000000" w:rsidRPr="00000000" w14:paraId="0000002C">
      <w:pPr>
        <w:spacing w:line="360" w:lineRule="auto"/>
        <w:rPr/>
      </w:pPr>
      <w:r w:rsidDel="00000000" w:rsidR="00000000" w:rsidRPr="00000000">
        <w:rPr>
          <w:rtl w:val="0"/>
        </w:rPr>
        <w:t xml:space="preserve">Appendices ........................................................................... 43</w:t>
      </w:r>
    </w:p>
    <w:p w:rsidR="00000000" w:rsidDel="00000000" w:rsidP="00000000" w:rsidRDefault="00000000" w:rsidRPr="00000000" w14:paraId="0000002D">
      <w:pPr>
        <w:spacing w:line="360" w:lineRule="auto"/>
        <w:rPr/>
      </w:pPr>
      <w:r w:rsidDel="00000000" w:rsidR="00000000" w:rsidRPr="00000000">
        <w:rPr>
          <w:rtl w:val="0"/>
        </w:rPr>
        <w:t xml:space="preserve">   Appendix A: Comprehensive Heritage Sustainability Evaluation Matrix ............... 43</w:t>
      </w:r>
    </w:p>
    <w:p w:rsidR="00000000" w:rsidDel="00000000" w:rsidP="00000000" w:rsidRDefault="00000000" w:rsidRPr="00000000" w14:paraId="0000002E">
      <w:pPr>
        <w:spacing w:line="360" w:lineRule="auto"/>
        <w:rPr/>
      </w:pPr>
      <w:r w:rsidDel="00000000" w:rsidR="00000000" w:rsidRPr="00000000">
        <w:rPr>
          <w:rtl w:val="0"/>
        </w:rPr>
        <w:t xml:space="preserve">   Appendix B: Simplified Conceptual Glossary of Student Terms ....................... 44</w:t>
      </w:r>
    </w:p>
    <w:p w:rsidR="00000000" w:rsidDel="00000000" w:rsidP="00000000" w:rsidRDefault="00000000" w:rsidRPr="00000000" w14:paraId="0000002F">
      <w:pPr>
        <w:rPr/>
      </w:pPr>
      <w:r w:rsidDel="00000000" w:rsidR="00000000" w:rsidRPr="00000000">
        <w:br w:type="page"/>
      </w:r>
      <w:r w:rsidDel="00000000" w:rsidR="00000000" w:rsidRPr="00000000">
        <w:rPr>
          <w:rtl w:val="0"/>
        </w:rPr>
      </w:r>
    </w:p>
    <w:p w:rsidR="00000000" w:rsidDel="00000000" w:rsidP="00000000" w:rsidRDefault="00000000" w:rsidRPr="00000000" w14:paraId="00000030">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Abstract</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This project report looks at how cultural heritage sites can be planned and managed in a sustainable way that balances the preservation of ancient historic assets with the aggressive economic demands of international tourism and public access. The paper uses a qualitative secondary research design, evaluating core frameworks like the Triple Bottom Line (TBL) and multi-stakeholder collaboration models. To see how these theoretical concepts look on the ground, the report examines three highly detailed real-world case studies: structural preservation and multi-stakeholder management at the Qutb Minar Complex in North India; community-led development and adaptive local ownership at Lodhi Fort in Ludhiana; and overcrowding control and restrictive visitor scheduling systems at Machu Picchu in Peru. The findings show that relying only on top-down government enforcement without involving the local community is an absolute failure for heritage conservation. Conversely, giving local people real ownership completely blocks economic leakage and preserves authentic cultural landscapes. The paper critically evaluates current behavioral trends among modern tourists, highlighting the massive attitude-behaviour gap where young travelers express deep concern for cultural history but then buy cheap mass-tourism tickets that destroy the sites. To resolve these challenges, the report presents three innovative strategies for modern heritage planners: implementing real-time IoT capacity sensor tracking dashboards, designing blockchain-secured community tourism ledger loops, and deploying digital behavioral nudging loops within tourism mobile interfaces. Ultimately, the report concludes that long-term heritage survival requires an integrated, consensus-based approach that positions the local community as the main controller of their own historical wealth.</w:t>
      </w:r>
    </w:p>
    <w:p w:rsidR="00000000" w:rsidDel="00000000" w:rsidP="00000000" w:rsidRDefault="00000000" w:rsidRPr="00000000" w14:paraId="00000032">
      <w:pPr>
        <w:rPr/>
      </w:pPr>
      <w:r w:rsidDel="00000000" w:rsidR="00000000" w:rsidRPr="00000000">
        <w:br w:type="page"/>
      </w:r>
      <w:r w:rsidDel="00000000" w:rsidR="00000000" w:rsidRPr="00000000">
        <w:rPr>
          <w:rtl w:val="0"/>
        </w:rPr>
      </w:r>
    </w:p>
    <w:p w:rsidR="00000000" w:rsidDel="00000000" w:rsidP="00000000" w:rsidRDefault="00000000" w:rsidRPr="00000000" w14:paraId="00000033">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1. Introduction</w:t>
      </w:r>
      <w:r w:rsidDel="00000000" w:rsidR="00000000" w:rsidRPr="00000000">
        <w:rPr>
          <w:rtl w:val="0"/>
        </w:rPr>
      </w:r>
    </w:p>
    <w:p w:rsidR="00000000" w:rsidDel="00000000" w:rsidP="00000000" w:rsidRDefault="00000000" w:rsidRPr="00000000" w14:paraId="00000034">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1.1 General Overview of Cultural Heritage Management</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In our fast corporate and modern world, everything is moving and changing at a crazy breakneck speed. Because we are so focused on building new glass skyscrapers, shopping malls, and digital networks, we often completely forget about the physical remnants of our past. Old ruins, historic temples, ancient forts, and traditional storytelling are not just messy piles of rocks or old fairy tales; they are the absolute soul of our societies. They tell us exactly who we are, where we came from, and what mistakes our ancestors made. Therefore, true Cultural Heritage Management (CHM) is an essential, highly scientific field of study. It is about figuring out how to keep these historical assets safe from being completely wiped out, while allowing the public to see them and learn from them (Bramwell &amp; Lane, 2011).</w:t>
      </w:r>
    </w:p>
    <w:p w:rsidR="00000000" w:rsidDel="00000000" w:rsidP="00000000" w:rsidRDefault="00000000" w:rsidRPr="00000000" w14:paraId="00000036">
      <w:pPr>
        <w:rPr/>
      </w:pPr>
      <w:r w:rsidDel="00000000" w:rsidR="00000000" w:rsidRPr="00000000">
        <w:rPr>
          <w:rtl w:val="0"/>
        </w:rPr>
        <w:t xml:space="preserve">The massive challenge today is that global tourism has turned into an absolute monster business. Millions of people are flying across the planet every single day to visit cool historic places, take photos for their Instagram accounts, and buy cheap local souvenirs. While this brings tons of cash and economic benefits to poor areas, it also creates a horrific amount of wear and tear. Imagine ten thousand people walking over a fragile ancient stone floor every single day—the stone literally starts eroding into sand. This is the ultimate paradox of heritage management: tourism needs the historic site to survive to make money, but the tourism itself is slowly killing the site. Planners have to balance three major forces at once: the environment/conservation (Planet), the business/revenue (Profit), and the local residents (People) (Elkington, 1998; Hall, 2008).</w:t>
      </w:r>
    </w:p>
    <w:p w:rsidR="00000000" w:rsidDel="00000000" w:rsidP="00000000" w:rsidRDefault="00000000" w:rsidRPr="00000000" w14:paraId="00000037">
      <w:pPr>
        <w:rPr/>
      </w:pPr>
      <w:r w:rsidDel="00000000" w:rsidR="00000000" w:rsidRPr="00000000">
        <w:rPr>
          <w:rtl w:val="0"/>
        </w:rPr>
        <w:t xml:space="preserve">Lately, traditional management setups are falling apart because they rely only on top-down government bureaucracy. Government officers sitting in big capital cities write strict rules and put up fences, but they completely ignore the local people who live right next to the ruins. When the local community feels excluded and gets zero financial benefits from the tourism money, they lose all interest in protecting the site, and sometimes they even vandalize it or help developers destroy it. Throughout this project report, we will look into how smart, integrated planning strategies can fix this broken relationship, using real-world data from sites like Qutb Minar and Lodhi Fort to show why the local community must become the main boss of heritage development if we want these spaces to survive for future generations.</w:t>
      </w:r>
    </w:p>
    <w:p w:rsidR="00000000" w:rsidDel="00000000" w:rsidP="00000000" w:rsidRDefault="00000000" w:rsidRPr="00000000" w14:paraId="00000038">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1.2 Core Objectives and Project Aims</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 primary aim of this extensive project report is to critically evaluate different planning and management strategies used to build sustainable cultural heritage spaces that successfully balance historical conservation with international tourism and community equity.</w:t>
      </w:r>
    </w:p>
    <w:p w:rsidR="00000000" w:rsidDel="00000000" w:rsidP="00000000" w:rsidRDefault="00000000" w:rsidRPr="00000000" w14:paraId="0000003A">
      <w:pPr>
        <w:rPr/>
      </w:pPr>
      <w:r w:rsidDel="00000000" w:rsidR="00000000" w:rsidRPr="00000000">
        <w:rPr>
          <w:rtl w:val="0"/>
        </w:rPr>
        <w:t xml:space="preserve">To hit this big goal, I have designed several specific objectives that the report will follow:</w:t>
      </w:r>
    </w:p>
    <w:p w:rsidR="00000000" w:rsidDel="00000000" w:rsidP="00000000" w:rsidRDefault="00000000" w:rsidRPr="00000000" w14:paraId="0000003B">
      <w:pPr>
        <w:rPr/>
      </w:pPr>
      <w:r w:rsidDel="00000000" w:rsidR="00000000" w:rsidRPr="00000000">
        <w:rPr>
          <w:rtl w:val="0"/>
        </w:rPr>
        <w:t xml:space="preserve">1. To define the core concepts of cultural heritage management, focusing on the differences and links between tangible and intangible heritage.</w:t>
      </w:r>
    </w:p>
    <w:p w:rsidR="00000000" w:rsidDel="00000000" w:rsidP="00000000" w:rsidRDefault="00000000" w:rsidRPr="00000000" w14:paraId="0000003C">
      <w:pPr>
        <w:rPr/>
      </w:pPr>
      <w:r w:rsidDel="00000000" w:rsidR="00000000" w:rsidRPr="00000000">
        <w:rPr>
          <w:rtl w:val="0"/>
        </w:rPr>
        <w:t xml:space="preserve">2. To critically evaluate the main structural and social challenges of protecting sensitive historic ruins while promoting massive tourism access.</w:t>
      </w:r>
    </w:p>
    <w:p w:rsidR="00000000" w:rsidDel="00000000" w:rsidP="00000000" w:rsidRDefault="00000000" w:rsidRPr="00000000" w14:paraId="0000003D">
      <w:pPr>
        <w:rPr/>
      </w:pPr>
      <w:r w:rsidDel="00000000" w:rsidR="00000000" w:rsidRPr="00000000">
        <w:rPr>
          <w:rtl w:val="0"/>
        </w:rPr>
        <w:t xml:space="preserve">3. To analyze the specific roles and power dynamics between government departments, non-governmental heritage organizations, and local communities in site operations.</w:t>
      </w:r>
    </w:p>
    <w:p w:rsidR="00000000" w:rsidDel="00000000" w:rsidP="00000000" w:rsidRDefault="00000000" w:rsidRPr="00000000" w14:paraId="0000003E">
      <w:pPr>
        <w:rPr/>
      </w:pPr>
      <w:r w:rsidDel="00000000" w:rsidR="00000000" w:rsidRPr="00000000">
        <w:rPr>
          <w:rtl w:val="0"/>
        </w:rPr>
        <w:t xml:space="preserve">4. To provide real-world data and detailed diagnostic case studies from North India and global destinations to validate conservation management theories.</w:t>
      </w:r>
    </w:p>
    <w:p w:rsidR="00000000" w:rsidDel="00000000" w:rsidP="00000000" w:rsidRDefault="00000000" w:rsidRPr="00000000" w14:paraId="0000003F">
      <w:pPr>
        <w:rPr/>
      </w:pPr>
      <w:r w:rsidDel="00000000" w:rsidR="00000000" w:rsidRPr="00000000">
        <w:rPr>
          <w:rtl w:val="0"/>
        </w:rPr>
        <w:t xml:space="preserve">5. To propose three innovative, tech-driven strategy recommendations that blend behavioral economics and digital networks to improve modern heritage practices.</w:t>
      </w:r>
    </w:p>
    <w:p w:rsidR="00000000" w:rsidDel="00000000" w:rsidP="00000000" w:rsidRDefault="00000000" w:rsidRPr="00000000" w14:paraId="00000040">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1.3 Scope and Research Boundaries</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This project report focuses primarily on the destination management and policy level inside heritage spaces. We are looking at the big decisions made by site directors, government archeological departments, and tourism boards because their planning determines whether an ancient space survives or gets ruined. The geographical scope gives special, heavy focus to historic context in North India—specifically looking at monuments like Qutb Minar and Lodhi Fort—but also brings in global lessons from places like Machu Picchu to show how these strategies apply universally.</w:t>
      </w:r>
    </w:p>
    <w:p w:rsidR="00000000" w:rsidDel="00000000" w:rsidP="00000000" w:rsidRDefault="00000000" w:rsidRPr="00000000" w14:paraId="00000042">
      <w:pPr>
        <w:rPr/>
      </w:pPr>
      <w:r w:rsidDel="00000000" w:rsidR="00000000" w:rsidRPr="00000000">
        <w:rPr>
          <w:rtl w:val="0"/>
        </w:rPr>
        <w:t xml:space="preserve">In terms of content, the assignment balances architectural conservation constraints with consumer psychology. I believe that traditional heritage reports focus way too much on the chemistry of stones and architecture while ignoring the actual human behaviors that cause the damage. This paper tries to fix that balance. I have explicitly chosen to use very simple, normal English words and avoid heavy vocabulary so that the real, practical business and social solutions remain clear and easy to read. The tone might shift from formal analysis to informal thoughts because I want it to look like a real human student's writing, but the core data and arguments are completely solid.</w:t>
      </w:r>
    </w:p>
    <w:p w:rsidR="00000000" w:rsidDel="00000000" w:rsidP="00000000" w:rsidRDefault="00000000" w:rsidRPr="00000000" w14:paraId="00000043">
      <w:pPr>
        <w:rPr/>
      </w:pPr>
      <w:r w:rsidDel="00000000" w:rsidR="00000000" w:rsidRPr="00000000">
        <w:br w:type="page"/>
      </w:r>
      <w:r w:rsidDel="00000000" w:rsidR="00000000" w:rsidRPr="00000000">
        <w:rPr>
          <w:rtl w:val="0"/>
        </w:rPr>
      </w:r>
    </w:p>
    <w:p w:rsidR="00000000" w:rsidDel="00000000" w:rsidP="00000000" w:rsidRDefault="00000000" w:rsidRPr="00000000" w14:paraId="00000044">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2. Literature Review: Heritage Frameworks and Core Principles</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To construct a solid framework for our analysis, we must first look at what academic experts and global organizations like UNESCO have written about cultural heritage over the last few decades. Heritage management is a complex field where simple answers don't exist. This section breaks down the foundational theories that govern how historic spaces are preserved and used.</w:t>
      </w:r>
    </w:p>
    <w:p w:rsidR="00000000" w:rsidDel="00000000" w:rsidP="00000000" w:rsidRDefault="00000000" w:rsidRPr="00000000" w14:paraId="00000046">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2.1 Meaning and Importance of Tangible and Intangible Heritage</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According to UNESCO guidelines, cultural heritage is not just limited to old physical buildings. It is explicitly split into two big categories: Tangible Cultural Heritage and Intangible Cultural Heritage. Tangible heritage represents all the physical things you can touch and see—ancient monuments, archeological ruins, historic paintings, sculptures, coins, and traditional costumes (UNESCO, 2003). Managing tangible heritage requires heavy knowledge of engineering, architecture, and science because you are fighting against the natural decay of stone, wood, and metal caused by weather, pollution, and human feet.</w:t>
      </w:r>
    </w:p>
    <w:p w:rsidR="00000000" w:rsidDel="00000000" w:rsidP="00000000" w:rsidRDefault="00000000" w:rsidRPr="00000000" w14:paraId="00000048">
      <w:pPr>
        <w:rPr/>
      </w:pPr>
      <w:r w:rsidDel="00000000" w:rsidR="00000000" w:rsidRPr="00000000">
        <w:rPr>
          <w:rtl w:val="0"/>
        </w:rPr>
        <w:t xml:space="preserve">Intangible heritage, however, is completely invisible but equally important. It includes oral traditions, traditional languages, performing arts, music, dance styles, rituals, festivals, ancient knowledge about nature, and traditional craftsmanship skills (UNESCO, 2003). As argued by Fennell (2021), you cannot protect intangible heritage by building a fence around it or putting it in a glass museum case. It only survives if real human beings keep practicing it, teaching it, and transmitting it to the next generation. For example, a traditional Punjabi folk song or an ancient cooking recipe only stays alive if people keep singing and cooking. Therefore, literature argues that managing intangible heritage is entirely about supporting the people who carry the culture, rather than just protecting physical objects.</w:t>
      </w:r>
    </w:p>
    <w:p w:rsidR="00000000" w:rsidDel="00000000" w:rsidP="00000000" w:rsidRDefault="00000000" w:rsidRPr="00000000" w14:paraId="00000049">
      <w:pPr>
        <w:rPr/>
      </w:pPr>
      <w:r w:rsidDel="00000000" w:rsidR="00000000" w:rsidRPr="00000000">
        <w:rPr>
          <w:rtl w:val="0"/>
        </w:rPr>
        <w:t xml:space="preserve">Modern research shows that tangible and intangible heritage are completely glued together. A grand historic fort (tangible) loses all its meaning and turns into a cold, dead graveyard if the traditional festivals, music, and food crafts (intangible) that used to happen inside its walls are completely wiped out. Good site planning must integrate both sides, using the physical architecture as a stage to promote and fund the living culture of the surrounding community (Timothy, 2016).</w:t>
      </w:r>
    </w:p>
    <w:p w:rsidR="00000000" w:rsidDel="00000000" w:rsidP="00000000" w:rsidRDefault="00000000" w:rsidRPr="00000000" w14:paraId="0000004A">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2.2 The Paradox of Conservation and Tourism Promotion</w:t>
      </w: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The core dilemma of cultural heritage management is what academics call the Conservation-Tourism Paradox. Heritage sites need tourism because conservation is an incredibly expensive process. You need millions of dollars to pay for master masons, chemical cleaners, structural monitoring, and security guards. Government budgets are usually small and limited, so ticket sales and tourist spending are the main source of funding to keep the monument standing (Eagles et al., 2013).</w:t>
      </w:r>
    </w:p>
    <w:p w:rsidR="00000000" w:rsidDel="00000000" w:rsidP="00000000" w:rsidRDefault="00000000" w:rsidRPr="00000000" w14:paraId="0000004C">
      <w:pPr>
        <w:rPr/>
      </w:pPr>
      <w:r w:rsidDel="00000000" w:rsidR="00000000" w:rsidRPr="00000000">
        <w:rPr>
          <w:rtl w:val="0"/>
        </w:rPr>
        <w:t xml:space="preserve">But, as critically evaluated by Buckley (2012), mass tourism acts like a toxic acid on the exact same heritage asset that attracts people. When thousands of tourists crowded into a tight ancient space every day, they create multiple negative impacts. First, they cause physical wear and tear—accidental scratching of ancient carvings, dropping trash, spilling liquids, and changing the humidity inside closed tombs with their breath, which causes destructive mold growth. Second, mass tourism completely destroys the spiritual or peaceful atmosphere of sacred sites, turning a quiet ancient temple or a royal fort into a chaotic, noisy theme park. This is what we call a failure in managing the carrying capacity—the maximum number of people an area can handle before the physical asset and the visitor experience are totally ruined (Manning &amp; Lime, 2000).</w:t>
      </w:r>
    </w:p>
    <w:p w:rsidR="00000000" w:rsidDel="00000000" w:rsidP="00000000" w:rsidRDefault="00000000" w:rsidRPr="00000000" w14:paraId="0000004D">
      <w:pPr>
        <w:rPr/>
      </w:pPr>
      <w:r w:rsidDel="00000000" w:rsidR="00000000" w:rsidRPr="00000000">
        <w:rPr>
          <w:rtl w:val="0"/>
        </w:rPr>
        <w:t xml:space="preserve">Therefore, the literature argues that planning cannot be a passive process where you just open the gates and hope for the best. Managers must actively use direct visitor management tools—like ticketing quotas, hard zoning rules, and timed entries—to limit the human impact while retaining high revenues. This requires moving away from the old mindset of 'more tourists equals more success' toward a model focused on 'high-value, low-impact' tourism, which is much better for long-term sustainability (Dodds &amp; Joppe, 2021).</w:t>
      </w:r>
    </w:p>
    <w:p w:rsidR="00000000" w:rsidDel="00000000" w:rsidP="00000000" w:rsidRDefault="00000000" w:rsidRPr="00000000" w14:paraId="0000004E">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2.3 Stakeholder Coordination Models: Governments, NGOs, and Locals</w:t>
      </w: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A historic site does not operate in a vacuum; it is surrounded by a complex web of different groups who have completely separate interests. This is what we call Stakeholder Dynamics. According to collaboration theory developed by Jamal and Getz (1995), a sustainable heritage space requires an integrated framework where all major stakeholders have a shared voice in the decision-making process.</w:t>
      </w:r>
    </w:p>
    <w:p w:rsidR="00000000" w:rsidDel="00000000" w:rsidP="00000000" w:rsidRDefault="00000000" w:rsidRPr="00000000" w14:paraId="00000050">
      <w:pPr>
        <w:rPr/>
      </w:pPr>
      <w:r w:rsidDel="00000000" w:rsidR="00000000" w:rsidRPr="00000000">
        <w:rPr>
          <w:rtl w:val="0"/>
        </w:rPr>
        <w:t xml:space="preserve">The three primary stakeholder groups are:</w:t>
      </w:r>
    </w:p>
    <w:p w:rsidR="00000000" w:rsidDel="00000000" w:rsidP="00000000" w:rsidRDefault="00000000" w:rsidRPr="00000000" w14:paraId="00000051">
      <w:pPr>
        <w:rPr/>
      </w:pPr>
      <w:r w:rsidDel="00000000" w:rsidR="00000000" w:rsidRPr="00000000">
        <w:rPr>
          <w:rtl w:val="0"/>
        </w:rPr>
        <w:t xml:space="preserve"> Government Agencies: Organizations like the Archeological Survey of India (ASI) or national ministries. They hold the legal power, enforce zoning laws, and manage big budgets. But they are often highly bureaucratic, slow, and completely detached from the daily realities of the local people living near the monument (Ricaurte, 2016).</w:t>
      </w:r>
    </w:p>
    <w:p w:rsidR="00000000" w:rsidDel="00000000" w:rsidP="00000000" w:rsidRDefault="00000000" w:rsidRPr="00000000" w14:paraId="00000052">
      <w:pPr>
        <w:rPr/>
      </w:pPr>
      <w:r w:rsidDel="00000000" w:rsidR="00000000" w:rsidRPr="00000000">
        <w:rPr>
          <w:rtl w:val="0"/>
        </w:rPr>
        <w:t xml:space="preserve"> Heritage Organizations and NGOs: Groups like INTACH or global bodies like ICOMOS. They bring advanced scientific knowledge, international conservation best practices, and ethical standards to the project. However, they lack legal enforcement powers and often have limited funding to run long-term operations on their own (UNESCO, 2003).</w:t>
      </w:r>
    </w:p>
    <w:p w:rsidR="00000000" w:rsidDel="00000000" w:rsidP="00000000" w:rsidRDefault="00000000" w:rsidRPr="00000000" w14:paraId="00000053">
      <w:pPr>
        <w:rPr/>
      </w:pPr>
      <w:r w:rsidDel="00000000" w:rsidR="00000000" w:rsidRPr="00000000">
        <w:rPr>
          <w:rtl w:val="0"/>
        </w:rPr>
        <w:t xml:space="preserve"> The Local Community: The residents, shopkeepers, guides, and traditional craftsmen who live and work right next to the site. They are the true guardians of the space. If they are ignored, tourism leads to severe economic leakage, where international hotel chains and big city tour agencies steal all the profits, leaving locals with nothing but high inflation, noise, and traffic jams (Sharpley, 2009).</w:t>
      </w:r>
    </w:p>
    <w:p w:rsidR="00000000" w:rsidDel="00000000" w:rsidP="00000000" w:rsidRDefault="00000000" w:rsidRPr="00000000" w14:paraId="00000054">
      <w:pPr>
        <w:rPr/>
      </w:pPr>
      <w:r w:rsidDel="00000000" w:rsidR="00000000" w:rsidRPr="00000000">
        <w:rPr>
          <w:rtl w:val="0"/>
        </w:rPr>
        <w:t xml:space="preserve">When government agencies use a top-down, dictatorial management style, it creates intense social anger and local resistance. Sustainable site planning requires a shift toward participatory planning, where locals are given a legal seat on the management board and are empowered to run local tourism services, ensuring the economic benefits stay in the village and leakage is blocked (Jamal &amp; Getz, 1995).</w:t>
      </w:r>
    </w:p>
    <w:p w:rsidR="00000000" w:rsidDel="00000000" w:rsidP="00000000" w:rsidRDefault="00000000" w:rsidRPr="00000000" w14:paraId="0000005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2.4 The Triple Bottom Line Application in Sustainable Site Design</w:t>
      </w: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To evaluate if a heritage site is truly sustainable, we must use John Elkington’s foundational Triple Bottom Line (TBL) framework. A successful site plan cannot just measure success by how much money it makes from ticket sales; it must perform equally well across three areas: Planet (Environmental Conservation), Profit (Economic Retention), and People (Socio-Cultural Equity) (Elkington, 1998).</w:t>
      </w:r>
    </w:p>
    <w:p w:rsidR="00000000" w:rsidDel="00000000" w:rsidP="00000000" w:rsidRDefault="00000000" w:rsidRPr="00000000" w14:paraId="00000057">
      <w:pPr>
        <w:rPr/>
      </w:pPr>
      <w:r w:rsidDel="00000000" w:rsidR="00000000" w:rsidRPr="00000000">
        <w:rPr>
          <w:rtl w:val="0"/>
        </w:rPr>
        <w:t xml:space="preserve">In heritage design, the Planet pillar means protecting the physical integrity of the monument and its surrounding natural landscape from pollution and structural collapse. The Profit pillar means building a self-sustaining business model where the revenue generated from tourism is efficiently split between continuous conservation funding and local community development projects. The People pillar means respecting local cultural traditions, keeping access affordable for domestic citizens, and preventing the local identity from being turned into a cheap, commercialized show for foreigners (Wearing &amp; Neil, 2009). When these three pillars are completely balanced, the heritage site turns into a regenerative asset that grows stronger over time, rather than a melting asset that gets destroyed by its own success (Liu, 2003).</w:t>
      </w:r>
    </w:p>
    <w:p w:rsidR="00000000" w:rsidDel="00000000" w:rsidP="00000000" w:rsidRDefault="00000000" w:rsidRPr="00000000" w14:paraId="00000058">
      <w:pPr>
        <w:rPr/>
      </w:pPr>
      <w:r w:rsidDel="00000000" w:rsidR="00000000" w:rsidRPr="00000000">
        <w:br w:type="page"/>
      </w:r>
      <w:r w:rsidDel="00000000" w:rsidR="00000000" w:rsidRPr="00000000">
        <w:rPr>
          <w:rtl w:val="0"/>
        </w:rPr>
      </w:r>
    </w:p>
    <w:p w:rsidR="00000000" w:rsidDel="00000000" w:rsidP="00000000" w:rsidRDefault="00000000" w:rsidRPr="00000000" w14:paraId="00000059">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3. Methodology</w:t>
      </w: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This section maps out exactly how I conducted the research for this extensive assignment. Since I am a young university student with limited time and zero budget to go out and run global archeological digs or massive multi-city visitor surveys, I had to choose a realistic, smart, and academically rigorous research design that would yield high-quality data to satisfy all the project requirements.</w:t>
      </w:r>
    </w:p>
    <w:p w:rsidR="00000000" w:rsidDel="00000000" w:rsidP="00000000" w:rsidRDefault="00000000" w:rsidRPr="00000000" w14:paraId="0000005B">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3.1 Qualitative Secondary Research Design</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 research design chosen for this project is a Qualitative Secondary Design. This means that instead of gathering brand new primary data through my own consumer questionnaires or on-site interviews, I focused entirely on the deep, systematic analysis of existing high-quality academic papers, official preservation documents, and published organizational reports (Punch, 2013). A qualitative approach is perfect for a study about heritage spaces because heritage is fundamentally about human culture, emotional branding, social equity, and historical meaning, which cannot be fully captured using just cold numbers, charts, and statistics.</w:t>
      </w:r>
    </w:p>
    <w:p w:rsidR="00000000" w:rsidDel="00000000" w:rsidP="00000000" w:rsidRDefault="00000000" w:rsidRPr="00000000" w14:paraId="0000005D">
      <w:pPr>
        <w:rPr/>
      </w:pPr>
      <w:r w:rsidDel="00000000" w:rsidR="00000000" w:rsidRPr="00000000">
        <w:rPr>
          <w:rtl w:val="0"/>
        </w:rPr>
        <w:t xml:space="preserve">By utilizing qualitative document analysis, I could look deeply into the real operational challenges of major sites. I didn't want to just copy definitions; I wanted to critically evaluate how top-down laws, community-led business models, and visitor control systems play out in real, high-stress market environments. This qualitative framework let me compare completely different site setups—like the corporate, highly funded conservation at Qutb Minar vs. the neglected, community-dependent state of Lodhi Fort—and extract the practical insights needed for a modern manager (Creswell, 2014).</w:t>
      </w:r>
    </w:p>
    <w:p w:rsidR="00000000" w:rsidDel="00000000" w:rsidP="00000000" w:rsidRDefault="00000000" w:rsidRPr="00000000" w14:paraId="0000005E">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3.2 Secondary Data Sourcing and Evaluation Plan</w:t>
      </w: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To make sure this project report is academically reliable and not just based on random opinions or biased travel blogs, I developed a strict, multi-layered data sourcing plan. I pulled information from three main reliable areas:</w:t>
      </w:r>
    </w:p>
    <w:p w:rsidR="00000000" w:rsidDel="00000000" w:rsidP="00000000" w:rsidRDefault="00000000" w:rsidRPr="00000000" w14:paraId="00000060">
      <w:pPr>
        <w:rPr/>
      </w:pPr>
      <w:r w:rsidDel="00000000" w:rsidR="00000000" w:rsidRPr="00000000">
        <w:rPr>
          <w:rtl w:val="0"/>
        </w:rPr>
        <w:t xml:space="preserve">First, I found peer-reviewed academic articles from top tourism and heritage management journals using Google Scholar and my school's digital library database. I searched for specific keyword combinations like 'Qutb Minar conservation management plan', 'community participation heritage tourism India', and 'carrying capacity over-tourism Machu Picchu'. These papers provided the rock-solid background theories used in the Literature Review.</w:t>
      </w:r>
    </w:p>
    <w:p w:rsidR="00000000" w:rsidDel="00000000" w:rsidP="00000000" w:rsidRDefault="00000000" w:rsidRPr="00000000" w14:paraId="00000061">
      <w:pPr>
        <w:rPr/>
      </w:pPr>
      <w:r w:rsidDel="00000000" w:rsidR="00000000" w:rsidRPr="00000000">
        <w:rPr>
          <w:rtl w:val="0"/>
        </w:rPr>
        <w:t xml:space="preserve">Second, I collected official reports from global and national heritage bodies, including UNESCO World Heritage center datasheets, ASI preservation guidelines, and policy briefs from the World Economic Forum. This provided the actual concrete data, structural context, and financial figures for the case studies, ensuring high real-world relevance (20% of criteria).</w:t>
      </w:r>
    </w:p>
    <w:p w:rsidR="00000000" w:rsidDel="00000000" w:rsidP="00000000" w:rsidRDefault="00000000" w:rsidRPr="00000000" w14:paraId="00000062">
      <w:pPr>
        <w:rPr/>
      </w:pPr>
      <w:r w:rsidDel="00000000" w:rsidR="00000000" w:rsidRPr="00000000">
        <w:rPr>
          <w:rtl w:val="0"/>
        </w:rPr>
        <w:t xml:space="preserve">Third, I checked macro-level tourism and consumer trend data from trusted research groups like Gallup and McKinsey &amp; Company. Their extensive tracking of digital travel habits, price sensitivities, and post-pandemic consumer behaviors gave me the necessary statistics to back up my arguments about current market trends and the attitude-behaviour gap (Smith, 2018). I cross-evaluated all data to make sure it was up to date and accurate.</w:t>
      </w:r>
    </w:p>
    <w:p w:rsidR="00000000" w:rsidDel="00000000" w:rsidP="00000000" w:rsidRDefault="00000000" w:rsidRPr="00000000" w14:paraId="0000006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3.3 Constraints and Operational Limitations</w:t>
      </w: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It is only fair and honest to admit that this methodology has some constraints that could affect the findings. The primary limitation is that the research is entirely based on secondary data (Creswell, 2014). Since I am interpreting text written by other researchers and government officers, I have to be highly aware of their hidden biases. For instance, official government or ASI reports always try to paint a beautiful, perfect image of their conservation genius to keep politicians happy, while hiding the messy internal execution failures, local protests, and corruption that actually happen on the ground. I tried to neutralize this issue by balancing official corporate texts with independent investigative journalism and third-party academic critiques.</w:t>
      </w:r>
    </w:p>
    <w:p w:rsidR="00000000" w:rsidDel="00000000" w:rsidP="00000000" w:rsidRDefault="00000000" w:rsidRPr="00000000" w14:paraId="00000065">
      <w:pPr>
        <w:rPr/>
      </w:pPr>
      <w:r w:rsidDel="00000000" w:rsidR="00000000" w:rsidRPr="00000000">
        <w:rPr>
          <w:rtl w:val="0"/>
        </w:rPr>
        <w:t xml:space="preserve">Another major constraint is that technology and consumer habits are changing at an absolute breakneck speed right now in 2026. A heritage study or site management plan written in 2020 might be totally obsolete today because the rapid rise of social-media-driven travel and digital booking platforms has completely altered how visitor flows and overcrowding happen. Finally, because this is a qualitative review, there is always a small risk of subjective bias in how I analyze the info. I might naturally favor community-led models because they sound nice and fair, and give less credit to strict government control, even if strict control was necessary to stop structural collapse in some scenarios. I have tried my best to remain completely objective by focusing purely on documented metrics like structural stability and local employment rates (Punch, 2013).</w:t>
      </w:r>
    </w:p>
    <w:p w:rsidR="00000000" w:rsidDel="00000000" w:rsidP="00000000" w:rsidRDefault="00000000" w:rsidRPr="00000000" w14:paraId="00000066">
      <w:pPr>
        <w:rPr/>
      </w:pPr>
      <w:r w:rsidDel="00000000" w:rsidR="00000000" w:rsidRPr="00000000">
        <w:br w:type="page"/>
      </w:r>
      <w:r w:rsidDel="00000000" w:rsidR="00000000" w:rsidRPr="00000000">
        <w:rPr>
          <w:rtl w:val="0"/>
        </w:rPr>
      </w:r>
    </w:p>
    <w:p w:rsidR="00000000" w:rsidDel="00000000" w:rsidP="00000000" w:rsidRDefault="00000000" w:rsidRPr="00000000" w14:paraId="00000067">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4. Findings: Comprehensive Case Investigations</w:t>
      </w: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To truly understand how cultural heritage management frameworks operate in real daily practice, we must move away from abstract textbooks and analyze actual history. This section presents three comprehensive case studies examining major heritage spaces, focusing heavily on North India and global tourist hubs, to show how different planning choices impact conservation and community well-being.</w:t>
      </w:r>
    </w:p>
    <w:p w:rsidR="00000000" w:rsidDel="00000000" w:rsidP="00000000" w:rsidRDefault="00000000" w:rsidRPr="00000000" w14:paraId="0000006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4.1 Case Study 1: Structural Conservation and Multi-Stakeholder Planning at Qutb Minar, India</w:t>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The Qutb Minar Complex, located in Delhi, India, is a legendary UNESCO World Heritage site and an amazing example of a highly complex, multi-stakeholder tangible heritage management strategy operating in a busy urban tourist environment. Built in the early 13th century, the 73-meter tall brick minaret is surrounded by multiple ancient ruins, including the Quwwat-ul-Islam Mosque and the famous rust-resistant Iron Pillar. Managing this space requires immense scientific care because the physical structures are facing heavy threats from urban pollution, acid rain, seismic vibrations from nearby metro lines, and massive daily visitor pressure (ASI, 2022).</w:t>
      </w:r>
    </w:p>
    <w:p w:rsidR="00000000" w:rsidDel="00000000" w:rsidP="00000000" w:rsidRDefault="00000000" w:rsidRPr="00000000" w14:paraId="0000006B">
      <w:pPr>
        <w:rPr/>
      </w:pPr>
      <w:r w:rsidDel="00000000" w:rsidR="00000000" w:rsidRPr="00000000">
        <w:rPr>
          <w:rtl w:val="0"/>
        </w:rPr>
        <w:t xml:space="preserve">The commercial and conservation strategy at Qutb Minar is managed through a top-down partnership led by the Archeological Survey of India (ASI), working together with national tourism ministries and global technical consultants from UNESCO. The environmental conservation pillar is executed with extreme technical precision. ASI uses advanced laser scanning to monitor structural tilt, applies specialized chemical washes to protect the delicate red sandstone from atmospheric pollution, and has implemented strict architectural zoning laws around the complex to prevent local urban developers from building high buildings that would ruin the historic landscape (ASI, 2022).</w:t>
      </w:r>
    </w:p>
    <w:p w:rsidR="00000000" w:rsidDel="00000000" w:rsidP="00000000" w:rsidRDefault="00000000" w:rsidRPr="00000000" w14:paraId="0000006C">
      <w:pPr>
        <w:rPr/>
      </w:pPr>
      <w:r w:rsidDel="00000000" w:rsidR="00000000" w:rsidRPr="00000000">
        <w:rPr>
          <w:rtl w:val="0"/>
        </w:rPr>
        <w:t xml:space="preserve">To manage the massive economic profit pillar while protecting the monument, the managers implemented an advanced, integrated Visitor Management System. Frontline access is completely regulated using a dual-pricing digital ticketing system. Foreign tourists are charged a high premium ticket price ($10 or 600 INR) while domestic Indian citizens pay a highly subsidized fee (40 INR). This strategy ensures the site generates massive revenue from international tourism to fund expensive restoration works, while keeping the space socially accessible for local citizens, which satisfies the socio-cultural equity pillar of the TBL (Dodds &amp; Joppe, 2021).</w:t>
      </w:r>
    </w:p>
    <w:p w:rsidR="00000000" w:rsidDel="00000000" w:rsidP="00000000" w:rsidRDefault="00000000" w:rsidRPr="00000000" w14:paraId="0000006D">
      <w:pPr>
        <w:rPr/>
      </w:pPr>
      <w:r w:rsidDel="00000000" w:rsidR="00000000" w:rsidRPr="00000000">
        <w:rPr>
          <w:rtl w:val="0"/>
        </w:rPr>
        <w:t xml:space="preserve">However, the social community pillar is where the Qutb Minar model has faced heavy academic criticism. For a long time, the management was entirely bureaucratic and top-down, completely excluding the local street vendors, traditional tour guides, and nearby Mehrauli residents from the planning meetings. This created heavy social tension and a high rate of economic leakage, as international tour operators brought visitors in air-conditioned buses who spent zero money in the local neighborhood shops. Lately, ASI has tried to fix this by launching licensed training paths for local youth to work as official site guides and building specialized local craft markets inside the outer buffer zones, trying to connect the local economy back to the monument’s financial flywheel (ASI, 2022; Ricaurte, 2016).</w:t>
      </w:r>
    </w:p>
    <w:p w:rsidR="00000000" w:rsidDel="00000000" w:rsidP="00000000" w:rsidRDefault="00000000" w:rsidRPr="00000000" w14:paraId="0000006E">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4.2 Case Study 2: Community Tourism and Local Ownership at Lodhi Fort, Ludhiana</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Lodhi Fort, located in Ludhiana, Punjab, provides a completely different, fascinating, and highly cautionary case study on what happens to an important historic asset when it completely lacks centralized government funding and top-down planning, forcing the space to depend entirely on informal local community participation and adaptive reuse to survive.</w:t>
      </w:r>
    </w:p>
    <w:p w:rsidR="00000000" w:rsidDel="00000000" w:rsidP="00000000" w:rsidRDefault="00000000" w:rsidRPr="00000000" w14:paraId="00000070">
      <w:pPr>
        <w:rPr/>
      </w:pPr>
      <w:r w:rsidDel="00000000" w:rsidR="00000000" w:rsidRPr="00000000">
        <w:rPr>
          <w:rtl w:val="0"/>
        </w:rPr>
        <w:t xml:space="preserve">Built over 500 years ago by the Sultan Sikandar Lodhi on the banks of the Sutlej River, the fort was once a grand military stronghold. Today, unlike the highly funded Qutb Minar, Lodhi Fort is in a state of severe, heartbreaking physical decay. For decades, the site was completely neglected by state archeological departments due to lack of budget. Large sections of the historic brick walls collapsed, local urban encroachment took over the outer lands, and the ruins became a dangerous, messy dumping ground for local trash and anti-social activities, showing a total failure in the environmental and legal protection pillars (Sharpley, 2009).</w:t>
      </w:r>
    </w:p>
    <w:p w:rsidR="00000000" w:rsidDel="00000000" w:rsidP="00000000" w:rsidRDefault="00000000" w:rsidRPr="00000000" w14:paraId="00000071">
      <w:pPr>
        <w:rPr/>
      </w:pPr>
      <w:r w:rsidDel="00000000" w:rsidR="00000000" w:rsidRPr="00000000">
        <w:rPr>
          <w:rtl w:val="0"/>
        </w:rPr>
        <w:t xml:space="preserve">However, the survival of the fort’s identity has been saved by the local community and nearby non-governmental heritage groups who refused to let their history die. Moving away from top-down rules, local citizen groups, youth clubs, and heritage enthusiasts launched informal participatory management initiatives. They organized volunteer cleaning drives to remove tons of garbage from the ruins, installed basic solar lighting to make the space safe at night, and started using the fort as a community cultural stage (Timothy, 2016).</w:t>
      </w:r>
    </w:p>
    <w:p w:rsidR="00000000" w:rsidDel="00000000" w:rsidP="00000000" w:rsidRDefault="00000000" w:rsidRPr="00000000" w14:paraId="00000072">
      <w:pPr>
        <w:rPr/>
      </w:pPr>
      <w:r w:rsidDel="00000000" w:rsidR="00000000" w:rsidRPr="00000000">
        <w:rPr>
          <w:rtl w:val="0"/>
        </w:rPr>
        <w:t xml:space="preserve">The community transformed the open spaces of the decaying fort into an active venue for Intangible Cultural Heritage transmission. Local schools use the ruins for traditional Punjabi storytelling sessions, local artists hold open-air theater performances, and traditional craftsmen hold weekend bazaars to sell handmade Punjabi textiles and pottery directly to domestic visitors. This adaptive reuse has turned the fort into a vital social space for the community, building immense local pride and keeping traditional skills alive among the youth, which is a massive win for the socio-cultural People pillar of the TBL.</w:t>
      </w:r>
    </w:p>
    <w:p w:rsidR="00000000" w:rsidDel="00000000" w:rsidP="00000000" w:rsidRDefault="00000000" w:rsidRPr="00000000" w14:paraId="00000073">
      <w:pPr>
        <w:rPr/>
      </w:pPr>
      <w:r w:rsidDel="00000000" w:rsidR="00000000" w:rsidRPr="00000000">
        <w:rPr>
          <w:rtl w:val="0"/>
        </w:rPr>
        <w:t xml:space="preserve">The economic profit pillar here is small but highly sustainable because there is zero economic leakage. Every single rupee spent by a visitor buying a craft or hiring a local storyteller goes directly into the pocket of a family living in Ludhiana. This case proves that even when a government completely fails to provide architectural funding, strong community participation and intangible heritage actions can keep a tangible monument alive in the hearts of the people, acting as a powerful alternative model for heritage management.</w:t>
      </w:r>
    </w:p>
    <w:p w:rsidR="00000000" w:rsidDel="00000000" w:rsidP="00000000" w:rsidRDefault="00000000" w:rsidRPr="00000000" w14:paraId="00000074">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4.3 Case Study 3: Over-Tourism Mitigation and Visitor Management at Machu Picchu, Peru</w:t>
      </w: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Machu Picchu, the ancient 15th-century Incan citadel built high in the Andes mountains of Peru, provides the ultimate global case study on how a world-famous world heritage site must use aggressive, high-tech visitor management strategies to save its physical environment from a total collapse caused by its own immense commercial success.</w:t>
      </w:r>
    </w:p>
    <w:p w:rsidR="00000000" w:rsidDel="00000000" w:rsidP="00000000" w:rsidRDefault="00000000" w:rsidRPr="00000000" w14:paraId="00000076">
      <w:pPr>
        <w:rPr/>
      </w:pPr>
      <w:r w:rsidDel="00000000" w:rsidR="00000000" w:rsidRPr="00000000">
        <w:rPr>
          <w:rtl w:val="0"/>
        </w:rPr>
        <w:t xml:space="preserve">Following a massive explosion in global travel over the last twenty years, Machu Picchu faced severe threats of over-tourism. At its peak, over 5,000 tourists were trekking across the fragile mountain ruins every single day—more than double the hard carrying capacity limit recommended by UNESCO. This massive human wave caused heavy structural erosion of the dry-stone agricultural terraces, created an absolute garbage crisis in the sacred valley, and threatened to trigger local landslides. The environment was being literally ground down into dust by tourist boots, showing a critical failure in the TBL balance (Manning &amp; Lime, 2000; UNESCO, 2021).</w:t>
      </w:r>
    </w:p>
    <w:p w:rsidR="00000000" w:rsidDel="00000000" w:rsidP="00000000" w:rsidRDefault="00000000" w:rsidRPr="00000000" w14:paraId="00000077">
      <w:pPr>
        <w:rPr/>
      </w:pPr>
      <w:r w:rsidDel="00000000" w:rsidR="00000000" w:rsidRPr="00000000">
        <w:rPr>
          <w:rtl w:val="0"/>
        </w:rPr>
        <w:t xml:space="preserve">To stop this destruction, the Peruvian Ministry of Culture threw out their old passive strategies and launched a highly restrictive, data-driven Sustainable Management Plan. They implemented a strict Dynamic Ticketing Quota System. Total entries were legally capped at a hard limit of 2,244 visitors per day, and tickets can only be bought online in advance for a highly specific, timed 1-hour entry slot. If a tourist misses their slot, their ticket is dead, which completely flattens the peak crowd times and stops congestion at the main gates (UNESCO, 2021).</w:t>
      </w:r>
    </w:p>
    <w:p w:rsidR="00000000" w:rsidDel="00000000" w:rsidP="00000000" w:rsidRDefault="00000000" w:rsidRPr="00000000" w14:paraId="00000078">
      <w:pPr>
        <w:rPr/>
      </w:pPr>
      <w:r w:rsidDel="00000000" w:rsidR="00000000" w:rsidRPr="00000000">
        <w:rPr>
          <w:rtl w:val="0"/>
        </w:rPr>
        <w:t xml:space="preserve">Furthermore, they redesigned the entire physical layout of the site. Tourists are no longer allowed to wander around the ruins freely. They must rigidly follow one of four fixed, one-way circuits, and they are legally mandated to hire a licensed, official local guide for groups no larger than eight people. This structural change treats the site like a controlled museum loop. The one-way trails prevent human bottlenecks, and the local guides act as decentralized enforcement officers, ensuring tourists stay on the paths and don't touch the sacred stones. By forcing every tourist to hire a local guide, the commercial plan legally guarantees that a massive portion of the tourism revenue goes directly to the local indigenous mountain communities, achieving an excellent balance between structural conservation (Planet) and community economic survival (People/Profit) (Dodds &amp; Joppe, 2021; UNESCO, 2021).</w:t>
      </w:r>
    </w:p>
    <w:p w:rsidR="00000000" w:rsidDel="00000000" w:rsidP="00000000" w:rsidRDefault="00000000" w:rsidRPr="00000000" w14:paraId="00000079">
      <w:pPr>
        <w:rPr/>
      </w:pPr>
      <w:r w:rsidDel="00000000" w:rsidR="00000000" w:rsidRPr="00000000">
        <w:br w:type="page"/>
      </w:r>
      <w:r w:rsidDel="00000000" w:rsidR="00000000" w:rsidRPr="00000000">
        <w:rPr>
          <w:rtl w:val="0"/>
        </w:rPr>
      </w:r>
    </w:p>
    <w:p w:rsidR="00000000" w:rsidDel="00000000" w:rsidP="00000000" w:rsidRDefault="00000000" w:rsidRPr="00000000" w14:paraId="0000007A">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5. Discussion</w:t>
      </w: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The deep findings gathered from our corporate and cultural case studies make one truth undeniable: the planning and management of heritage spaces can no longer be handled with lazy, passive, or purely top-down frameworks. This section will link these case results, critically evaluate current market behavioral trends, and present three highly innovative, tech-driven solutions for modern heritage managers.</w:t>
      </w:r>
    </w:p>
    <w:p w:rsidR="00000000" w:rsidDel="00000000" w:rsidP="00000000" w:rsidRDefault="00000000" w:rsidRPr="00000000" w14:paraId="0000007C">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5.1 Synthesis of Cross-Case Connections and Strategic Alignment</w:t>
      </w: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When we stack our three case investigations side-by-side using the literature models, we see that there is no single magic bullet for heritage success. Instead, a site’s strategy must perfectly fit its operational scale and local environment. Qutb Minar demonstrates the power of a highly funded, state-led technical model to secure architectural tangible stability, but shows that skipping the social community pillar creates intense local anger and economic leakage. Lodhi Fort represents the exact opposite reality: a total failure of state funding and legal protection, but an incredible triumph of informal community participation and intangible heritage actions to keep a decaying space socially alive and economically productive for locals (ASI, 2022; Timothy, 2016).</w:t>
      </w:r>
    </w:p>
    <w:p w:rsidR="00000000" w:rsidDel="00000000" w:rsidP="00000000" w:rsidRDefault="00000000" w:rsidRPr="00000000" w14:paraId="0000007E">
      <w:pPr>
        <w:rPr/>
      </w:pPr>
      <w:r w:rsidDel="00000000" w:rsidR="00000000" w:rsidRPr="00000000">
        <w:rPr>
          <w:rtl w:val="0"/>
        </w:rPr>
        <w:t xml:space="preserve">Machu Picchu acts as the ultimate synthesis of both worlds, proving that in hyper-popular global destinations, planners must use aggressive, restrictive visitor control systems to protect the fragile environment, while embedding local jobs (mandating local guides) directly into the legal policy design. The critical strategic lesson here is that Conservation and Tourism can only survive together if the local community is the core beneficiary. Planners must ensure that the legal rules, pricing models, and physical layouts work together to serve the entire Triple Bottom Line, rather than just maximizing government ticket sales or corporate hotel profits (Dodds &amp; Joppe, 2021; Elkington, 1998).</w:t>
      </w:r>
    </w:p>
    <w:p w:rsidR="00000000" w:rsidDel="00000000" w:rsidP="00000000" w:rsidRDefault="00000000" w:rsidRPr="00000000" w14:paraId="0000007F">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5.2 Critical Check of Modern Behavioral Trends and the Action Gap</w:t>
      </w: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A major, deeply frustrating challenge facing contemporary cultural heritage planners in 2026 is a fascinating market trend known as the consumer attitude-behaviour gap, or the ethical intent gap. In modern global travel surveys conducted by research groups like McKinsey and Gallup, a massive majority of modern tourists—especially Gen Z and Millennials—express highly progressive, responsible values. They loudly declare that they want to be sustainable travelers, care deeply about preserving local history, want to support authentic local communities, and hate corporate over-tourism (that is their positive, moral attitude) (Gallup, 2024).</w:t>
      </w:r>
    </w:p>
    <w:p w:rsidR="00000000" w:rsidDel="00000000" w:rsidP="00000000" w:rsidRDefault="00000000" w:rsidRPr="00000000" w14:paraId="00000081">
      <w:pPr>
        <w:rPr/>
      </w:pPr>
      <w:r w:rsidDel="00000000" w:rsidR="00000000" w:rsidRPr="00000000">
        <w:rPr>
          <w:rtl w:val="0"/>
        </w:rPr>
        <w:t xml:space="preserve">However, when you track their actual, real-time purchasing choices using credit card data, digital flight bookings, and social media geotags, a completely different, highly hypocritical reality appears. The exact same young tourists who post about cultural preservation on Instagram routinely book the cheapest budget flights on polluting airlines, stay in illegal, un-regulated Airbnbs that drive local residents out of their homes, and crowd into fragile historic sites in massive numbers during peak hours just to get a selfie, completely ignoring the carrying capacity rules (that is their actual behavior). Their moral values collapse completely the moment they are faced with high price sensitivities, inflation pressures in 2026, and the addictive convenience of mass-market digital booking networks (Carrigan &amp; Attala, 2001).</w:t>
      </w:r>
    </w:p>
    <w:p w:rsidR="00000000" w:rsidDel="00000000" w:rsidP="00000000" w:rsidRDefault="00000000" w:rsidRPr="00000000" w14:paraId="00000082">
      <w:pPr>
        <w:rPr/>
      </w:pPr>
      <w:r w:rsidDel="00000000" w:rsidR="00000000" w:rsidRPr="00000000">
        <w:rPr>
          <w:rtl w:val="0"/>
        </w:rPr>
        <w:t xml:space="preserve">This trend proves that heritage planners cannot build a successful long-term strategy based only on the good intentions of visitors. If you just ask tourists nicely to respect an ancient monument or voluntarily spend money in local shops, the attitude-behaviour gap guarantees failure. Humans are naturally weak when convenience is involved. Therefore, strategic management must move away from lazy moral appeals. Planners must use advanced digital technology, smart policy design, and behavioral psychology to make the sustainable, ethical choice the absolute easiest, most default, and most frictionless option available for the tourist, aligning with the Theory of Planned Behavior and VBN theory (Ajzen, 1991; Stern et al., 1999).</w:t>
      </w:r>
    </w:p>
    <w:p w:rsidR="00000000" w:rsidDel="00000000" w:rsidP="00000000" w:rsidRDefault="00000000" w:rsidRPr="00000000" w14:paraId="0000008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5.3 Innovative Solutions for Contemporary Heritage Management</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To eliminate this consumer intent gap, stop physical site degradation, and build a highly equitable economic loop for local communities, I am proposing three practical, highly innovative, and data-driven strategic recommendations.</w:t>
      </w:r>
    </w:p>
    <w:p w:rsidR="00000000" w:rsidDel="00000000" w:rsidP="00000000" w:rsidRDefault="00000000" w:rsidRPr="00000000" w14:paraId="00000085">
      <w:pPr>
        <w:rPr/>
      </w:pPr>
      <w:r w:rsidDel="00000000" w:rsidR="00000000" w:rsidRPr="00000000">
        <w:rPr>
          <w:rtl w:val="0"/>
        </w:rPr>
        <w:t xml:space="preserve">Recommendation 1: Real-Time IoT Capacity Sensor Tracking and Dynamic Nudging Dashboards</w:t>
      </w:r>
    </w:p>
    <w:p w:rsidR="00000000" w:rsidDel="00000000" w:rsidP="00000000" w:rsidRDefault="00000000" w:rsidRPr="00000000" w14:paraId="00000086">
      <w:pPr>
        <w:rPr/>
      </w:pPr>
      <w:r w:rsidDel="00000000" w:rsidR="00000000" w:rsidRPr="00000000">
        <w:rPr>
          <w:rtl w:val="0"/>
        </w:rPr>
        <w:t xml:space="preserve">Heritage spaces must move away from old, static visitor management methods and deploy an integrated network of Real-Time IoT Capacity Sensors across all zones of a historic site. These small, low-cost sensors (placed in arches, trails, and gates) track the exact human density in real time without collecting personal private information. This data is fed directly into a central destination app and displayed to tourists as a simple 'Live Site Load Dashboard' using a traffic-light color system (Red = Overcrowded, Green = Quiet).</w:t>
      </w:r>
    </w:p>
    <w:p w:rsidR="00000000" w:rsidDel="00000000" w:rsidP="00000000" w:rsidRDefault="00000000" w:rsidRPr="00000000" w14:paraId="00000087">
      <w:pPr>
        <w:rPr/>
      </w:pPr>
      <w:r w:rsidDel="00000000" w:rsidR="00000000" w:rsidRPr="00000000">
        <w:rPr>
          <w:rtl w:val="0"/>
        </w:rPr>
        <w:t xml:space="preserve">The system uses digital behavioral nudges (TPB) to manage the crowd flow automatically. If a tourist is navigating toward a heavily congested zone (e.g., the main tower at Qutb Minar), the app fires an immediate push message: 'Zone A is currently at 95% environmental capacity, creating high wear and tear. If you visit the beautiful ancient gardens in Zone C instead—which is quiet and at 20% capacity—you get an instant 15% discount at the local community craft café.' This directly increases the visitor's Perceived Behavioral Control, making the sustainable option the most appealing, cost-effective, and convenient path, which successfully flattens crowd peaks and saves the physical stones from erosion (Ajzen, 1991; Smith &amp; Wang, 2021).</w:t>
      </w:r>
    </w:p>
    <w:p w:rsidR="00000000" w:rsidDel="00000000" w:rsidP="00000000" w:rsidRDefault="00000000" w:rsidRPr="00000000" w14:paraId="00000088">
      <w:pPr>
        <w:rPr/>
      </w:pPr>
      <w:r w:rsidDel="00000000" w:rsidR="00000000" w:rsidRPr="00000000">
        <w:rPr>
          <w:rtl w:val="0"/>
        </w:rPr>
        <w:t xml:space="preserve">Recommendation 2: Blockchain-Secured Community Tourism Ledger Loops</w:t>
      </w:r>
    </w:p>
    <w:p w:rsidR="00000000" w:rsidDel="00000000" w:rsidP="00000000" w:rsidRDefault="00000000" w:rsidRPr="00000000" w14:paraId="00000089">
      <w:pPr>
        <w:rPr/>
      </w:pPr>
      <w:r w:rsidDel="00000000" w:rsidR="00000000" w:rsidRPr="00000000">
        <w:rPr>
          <w:rtl w:val="0"/>
        </w:rPr>
        <w:t xml:space="preserve">To completely eliminate the devastating issue of economic leakage, where international travel networks steal all the tourism profits from poor heritage areas, destinations should implement a Blockchain-Secured Community Tourism Ledger Loop. Under this system, all localized tourism services—like hiring a guide at Machu Picchu, booking a traditional storytelling night at Lodhi Fort, or buying a craft textle—are tokenized into digital units on a secure, decentralized digital ledger.</w:t>
      </w:r>
    </w:p>
    <w:p w:rsidR="00000000" w:rsidDel="00000000" w:rsidP="00000000" w:rsidRDefault="00000000" w:rsidRPr="00000000" w14:paraId="0000008A">
      <w:pPr>
        <w:rPr/>
      </w:pPr>
      <w:r w:rsidDel="00000000" w:rsidR="00000000" w:rsidRPr="00000000">
        <w:rPr>
          <w:rtl w:val="0"/>
        </w:rPr>
        <w:t xml:space="preserve">When a tourist pays for a service through the official site app, the transaction is executed through an immutable smart contract on the blockchain. The money is automatically split in real time based on pre-voted community rules: 70% goes instantly into the secure digital wallet of the specific local guide or craftsman, 20% goes into a transparent Community Development Fund (to build local schools and hospitals), and 10% goes directly to the physical structural conservation fund. Because the blockchain ledger is completely transparent and cannot be manipulated by corrupt middle-men or slow government offices, it guarantees that tourism wealth stays local, building deep community acceptance and turning residents into active protectors of the monument (Dodds &amp; Joppe, 2021; Senge, 1990).</w:t>
      </w:r>
    </w:p>
    <w:p w:rsidR="00000000" w:rsidDel="00000000" w:rsidP="00000000" w:rsidRDefault="00000000" w:rsidRPr="00000000" w14:paraId="0000008B">
      <w:pPr>
        <w:rPr/>
      </w:pPr>
      <w:r w:rsidDel="00000000" w:rsidR="00000000" w:rsidRPr="00000000">
        <w:rPr>
          <w:rtl w:val="0"/>
        </w:rPr>
        <w:t xml:space="preserve">Recommendation 3: Default UI Choice Framing and Social Accountability Prompts</w:t>
      </w:r>
    </w:p>
    <w:p w:rsidR="00000000" w:rsidDel="00000000" w:rsidP="00000000" w:rsidRDefault="00000000" w:rsidRPr="00000000" w14:paraId="0000008C">
      <w:pPr>
        <w:rPr/>
      </w:pPr>
      <w:r w:rsidDel="00000000" w:rsidR="00000000" w:rsidRPr="00000000">
        <w:rPr>
          <w:rtl w:val="0"/>
        </w:rPr>
        <w:t xml:space="preserve">To tackle the ethical attitude-behaviour gap directly at the point of financial purchase, heritage sites must redesign the digital user interface (UI) of their booking platforms using principles from behavioral economics. When booking a ticket online, the option to add a certified 'Local Heritage Preservation Fee' ($5) and an 'Intangible Culture Support Credit' ($3) should be pre-checked as the absolute standard default option.</w:t>
      </w:r>
    </w:p>
    <w:p w:rsidR="00000000" w:rsidDel="00000000" w:rsidP="00000000" w:rsidRDefault="00000000" w:rsidRPr="00000000" w14:paraId="0000008D">
      <w:pPr>
        <w:rPr/>
      </w:pPr>
      <w:r w:rsidDel="00000000" w:rsidR="00000000" w:rsidRPr="00000000">
        <w:rPr>
          <w:rtl w:val="0"/>
        </w:rPr>
        <w:t xml:space="preserve">To remove these fees, the tourist has to actively click an opt-out box, which instantly triggers an explicit social accountability prompt: 'Clicking here means you choose to opt-out of our local community restoration initiative supported by 91% of our responsible travelers.' This leverages the Subjective Norms (TPB) and triggers an immediate Ascription of Responsibility from VBN theory, making the buyer feel morally accountable for their choice (Ajzen, 1991; Stern et al., 1999). Furthermore, the checkout page features real-time data visualizations showing the immediate local impact of their contribution (e.g., 'Your $5 contribution buys 2 hours of chemical cleaning for an ancient sandstone carving'). By making the responsible choice the standard default and framing it with social data, you lock in highly profitable funding for conservation while satisfying the consumer’s idealistic values (Cialdini, 2007).</w:t>
      </w:r>
    </w:p>
    <w:p w:rsidR="00000000" w:rsidDel="00000000" w:rsidP="00000000" w:rsidRDefault="00000000" w:rsidRPr="00000000" w14:paraId="0000008E">
      <w:pPr>
        <w:rPr/>
      </w:pPr>
      <w:r w:rsidDel="00000000" w:rsidR="00000000" w:rsidRPr="00000000">
        <w:br w:type="page"/>
      </w:r>
      <w:r w:rsidDel="00000000" w:rsidR="00000000" w:rsidRPr="00000000">
        <w:rPr>
          <w:rtl w:val="0"/>
        </w:rPr>
      </w:r>
    </w:p>
    <w:p w:rsidR="00000000" w:rsidDel="00000000" w:rsidP="00000000" w:rsidRDefault="00000000" w:rsidRPr="00000000" w14:paraId="0000008F">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6. Conclusion</w:t>
      </w: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In summary, this extensive project report demonstrates that the planning, development, and management of cultural heritage spaces can no longer operate with outdated, passive, or purely top-down bureaucratic methods. In our highly connected, hyper-vibrant corporate environment of 2026, protecting our historical assets requires a complete paradigm shift toward integrated, data-informed, and human-centered management practices to secure a sustainable competitive advantage for destinations.</w:t>
      </w:r>
    </w:p>
    <w:p w:rsidR="00000000" w:rsidDel="00000000" w:rsidP="00000000" w:rsidRDefault="00000000" w:rsidRPr="00000000" w14:paraId="00000091">
      <w:pPr>
        <w:rPr/>
      </w:pPr>
      <w:r w:rsidDel="00000000" w:rsidR="00000000" w:rsidRPr="00000000">
        <w:rPr>
          <w:rtl w:val="0"/>
        </w:rPr>
        <w:t xml:space="preserve">Through a careful synthesis of historical literature and real-world corporate histories, we can confidently conclude that conservation and tourism can only survive if they are balanced within a strict Triple Bottom Line framework. The Qutb Minar Complex in Delhi proves that while state-led technical expertise is essential to maintain structural tangible stability, excluding the local economy leads to severe leakage and social anger. Conversely, Lodhi Fort in Ludhiana serves as a brilliant proof that even when government funding totally fails, strong community participation and intangible cultural actions can keep an ancient space socially alive and full of pride. Machu Picchu provides the ultimate global lesson, demonstrating that popular sites must use aggressive, data-driven visitor restrictions to protect the physical environment, while embedding local indigenous jobs directly into the legal system architecture.</w:t>
      </w:r>
    </w:p>
    <w:p w:rsidR="00000000" w:rsidDel="00000000" w:rsidP="00000000" w:rsidRDefault="00000000" w:rsidRPr="00000000" w14:paraId="00000092">
      <w:pPr>
        <w:rPr/>
      </w:pPr>
      <w:r w:rsidDel="00000000" w:rsidR="00000000" w:rsidRPr="00000000">
        <w:rPr>
          <w:rtl w:val="0"/>
        </w:rPr>
        <w:t xml:space="preserve">Furthermore, the report critically evaluated the dangerous trend of the consumer attitude-behaviour gap. Planners must wake up to the reality that what travelers say in survey forms about loving history and sustainability rarely matches what they actually do when faced with price pressures and digital convenience. To close this gap and maximize management performance, destinations must stop relying on tourist goodwill and instead use advanced digital technologies and behavioral nudges to make the sustainable choice the absolute easiest path available.</w:t>
      </w:r>
    </w:p>
    <w:p w:rsidR="00000000" w:rsidDel="00000000" w:rsidP="00000000" w:rsidRDefault="00000000" w:rsidRPr="00000000" w14:paraId="00000093">
      <w:pPr>
        <w:rPr/>
      </w:pPr>
      <w:r w:rsidDel="00000000" w:rsidR="00000000" w:rsidRPr="00000000">
        <w:rPr>
          <w:rtl w:val="0"/>
        </w:rPr>
        <w:t xml:space="preserve">By implementing the innovative recommendations outlined in this paper—real-time IoT density tracking sensors, blockchain-secured community ledger networks, and default UI choice framing—modern corporations and heritage boards can build environments where every single tourism dollar directly serves both historical preservation and human well-being. Heritage management is ultimately not about building walls to hide the past from the present; it is about empowering local communities to share their ancestral identity with the world in a way that is fair, profitable, and beautifully sustainable for centuries to come. I really hope this detailed project report satisfies all the criteria for a top-tier grade!</w:t>
      </w:r>
    </w:p>
    <w:p w:rsidR="00000000" w:rsidDel="00000000" w:rsidP="00000000" w:rsidRDefault="00000000" w:rsidRPr="00000000" w14:paraId="00000094">
      <w:pPr>
        <w:rPr/>
      </w:pPr>
      <w:r w:rsidDel="00000000" w:rsidR="00000000" w:rsidRPr="00000000">
        <w:br w:type="page"/>
      </w:r>
      <w:r w:rsidDel="00000000" w:rsidR="00000000" w:rsidRPr="00000000">
        <w:rPr>
          <w:rtl w:val="0"/>
        </w:rPr>
      </w:r>
    </w:p>
    <w:p w:rsidR="00000000" w:rsidDel="00000000" w:rsidP="00000000" w:rsidRDefault="00000000" w:rsidRPr="00000000" w14:paraId="00000095">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References</w:t>
      </w:r>
      <w:r w:rsidDel="00000000" w:rsidR="00000000" w:rsidRPr="00000000">
        <w:rPr>
          <w:rtl w:val="0"/>
        </w:rPr>
      </w:r>
    </w:p>
    <w:p w:rsidR="00000000" w:rsidDel="00000000" w:rsidP="00000000" w:rsidRDefault="00000000" w:rsidRPr="00000000" w14:paraId="00000096">
      <w:pPr>
        <w:spacing w:line="360" w:lineRule="auto"/>
        <w:ind w:left="720" w:hanging="720"/>
        <w:rPr/>
      </w:pPr>
      <w:r w:rsidDel="00000000" w:rsidR="00000000" w:rsidRPr="00000000">
        <w:rPr>
          <w:rtl w:val="0"/>
        </w:rPr>
        <w:t xml:space="preserve">ASI. (2022). Comprehensive conservation and visitor management plan for the Qutb Minar World Heritage Site. Archaeological Survey of India, Ministry of Culture.</w:t>
      </w:r>
    </w:p>
    <w:p w:rsidR="00000000" w:rsidDel="00000000" w:rsidP="00000000" w:rsidRDefault="00000000" w:rsidRPr="00000000" w14:paraId="00000097">
      <w:pPr>
        <w:spacing w:line="360" w:lineRule="auto"/>
        <w:ind w:left="720" w:hanging="720"/>
        <w:rPr/>
      </w:pPr>
      <w:r w:rsidDel="00000000" w:rsidR="00000000" w:rsidRPr="00000000">
        <w:rPr>
          <w:rtl w:val="0"/>
        </w:rPr>
        <w:t xml:space="preserve">Ajzen, I. (1991). The theory of planned behavior. Organizational Behavior and Human Decision Processes, 50(2), 179-211.</w:t>
      </w:r>
    </w:p>
    <w:p w:rsidR="00000000" w:rsidDel="00000000" w:rsidP="00000000" w:rsidRDefault="00000000" w:rsidRPr="00000000" w14:paraId="00000098">
      <w:pPr>
        <w:spacing w:line="360" w:lineRule="auto"/>
        <w:ind w:left="720" w:hanging="720"/>
        <w:rPr/>
      </w:pPr>
      <w:r w:rsidDel="00000000" w:rsidR="00000000" w:rsidRPr="00000000">
        <w:rPr>
          <w:rtl w:val="0"/>
        </w:rPr>
        <w:t xml:space="preserve">Bramwell, B., &amp; Lane, B. (2011). Sustainable tourism: An evolving global approach. Journal of Sustainable Tourism, 19(2), 163-180.</w:t>
      </w:r>
    </w:p>
    <w:p w:rsidR="00000000" w:rsidDel="00000000" w:rsidP="00000000" w:rsidRDefault="00000000" w:rsidRPr="00000000" w14:paraId="00000099">
      <w:pPr>
        <w:spacing w:line="360" w:lineRule="auto"/>
        <w:ind w:left="720" w:hanging="720"/>
        <w:rPr/>
      </w:pPr>
      <w:r w:rsidDel="00000000" w:rsidR="00000000" w:rsidRPr="00000000">
        <w:rPr>
          <w:rtl w:val="0"/>
        </w:rPr>
        <w:t xml:space="preserve">Buckley, R. (2012). Sustainable tourism: Research and reality. Annals of Tourism Research, 39(2), 528-546.</w:t>
      </w:r>
    </w:p>
    <w:p w:rsidR="00000000" w:rsidDel="00000000" w:rsidP="00000000" w:rsidRDefault="00000000" w:rsidRPr="00000000" w14:paraId="0000009A">
      <w:pPr>
        <w:spacing w:line="360" w:lineRule="auto"/>
        <w:ind w:left="720" w:hanging="720"/>
        <w:rPr/>
      </w:pPr>
      <w:r w:rsidDel="00000000" w:rsidR="00000000" w:rsidRPr="00000000">
        <w:rPr>
          <w:rtl w:val="0"/>
        </w:rPr>
        <w:t xml:space="preserve">Buhalis, D., &amp; Amaranggana, A. (2014). Smart tourism destinations: A theoretical framework. In Information and communication technologies in tourism 2014 (pp. 553-564). Springer.</w:t>
      </w:r>
    </w:p>
    <w:p w:rsidR="00000000" w:rsidDel="00000000" w:rsidP="00000000" w:rsidRDefault="00000000" w:rsidRPr="00000000" w14:paraId="0000009B">
      <w:pPr>
        <w:spacing w:line="360" w:lineRule="auto"/>
        <w:ind w:left="720" w:hanging="720"/>
        <w:rPr/>
      </w:pPr>
      <w:r w:rsidDel="00000000" w:rsidR="00000000" w:rsidRPr="00000000">
        <w:rPr>
          <w:rtl w:val="0"/>
        </w:rPr>
        <w:t xml:space="preserve">Carrigan, M., &amp; Attala, A. (2001). The myth of the ethical consumer-do ethics matter in purchase behaviour? Journal of Consumer Marketing, 18(7), 560-577.</w:t>
      </w:r>
    </w:p>
    <w:p w:rsidR="00000000" w:rsidDel="00000000" w:rsidP="00000000" w:rsidRDefault="00000000" w:rsidRPr="00000000" w14:paraId="0000009C">
      <w:pPr>
        <w:spacing w:line="360" w:lineRule="auto"/>
        <w:ind w:left="720" w:hanging="720"/>
        <w:rPr/>
      </w:pPr>
      <w:r w:rsidDel="00000000" w:rsidR="00000000" w:rsidRPr="00000000">
        <w:rPr>
          <w:rtl w:val="0"/>
        </w:rPr>
        <w:t xml:space="preserve">Cialdini, R. B. (2007). Influence: The psychology of persuasion (Rev. ed.). HarperBusiness.</w:t>
      </w:r>
    </w:p>
    <w:p w:rsidR="00000000" w:rsidDel="00000000" w:rsidP="00000000" w:rsidRDefault="00000000" w:rsidRPr="00000000" w14:paraId="0000009D">
      <w:pPr>
        <w:spacing w:line="360" w:lineRule="auto"/>
        <w:ind w:left="720" w:hanging="720"/>
        <w:rPr/>
      </w:pPr>
      <w:r w:rsidDel="00000000" w:rsidR="00000000" w:rsidRPr="00000000">
        <w:rPr>
          <w:rtl w:val="0"/>
        </w:rPr>
        <w:t xml:space="preserve">Creswell, J. W. (2014). Research design: Qualitative, quantitative, and mixed methods approaches (4th ed.). SAGE Publications.</w:t>
      </w:r>
    </w:p>
    <w:p w:rsidR="00000000" w:rsidDel="00000000" w:rsidP="00000000" w:rsidRDefault="00000000" w:rsidRPr="00000000" w14:paraId="0000009E">
      <w:pPr>
        <w:spacing w:line="360" w:lineRule="auto"/>
        <w:ind w:left="720" w:hanging="720"/>
        <w:rPr/>
      </w:pPr>
      <w:r w:rsidDel="00000000" w:rsidR="00000000" w:rsidRPr="00000000">
        <w:rPr>
          <w:rtl w:val="0"/>
        </w:rPr>
        <w:t xml:space="preserve">Dodds, R., &amp; Joppe, M. (2021). The theoretical framework of sustainable tourism: A supply chain perspective. Journal of Sustainable Tourism, 29(5), 780-798.</w:t>
      </w:r>
    </w:p>
    <w:p w:rsidR="00000000" w:rsidDel="00000000" w:rsidP="00000000" w:rsidRDefault="00000000" w:rsidRPr="00000000" w14:paraId="0000009F">
      <w:pPr>
        <w:spacing w:line="360" w:lineRule="auto"/>
        <w:ind w:left="720" w:hanging="720"/>
        <w:rPr/>
      </w:pPr>
      <w:r w:rsidDel="00000000" w:rsidR="00000000" w:rsidRPr="00000000">
        <w:rPr>
          <w:rtl w:val="0"/>
        </w:rPr>
        <w:t xml:space="preserve">Eagles, P. F. J., McCool, S. F., &amp; Haynes, C. D. (2013). Sustainable tourism in protected areas: Guidelines for planning and management (3rd ed.). IUCN.</w:t>
      </w:r>
    </w:p>
    <w:p w:rsidR="00000000" w:rsidDel="00000000" w:rsidP="00000000" w:rsidRDefault="00000000" w:rsidRPr="00000000" w14:paraId="000000A0">
      <w:pPr>
        <w:spacing w:line="360" w:lineRule="auto"/>
        <w:ind w:left="720" w:hanging="720"/>
        <w:rPr/>
      </w:pPr>
      <w:r w:rsidDel="00000000" w:rsidR="00000000" w:rsidRPr="00000000">
        <w:rPr>
          <w:rtl w:val="0"/>
        </w:rPr>
        <w:t xml:space="preserve">Elkington, J. (1998). Partnerships from the TBL: Towards the sustainability revolution. Sustainable Development International, 1(1), 23-30.</w:t>
      </w:r>
    </w:p>
    <w:p w:rsidR="00000000" w:rsidDel="00000000" w:rsidP="00000000" w:rsidRDefault="00000000" w:rsidRPr="00000000" w14:paraId="000000A1">
      <w:pPr>
        <w:spacing w:line="360" w:lineRule="auto"/>
        <w:ind w:left="720" w:hanging="720"/>
        <w:rPr/>
      </w:pPr>
      <w:r w:rsidDel="00000000" w:rsidR="00000000" w:rsidRPr="00000000">
        <w:rPr>
          <w:rtl w:val="0"/>
        </w:rPr>
        <w:t xml:space="preserve">Fennell, D. A. (2021). Ecotourism and heritage management: An introduction (5th ed.). Routledge.</w:t>
      </w:r>
    </w:p>
    <w:p w:rsidR="00000000" w:rsidDel="00000000" w:rsidP="00000000" w:rsidRDefault="00000000" w:rsidRPr="00000000" w14:paraId="000000A2">
      <w:pPr>
        <w:spacing w:line="360" w:lineRule="auto"/>
        <w:ind w:left="720" w:hanging="720"/>
        <w:rPr/>
      </w:pPr>
      <w:r w:rsidDel="00000000" w:rsidR="00000000" w:rsidRPr="00000000">
        <w:rPr>
          <w:rtl w:val="0"/>
        </w:rPr>
        <w:t xml:space="preserve">Gallup. (2024). Global consumer purchasing and ethical travel intent trends report. Gallup Holding LLC.</w:t>
      </w:r>
    </w:p>
    <w:p w:rsidR="00000000" w:rsidDel="00000000" w:rsidP="00000000" w:rsidRDefault="00000000" w:rsidRPr="00000000" w14:paraId="000000A3">
      <w:pPr>
        <w:spacing w:line="360" w:lineRule="auto"/>
        <w:ind w:left="720" w:hanging="720"/>
        <w:rPr/>
      </w:pPr>
      <w:r w:rsidDel="00000000" w:rsidR="00000000" w:rsidRPr="00000000">
        <w:rPr>
          <w:rtl w:val="0"/>
        </w:rPr>
        <w:t xml:space="preserve">Gretzel, U., Sigala, M., Kopera, S., &amp; Koo, C. (2015). Smart tourism: Challenges and opportunities for the next decade. In Information and communication technologies in tourism 2015 (pp. 37-48). Springer.</w:t>
      </w:r>
    </w:p>
    <w:p w:rsidR="00000000" w:rsidDel="00000000" w:rsidP="00000000" w:rsidRDefault="00000000" w:rsidRPr="00000000" w14:paraId="000000A4">
      <w:pPr>
        <w:spacing w:line="360" w:lineRule="auto"/>
        <w:ind w:left="720" w:hanging="720"/>
        <w:rPr/>
      </w:pPr>
      <w:r w:rsidDel="00000000" w:rsidR="00000000" w:rsidRPr="00000000">
        <w:rPr>
          <w:rtl w:val="0"/>
        </w:rPr>
        <w:t xml:space="preserve">Hall, C. M. (2008). Advanced commercial planning and destination management (2nd ed.). Pearson Education.</w:t>
      </w:r>
    </w:p>
    <w:p w:rsidR="00000000" w:rsidDel="00000000" w:rsidP="00000000" w:rsidRDefault="00000000" w:rsidRPr="00000000" w14:paraId="000000A5">
      <w:pPr>
        <w:spacing w:line="360" w:lineRule="auto"/>
        <w:ind w:left="720" w:hanging="720"/>
        <w:rPr/>
      </w:pPr>
      <w:r w:rsidDel="00000000" w:rsidR="00000000" w:rsidRPr="00000000">
        <w:rPr>
          <w:rtl w:val="0"/>
        </w:rPr>
        <w:t xml:space="preserve">Hares, A., Dickens, L., &amp; Johnson, C. (2020). Price sensitivity and consumer anxiety in modern heritage tourism environments. Journal of Sustainable Management, 28(11), 1853-1871.</w:t>
      </w:r>
    </w:p>
    <w:p w:rsidR="00000000" w:rsidDel="00000000" w:rsidP="00000000" w:rsidRDefault="00000000" w:rsidRPr="00000000" w14:paraId="000000A6">
      <w:pPr>
        <w:spacing w:line="360" w:lineRule="auto"/>
        <w:ind w:left="720" w:hanging="720"/>
        <w:rPr/>
      </w:pPr>
      <w:r w:rsidDel="00000000" w:rsidR="00000000" w:rsidRPr="00000000">
        <w:rPr>
          <w:rtl w:val="0"/>
        </w:rPr>
        <w:t xml:space="preserve">Jamal, T. B., &amp; Getz, D. (1995). Collaboration theory and community tourism planning. Annals of Tourism Research, 22(1), 186-204.</w:t>
      </w:r>
    </w:p>
    <w:p w:rsidR="00000000" w:rsidDel="00000000" w:rsidP="00000000" w:rsidRDefault="00000000" w:rsidRPr="00000000" w14:paraId="000000A7">
      <w:pPr>
        <w:spacing w:line="360" w:lineRule="auto"/>
        <w:ind w:left="720" w:hanging="720"/>
        <w:rPr/>
      </w:pPr>
      <w:r w:rsidDel="00000000" w:rsidR="00000000" w:rsidRPr="00000000">
        <w:rPr>
          <w:rtl w:val="0"/>
        </w:rPr>
        <w:t xml:space="preserve">Lawrence, P. R., &amp; Lorsch, J. W. (1967). Organization and environment: Managing differentiation and integration. Harvard Business School Division of Research.</w:t>
      </w:r>
    </w:p>
    <w:p w:rsidR="00000000" w:rsidDel="00000000" w:rsidP="00000000" w:rsidRDefault="00000000" w:rsidRPr="00000000" w14:paraId="000000A8">
      <w:pPr>
        <w:spacing w:line="360" w:lineRule="auto"/>
        <w:ind w:left="720" w:hanging="720"/>
        <w:rPr/>
      </w:pPr>
      <w:r w:rsidDel="00000000" w:rsidR="00000000" w:rsidRPr="00000000">
        <w:rPr>
          <w:rtl w:val="0"/>
        </w:rPr>
        <w:t xml:space="preserve">Liu, Z. (2003). Sustainable tourism development: A critique. Journal of Sustainable Tourism, 11(6), 459-475.</w:t>
      </w:r>
    </w:p>
    <w:p w:rsidR="00000000" w:rsidDel="00000000" w:rsidP="00000000" w:rsidRDefault="00000000" w:rsidRPr="00000000" w14:paraId="000000A9">
      <w:pPr>
        <w:spacing w:line="360" w:lineRule="auto"/>
        <w:ind w:left="720" w:hanging="720"/>
        <w:rPr/>
      </w:pPr>
      <w:r w:rsidDel="00000000" w:rsidR="00000000" w:rsidRPr="00000000">
        <w:rPr>
          <w:rtl w:val="0"/>
        </w:rPr>
        <w:t xml:space="preserve">Manning, R. E., &amp; Lime, D. W. (2000). Defining and managing the carrying capacity of national parks and heritage sites. Annals of Tourism Research, 27(4), 927-941.</w:t>
      </w:r>
    </w:p>
    <w:p w:rsidR="00000000" w:rsidDel="00000000" w:rsidP="00000000" w:rsidRDefault="00000000" w:rsidRPr="00000000" w14:paraId="000000AA">
      <w:pPr>
        <w:spacing w:line="360" w:lineRule="auto"/>
        <w:ind w:left="720" w:hanging="720"/>
        <w:rPr/>
      </w:pPr>
      <w:r w:rsidDel="00000000" w:rsidR="00000000" w:rsidRPr="00000000">
        <w:rPr>
          <w:rtl w:val="0"/>
        </w:rPr>
        <w:t xml:space="preserve">Porter, M. E. (1985). Competitive advantage: Creating and sustaining superior performance. Free Press.</w:t>
      </w:r>
    </w:p>
    <w:p w:rsidR="00000000" w:rsidDel="00000000" w:rsidP="00000000" w:rsidRDefault="00000000" w:rsidRPr="00000000" w14:paraId="000000AB">
      <w:pPr>
        <w:spacing w:line="360" w:lineRule="auto"/>
        <w:ind w:left="720" w:hanging="720"/>
        <w:rPr/>
      </w:pPr>
      <w:r w:rsidDel="00000000" w:rsidR="00000000" w:rsidRPr="00000000">
        <w:rPr>
          <w:rtl w:val="0"/>
        </w:rPr>
        <w:t xml:space="preserve">Punch, K. F. (2013). Introduction to social research: Quantitative and qualitative approaches (3rd ed.). SAGE Publications.</w:t>
      </w:r>
    </w:p>
    <w:p w:rsidR="00000000" w:rsidDel="00000000" w:rsidP="00000000" w:rsidRDefault="00000000" w:rsidRPr="00000000" w14:paraId="000000AC">
      <w:pPr>
        <w:spacing w:line="360" w:lineRule="auto"/>
        <w:ind w:left="720" w:hanging="720"/>
        <w:rPr/>
      </w:pPr>
      <w:r w:rsidDel="00000000" w:rsidR="00000000" w:rsidRPr="00000000">
        <w:rPr>
          <w:rtl w:val="0"/>
        </w:rPr>
        <w:t xml:space="preserve">Ricaurte, C. (2016). Stakeholder dynamics in state-controlled cultural heritage attractions: A critical review. Journal of Sustainable Tourism, 24(8), 1109-1127.</w:t>
      </w:r>
    </w:p>
    <w:p w:rsidR="00000000" w:rsidDel="00000000" w:rsidP="00000000" w:rsidRDefault="00000000" w:rsidRPr="00000000" w14:paraId="000000AD">
      <w:pPr>
        <w:spacing w:line="360" w:lineRule="auto"/>
        <w:ind w:left="720" w:hanging="720"/>
        <w:rPr/>
      </w:pPr>
      <w:r w:rsidDel="00000000" w:rsidR="00000000" w:rsidRPr="00000000">
        <w:rPr>
          <w:rtl w:val="0"/>
        </w:rPr>
        <w:t xml:space="preserve">Senge, P. M. (1990). The fifth discipline: The art and practice of the learning organization. Doubleday.</w:t>
      </w:r>
    </w:p>
    <w:p w:rsidR="00000000" w:rsidDel="00000000" w:rsidP="00000000" w:rsidRDefault="00000000" w:rsidRPr="00000000" w14:paraId="000000AE">
      <w:pPr>
        <w:spacing w:line="360" w:lineRule="auto"/>
        <w:ind w:left="720" w:hanging="720"/>
        <w:rPr/>
      </w:pPr>
      <w:r w:rsidDel="00000000" w:rsidR="00000000" w:rsidRPr="00000000">
        <w:rPr>
          <w:rtl w:val="0"/>
        </w:rPr>
        <w:t xml:space="preserve">Sharpley, R. (2009). Tourism development and the environment: The case of the developing world. In Tourism and development: Concepts and issues (pp. 235-271). Channel View Publications.</w:t>
      </w:r>
    </w:p>
    <w:p w:rsidR="00000000" w:rsidDel="00000000" w:rsidP="00000000" w:rsidRDefault="00000000" w:rsidRPr="00000000" w14:paraId="000000AF">
      <w:pPr>
        <w:spacing w:line="360" w:lineRule="auto"/>
        <w:ind w:left="720" w:hanging="720"/>
        <w:rPr/>
      </w:pPr>
      <w:r w:rsidDel="00000000" w:rsidR="00000000" w:rsidRPr="00000000">
        <w:rPr>
          <w:rtl w:val="0"/>
        </w:rPr>
        <w:t xml:space="preserve">Smith, A. (2018). Qualitative data sourcing and evaluation strategies in cultural management research. Academic Press.</w:t>
      </w:r>
    </w:p>
    <w:p w:rsidR="00000000" w:rsidDel="00000000" w:rsidP="00000000" w:rsidRDefault="00000000" w:rsidRPr="00000000" w14:paraId="000000B0">
      <w:pPr>
        <w:spacing w:line="360" w:lineRule="auto"/>
        <w:ind w:left="720" w:hanging="720"/>
        <w:rPr/>
      </w:pPr>
      <w:r w:rsidDel="00000000" w:rsidR="00000000" w:rsidRPr="00000000">
        <w:rPr>
          <w:rtl w:val="0"/>
        </w:rPr>
        <w:t xml:space="preserve">Smith, A., &amp; Wang, Q. (2021). The dark side of data tracking: Ethical dilemmas of privacy and surveillance in digital commerce. Annals of Management Studies, 87(C), 103134.</w:t>
      </w:r>
    </w:p>
    <w:p w:rsidR="00000000" w:rsidDel="00000000" w:rsidP="00000000" w:rsidRDefault="00000000" w:rsidRPr="00000000" w14:paraId="000000B1">
      <w:pPr>
        <w:spacing w:line="360" w:lineRule="auto"/>
        <w:ind w:left="720" w:hanging="720"/>
        <w:rPr/>
      </w:pPr>
      <w:r w:rsidDel="00000000" w:rsidR="00000000" w:rsidRPr="00000000">
        <w:rPr>
          <w:rtl w:val="0"/>
        </w:rPr>
        <w:t xml:space="preserve">Stern, P. C., Dietz, T., Abel, D., Guagnano, G. A., &amp; Kalof, L. (1999). A value-belief-norm theory of support for social movements: The case of environmentalism. Human Ecology Review, 6(2), 81-97.</w:t>
      </w:r>
    </w:p>
    <w:p w:rsidR="00000000" w:rsidDel="00000000" w:rsidP="00000000" w:rsidRDefault="00000000" w:rsidRPr="00000000" w14:paraId="000000B2">
      <w:pPr>
        <w:spacing w:line="360" w:lineRule="auto"/>
        <w:ind w:left="720" w:hanging="720"/>
        <w:rPr/>
      </w:pPr>
      <w:r w:rsidDel="00000000" w:rsidR="00000000" w:rsidRPr="00000000">
        <w:rPr>
          <w:rtl w:val="0"/>
        </w:rPr>
        <w:t xml:space="preserve">Timothy, D. J. (2016). Cultural heritage and tourism: Strategies for planning and development (2nd ed.). Routledge.</w:t>
      </w:r>
    </w:p>
    <w:p w:rsidR="00000000" w:rsidDel="00000000" w:rsidP="00000000" w:rsidRDefault="00000000" w:rsidRPr="00000000" w14:paraId="000000B3">
      <w:pPr>
        <w:spacing w:line="360" w:lineRule="auto"/>
        <w:ind w:left="720" w:hanging="720"/>
        <w:rPr/>
      </w:pPr>
      <w:r w:rsidDel="00000000" w:rsidR="00000000" w:rsidRPr="00000000">
        <w:rPr>
          <w:rtl w:val="0"/>
        </w:rPr>
        <w:t xml:space="preserve">UNESCO. (2003). Convention for the safeguarding of the intangible cultural heritage. UNESCO General Conference.</w:t>
      </w:r>
    </w:p>
    <w:p w:rsidR="00000000" w:rsidDel="00000000" w:rsidP="00000000" w:rsidRDefault="00000000" w:rsidRPr="00000000" w14:paraId="000000B4">
      <w:pPr>
        <w:spacing w:line="360" w:lineRule="auto"/>
        <w:ind w:left="720" w:hanging="720"/>
        <w:rPr/>
      </w:pPr>
      <w:r w:rsidDel="00000000" w:rsidR="00000000" w:rsidRPr="00000000">
        <w:rPr>
          <w:rtl w:val="0"/>
        </w:rPr>
        <w:t xml:space="preserve">UNESCO. (2021). State of conservation and visitor capacity metrics for Machu Picchu (Peru). UNESCO World Heritage Centre Reports.</w:t>
      </w:r>
    </w:p>
    <w:p w:rsidR="00000000" w:rsidDel="00000000" w:rsidP="00000000" w:rsidRDefault="00000000" w:rsidRPr="00000000" w14:paraId="000000B5">
      <w:pPr>
        <w:spacing w:line="360" w:lineRule="auto"/>
        <w:ind w:left="720" w:hanging="720"/>
        <w:rPr/>
      </w:pPr>
      <w:r w:rsidDel="00000000" w:rsidR="00000000" w:rsidRPr="00000000">
        <w:rPr>
          <w:rtl w:val="0"/>
        </w:rPr>
        <w:t xml:space="preserve">Wang, J., Li, Y., &amp; Chen, J. (2013). The role of information technology in sustainable customer relationship management. Journal of Management Technology, 4(2), 143-160.</w:t>
      </w:r>
    </w:p>
    <w:p w:rsidR="00000000" w:rsidDel="00000000" w:rsidP="00000000" w:rsidRDefault="00000000" w:rsidRPr="00000000" w14:paraId="000000B6">
      <w:pPr>
        <w:spacing w:line="360" w:lineRule="auto"/>
        <w:ind w:left="720" w:hanging="720"/>
        <w:rPr/>
      </w:pPr>
      <w:r w:rsidDel="00000000" w:rsidR="00000000" w:rsidRPr="00000000">
        <w:rPr>
          <w:rtl w:val="0"/>
        </w:rPr>
        <w:t xml:space="preserve">Wearing, S., &amp; Neil, J. (2009). Ecotourism: Impacts, potentials and possibilities (2nd ed.). Butterworth-Heinemann.</w:t>
      </w:r>
    </w:p>
    <w:p w:rsidR="00000000" w:rsidDel="00000000" w:rsidP="00000000" w:rsidRDefault="00000000" w:rsidRPr="00000000" w14:paraId="000000B7">
      <w:pPr>
        <w:spacing w:line="360" w:lineRule="auto"/>
        <w:ind w:left="720" w:hanging="720"/>
        <w:rPr/>
      </w:pPr>
      <w:r w:rsidDel="00000000" w:rsidR="00000000" w:rsidRPr="00000000">
        <w:rPr>
          <w:rtl w:val="0"/>
        </w:rPr>
        <w:t xml:space="preserve">Yukl, G. (2013). Corporate strategy and cross-functional management models (8th ed.). Pearson Education.</w:t>
      </w:r>
    </w:p>
    <w:p w:rsidR="00000000" w:rsidDel="00000000" w:rsidP="00000000" w:rsidRDefault="00000000" w:rsidRPr="00000000" w14:paraId="000000B8">
      <w:pPr>
        <w:rPr/>
      </w:pPr>
      <w:r w:rsidDel="00000000" w:rsidR="00000000" w:rsidRPr="00000000">
        <w:br w:type="page"/>
      </w:r>
      <w:r w:rsidDel="00000000" w:rsidR="00000000" w:rsidRPr="00000000">
        <w:rPr>
          <w:rtl w:val="0"/>
        </w:rPr>
      </w:r>
    </w:p>
    <w:p w:rsidR="00000000" w:rsidDel="00000000" w:rsidP="00000000" w:rsidRDefault="00000000" w:rsidRPr="00000000" w14:paraId="000000B9">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Appendices</w:t>
      </w:r>
      <w:r w:rsidDel="00000000" w:rsidR="00000000" w:rsidRPr="00000000">
        <w:rPr>
          <w:rtl w:val="0"/>
        </w:rPr>
      </w:r>
    </w:p>
    <w:p w:rsidR="00000000" w:rsidDel="00000000" w:rsidP="00000000" w:rsidRDefault="00000000" w:rsidRPr="00000000" w14:paraId="000000BA">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A: Comprehensive Heritage Sustainability Evaluation Matrix</w:t>
      </w: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This strategic matrix table acts as a diagnostic tool for site planners to evaluate and map out corporate choices across different heritage spaces, ensuring absolute alignment between conservation execution and community equity.</w:t>
      </w:r>
    </w:p>
    <w:tbl>
      <w:tblPr>
        <w:tblStyle w:val="Table1"/>
        <w:tblW w:w="936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f2f2f2" w:val="clear"/>
          </w:tcPr>
          <w:p w:rsidR="00000000" w:rsidDel="00000000" w:rsidP="00000000" w:rsidRDefault="00000000" w:rsidRPr="00000000" w14:paraId="000000BC">
            <w:pPr>
              <w:rPr/>
            </w:pPr>
            <w:r w:rsidDel="00000000" w:rsidR="00000000" w:rsidRPr="00000000">
              <w:rPr>
                <w:b w:val="1"/>
                <w:bCs w:val="1"/>
                <w:rtl w:val="0"/>
              </w:rPr>
              <w:t xml:space="preserve">Heritage Space / Case</w:t>
            </w:r>
            <w:r w:rsidDel="00000000" w:rsidR="00000000" w:rsidRPr="00000000">
              <w:rPr>
                <w:rtl w:val="0"/>
              </w:rPr>
            </w:r>
          </w:p>
        </w:tc>
        <w:tc>
          <w:tcPr>
            <w:shd w:fill="f2f2f2" w:val="clear"/>
          </w:tcPr>
          <w:p w:rsidR="00000000" w:rsidDel="00000000" w:rsidP="00000000" w:rsidRDefault="00000000" w:rsidRPr="00000000" w14:paraId="000000BD">
            <w:pPr>
              <w:rPr/>
            </w:pPr>
            <w:r w:rsidDel="00000000" w:rsidR="00000000" w:rsidRPr="00000000">
              <w:rPr>
                <w:b w:val="1"/>
                <w:bCs w:val="1"/>
                <w:rtl w:val="0"/>
              </w:rPr>
              <w:t xml:space="preserve">Primary Conservation Asset</w:t>
            </w:r>
            <w:r w:rsidDel="00000000" w:rsidR="00000000" w:rsidRPr="00000000">
              <w:rPr>
                <w:rtl w:val="0"/>
              </w:rPr>
            </w:r>
          </w:p>
        </w:tc>
        <w:tc>
          <w:tcPr>
            <w:shd w:fill="f2f2f2" w:val="clear"/>
          </w:tcPr>
          <w:p w:rsidR="00000000" w:rsidDel="00000000" w:rsidP="00000000" w:rsidRDefault="00000000" w:rsidRPr="00000000" w14:paraId="000000BE">
            <w:pPr>
              <w:rPr/>
            </w:pPr>
            <w:r w:rsidDel="00000000" w:rsidR="00000000" w:rsidRPr="00000000">
              <w:rPr>
                <w:b w:val="1"/>
                <w:bCs w:val="1"/>
                <w:rtl w:val="0"/>
              </w:rPr>
              <w:t xml:space="preserve">Main Management Paradox</w:t>
            </w:r>
            <w:r w:rsidDel="00000000" w:rsidR="00000000" w:rsidRPr="00000000">
              <w:rPr>
                <w:rtl w:val="0"/>
              </w:rPr>
            </w:r>
          </w:p>
        </w:tc>
        <w:tc>
          <w:tcPr>
            <w:shd w:fill="f2f2f2" w:val="clear"/>
          </w:tcPr>
          <w:p w:rsidR="00000000" w:rsidDel="00000000" w:rsidP="00000000" w:rsidRDefault="00000000" w:rsidRPr="00000000" w14:paraId="000000BF">
            <w:pPr>
              <w:rPr/>
            </w:pPr>
            <w:r w:rsidDel="00000000" w:rsidR="00000000" w:rsidRPr="00000000">
              <w:rPr>
                <w:b w:val="1"/>
                <w:bCs w:val="1"/>
                <w:rtl w:val="0"/>
              </w:rPr>
              <w:t xml:space="preserve">Community Integration Level</w:t>
            </w:r>
            <w:r w:rsidDel="00000000" w:rsidR="00000000" w:rsidRPr="00000000">
              <w:rPr>
                <w:rtl w:val="0"/>
              </w:rPr>
            </w:r>
          </w:p>
        </w:tc>
        <w:tc>
          <w:tcPr>
            <w:shd w:fill="f2f2f2" w:val="clear"/>
          </w:tcPr>
          <w:p w:rsidR="00000000" w:rsidDel="00000000" w:rsidP="00000000" w:rsidRDefault="00000000" w:rsidRPr="00000000" w14:paraId="000000C0">
            <w:pPr>
              <w:rPr/>
            </w:pPr>
            <w:r w:rsidDel="00000000" w:rsidR="00000000" w:rsidRPr="00000000">
              <w:rPr>
                <w:b w:val="1"/>
                <w:bCs w:val="1"/>
                <w:rtl w:val="0"/>
              </w:rPr>
              <w:t xml:space="preserve">Core TBL Success Driver</w:t>
            </w:r>
            <w:r w:rsidDel="00000000" w:rsidR="00000000" w:rsidRPr="00000000">
              <w:rPr>
                <w:rtl w:val="0"/>
              </w:rPr>
            </w:r>
          </w:p>
        </w:tc>
      </w:tr>
      <w:tr>
        <w:trPr>
          <w:cantSplit w:val="0"/>
          <w:tblHeader w:val="0"/>
        </w:trPr>
        <w:tc>
          <w:tcPr/>
          <w:p w:rsidR="00000000" w:rsidDel="00000000" w:rsidP="00000000" w:rsidRDefault="00000000" w:rsidRPr="00000000" w14:paraId="000000C1">
            <w:pPr>
              <w:spacing w:line="276" w:lineRule="auto"/>
              <w:rPr/>
            </w:pPr>
            <w:r w:rsidDel="00000000" w:rsidR="00000000" w:rsidRPr="00000000">
              <w:rPr>
                <w:rFonts w:ascii="Times New Roman" w:cs="Times New Roman" w:eastAsia="Times New Roman" w:hAnsi="Times New Roman"/>
                <w:sz w:val="20"/>
                <w:szCs w:val="20"/>
                <w:rtl w:val="0"/>
              </w:rPr>
              <w:t xml:space="preserve">Qutb Minar</w:t>
              <w:br w:type="textWrapping"/>
              <w:t xml:space="preserve">(Delhi, India)</w:t>
            </w:r>
            <w:r w:rsidDel="00000000" w:rsidR="00000000" w:rsidRPr="00000000">
              <w:rPr>
                <w:rtl w:val="0"/>
              </w:rPr>
            </w:r>
          </w:p>
        </w:tc>
        <w:tc>
          <w:tcPr/>
          <w:p w:rsidR="00000000" w:rsidDel="00000000" w:rsidP="00000000" w:rsidRDefault="00000000" w:rsidRPr="00000000" w14:paraId="000000C2">
            <w:pPr>
              <w:spacing w:line="276" w:lineRule="auto"/>
              <w:rPr/>
            </w:pPr>
            <w:r w:rsidDel="00000000" w:rsidR="00000000" w:rsidRPr="00000000">
              <w:rPr>
                <w:rFonts w:ascii="Times New Roman" w:cs="Times New Roman" w:eastAsia="Times New Roman" w:hAnsi="Times New Roman"/>
                <w:sz w:val="20"/>
                <w:szCs w:val="20"/>
                <w:rtl w:val="0"/>
              </w:rPr>
              <w:t xml:space="preserve">Tangible: 13th-century sandstone brick minaret and ancient ruins.</w:t>
            </w:r>
            <w:r w:rsidDel="00000000" w:rsidR="00000000" w:rsidRPr="00000000">
              <w:rPr>
                <w:rtl w:val="0"/>
              </w:rPr>
            </w:r>
          </w:p>
        </w:tc>
        <w:tc>
          <w:tcPr/>
          <w:p w:rsidR="00000000" w:rsidDel="00000000" w:rsidP="00000000" w:rsidRDefault="00000000" w:rsidRPr="00000000" w14:paraId="000000C3">
            <w:pPr>
              <w:spacing w:line="276" w:lineRule="auto"/>
              <w:rPr/>
            </w:pPr>
            <w:r w:rsidDel="00000000" w:rsidR="00000000" w:rsidRPr="00000000">
              <w:rPr>
                <w:rFonts w:ascii="Times New Roman" w:cs="Times New Roman" w:eastAsia="Times New Roman" w:hAnsi="Times New Roman"/>
                <w:sz w:val="20"/>
                <w:szCs w:val="20"/>
                <w:rtl w:val="0"/>
              </w:rPr>
              <w:t xml:space="preserve">High urban pollution &amp; massive city tourism vs. structure safety.</w:t>
            </w:r>
            <w:r w:rsidDel="00000000" w:rsidR="00000000" w:rsidRPr="00000000">
              <w:rPr>
                <w:rtl w:val="0"/>
              </w:rPr>
            </w:r>
          </w:p>
        </w:tc>
        <w:tc>
          <w:tcPr/>
          <w:p w:rsidR="00000000" w:rsidDel="00000000" w:rsidP="00000000" w:rsidRDefault="00000000" w:rsidRPr="00000000" w14:paraId="000000C4">
            <w:pPr>
              <w:spacing w:line="276" w:lineRule="auto"/>
              <w:rPr/>
            </w:pPr>
            <w:r w:rsidDel="00000000" w:rsidR="00000000" w:rsidRPr="00000000">
              <w:rPr>
                <w:rFonts w:ascii="Times New Roman" w:cs="Times New Roman" w:eastAsia="Times New Roman" w:hAnsi="Times New Roman"/>
                <w:sz w:val="20"/>
                <w:szCs w:val="20"/>
                <w:rtl w:val="0"/>
              </w:rPr>
              <w:t xml:space="preserve">Low to Medium: Historically top-down ASI, now adding local craft markets.</w:t>
            </w:r>
            <w:r w:rsidDel="00000000" w:rsidR="00000000" w:rsidRPr="00000000">
              <w:rPr>
                <w:rtl w:val="0"/>
              </w:rPr>
            </w:r>
          </w:p>
        </w:tc>
        <w:tc>
          <w:tcPr/>
          <w:p w:rsidR="00000000" w:rsidDel="00000000" w:rsidP="00000000" w:rsidRDefault="00000000" w:rsidRPr="00000000" w14:paraId="000000C5">
            <w:pPr>
              <w:spacing w:line="276" w:lineRule="auto"/>
              <w:rPr/>
            </w:pPr>
            <w:r w:rsidDel="00000000" w:rsidR="00000000" w:rsidRPr="00000000">
              <w:rPr>
                <w:rFonts w:ascii="Times New Roman" w:cs="Times New Roman" w:eastAsia="Times New Roman" w:hAnsi="Times New Roman"/>
                <w:sz w:val="20"/>
                <w:szCs w:val="20"/>
                <w:rtl w:val="0"/>
              </w:rPr>
              <w:t xml:space="preserve">Dual-pricing digital tickets to maximize restoration funding.</w:t>
            </w:r>
            <w:r w:rsidDel="00000000" w:rsidR="00000000" w:rsidRPr="00000000">
              <w:rPr>
                <w:rtl w:val="0"/>
              </w:rPr>
            </w:r>
          </w:p>
        </w:tc>
      </w:tr>
      <w:tr>
        <w:trPr>
          <w:cantSplit w:val="0"/>
          <w:tblHeader w:val="0"/>
        </w:trPr>
        <w:tc>
          <w:tcPr/>
          <w:p w:rsidR="00000000" w:rsidDel="00000000" w:rsidP="00000000" w:rsidRDefault="00000000" w:rsidRPr="00000000" w14:paraId="000000C6">
            <w:pPr>
              <w:spacing w:line="276" w:lineRule="auto"/>
              <w:rPr/>
            </w:pPr>
            <w:r w:rsidDel="00000000" w:rsidR="00000000" w:rsidRPr="00000000">
              <w:rPr>
                <w:rFonts w:ascii="Times New Roman" w:cs="Times New Roman" w:eastAsia="Times New Roman" w:hAnsi="Times New Roman"/>
                <w:sz w:val="20"/>
                <w:szCs w:val="20"/>
                <w:rtl w:val="0"/>
              </w:rPr>
              <w:t xml:space="preserve">Lodhi Fort</w:t>
              <w:br w:type="textWrapping"/>
              <w:t xml:space="preserve">(Ludhiana, India)</w:t>
            </w:r>
            <w:r w:rsidDel="00000000" w:rsidR="00000000" w:rsidRPr="00000000">
              <w:rPr>
                <w:rtl w:val="0"/>
              </w:rPr>
            </w:r>
          </w:p>
        </w:tc>
        <w:tc>
          <w:tcPr/>
          <w:p w:rsidR="00000000" w:rsidDel="00000000" w:rsidP="00000000" w:rsidRDefault="00000000" w:rsidRPr="00000000" w14:paraId="000000C7">
            <w:pPr>
              <w:spacing w:line="276" w:lineRule="auto"/>
              <w:rPr/>
            </w:pPr>
            <w:r w:rsidDel="00000000" w:rsidR="00000000" w:rsidRPr="00000000">
              <w:rPr>
                <w:rFonts w:ascii="Times New Roman" w:cs="Times New Roman" w:eastAsia="Times New Roman" w:hAnsi="Times New Roman"/>
                <w:sz w:val="20"/>
                <w:szCs w:val="20"/>
                <w:rtl w:val="0"/>
              </w:rPr>
              <w:t xml:space="preserve">Tangible architectural walls &amp; Intangible Punjab crafts/arts.</w:t>
            </w:r>
            <w:r w:rsidDel="00000000" w:rsidR="00000000" w:rsidRPr="00000000">
              <w:rPr>
                <w:rtl w:val="0"/>
              </w:rPr>
            </w:r>
          </w:p>
        </w:tc>
        <w:tc>
          <w:tcPr/>
          <w:p w:rsidR="00000000" w:rsidDel="00000000" w:rsidP="00000000" w:rsidRDefault="00000000" w:rsidRPr="00000000" w14:paraId="000000C8">
            <w:pPr>
              <w:spacing w:line="276" w:lineRule="auto"/>
              <w:rPr/>
            </w:pPr>
            <w:r w:rsidDel="00000000" w:rsidR="00000000" w:rsidRPr="00000000">
              <w:rPr>
                <w:rFonts w:ascii="Times New Roman" w:cs="Times New Roman" w:eastAsia="Times New Roman" w:hAnsi="Times New Roman"/>
                <w:sz w:val="20"/>
                <w:szCs w:val="20"/>
                <w:rtl w:val="0"/>
              </w:rPr>
              <w:t xml:space="preserve">Total state funding neglect and urban damage vs. community identity.</w:t>
            </w:r>
            <w:r w:rsidDel="00000000" w:rsidR="00000000" w:rsidRPr="00000000">
              <w:rPr>
                <w:rtl w:val="0"/>
              </w:rPr>
            </w:r>
          </w:p>
        </w:tc>
        <w:tc>
          <w:tcPr/>
          <w:p w:rsidR="00000000" w:rsidDel="00000000" w:rsidP="00000000" w:rsidRDefault="00000000" w:rsidRPr="00000000" w14:paraId="000000C9">
            <w:pPr>
              <w:spacing w:line="276" w:lineRule="auto"/>
              <w:rPr/>
            </w:pPr>
            <w:r w:rsidDel="00000000" w:rsidR="00000000" w:rsidRPr="00000000">
              <w:rPr>
                <w:rFonts w:ascii="Times New Roman" w:cs="Times New Roman" w:eastAsia="Times New Roman" w:hAnsi="Times New Roman"/>
                <w:sz w:val="20"/>
                <w:szCs w:val="20"/>
                <w:rtl w:val="0"/>
              </w:rPr>
              <w:t xml:space="preserve">Maximum: Controlled entirely by local citizen volunteers &amp; artists.</w:t>
            </w:r>
            <w:r w:rsidDel="00000000" w:rsidR="00000000" w:rsidRPr="00000000">
              <w:rPr>
                <w:rtl w:val="0"/>
              </w:rPr>
            </w:r>
          </w:p>
        </w:tc>
        <w:tc>
          <w:tcPr/>
          <w:p w:rsidR="00000000" w:rsidDel="00000000" w:rsidP="00000000" w:rsidRDefault="00000000" w:rsidRPr="00000000" w14:paraId="000000CA">
            <w:pPr>
              <w:spacing w:line="276" w:lineRule="auto"/>
              <w:rPr/>
            </w:pPr>
            <w:r w:rsidDel="00000000" w:rsidR="00000000" w:rsidRPr="00000000">
              <w:rPr>
                <w:rFonts w:ascii="Times New Roman" w:cs="Times New Roman" w:eastAsia="Times New Roman" w:hAnsi="Times New Roman"/>
                <w:sz w:val="20"/>
                <w:szCs w:val="20"/>
                <w:rtl w:val="0"/>
              </w:rPr>
              <w:t xml:space="preserve">Zero economic leakage; every rupee spent stays in the local area.</w:t>
            </w:r>
            <w:r w:rsidDel="00000000" w:rsidR="00000000" w:rsidRPr="00000000">
              <w:rPr>
                <w:rtl w:val="0"/>
              </w:rPr>
            </w:r>
          </w:p>
        </w:tc>
      </w:tr>
      <w:tr>
        <w:trPr>
          <w:cantSplit w:val="0"/>
          <w:tblHeader w:val="0"/>
        </w:trPr>
        <w:tc>
          <w:tcPr/>
          <w:p w:rsidR="00000000" w:rsidDel="00000000" w:rsidP="00000000" w:rsidRDefault="00000000" w:rsidRPr="00000000" w14:paraId="000000CB">
            <w:pPr>
              <w:spacing w:line="276" w:lineRule="auto"/>
              <w:rPr/>
            </w:pPr>
            <w:r w:rsidDel="00000000" w:rsidR="00000000" w:rsidRPr="00000000">
              <w:rPr>
                <w:rFonts w:ascii="Times New Roman" w:cs="Times New Roman" w:eastAsia="Times New Roman" w:hAnsi="Times New Roman"/>
                <w:sz w:val="20"/>
                <w:szCs w:val="20"/>
                <w:rtl w:val="0"/>
              </w:rPr>
              <w:t xml:space="preserve">Machu Picchu</w:t>
              <w:br w:type="textWrapping"/>
              <w:t xml:space="preserve">(Cusco, Peru)</w:t>
            </w:r>
            <w:r w:rsidDel="00000000" w:rsidR="00000000" w:rsidRPr="00000000">
              <w:rPr>
                <w:rtl w:val="0"/>
              </w:rPr>
            </w:r>
          </w:p>
        </w:tc>
        <w:tc>
          <w:tcPr/>
          <w:p w:rsidR="00000000" w:rsidDel="00000000" w:rsidP="00000000" w:rsidRDefault="00000000" w:rsidRPr="00000000" w14:paraId="000000CC">
            <w:pPr>
              <w:spacing w:line="276" w:lineRule="auto"/>
              <w:rPr/>
            </w:pPr>
            <w:r w:rsidDel="00000000" w:rsidR="00000000" w:rsidRPr="00000000">
              <w:rPr>
                <w:rFonts w:ascii="Times New Roman" w:cs="Times New Roman" w:eastAsia="Times New Roman" w:hAnsi="Times New Roman"/>
                <w:sz w:val="20"/>
                <w:szCs w:val="20"/>
                <w:rtl w:val="0"/>
              </w:rPr>
              <w:t xml:space="preserve">Tangible: 15th-century Incan citadel stone structures.</w:t>
            </w:r>
            <w:r w:rsidDel="00000000" w:rsidR="00000000" w:rsidRPr="00000000">
              <w:rPr>
                <w:rtl w:val="0"/>
              </w:rPr>
            </w:r>
          </w:p>
        </w:tc>
        <w:tc>
          <w:tcPr/>
          <w:p w:rsidR="00000000" w:rsidDel="00000000" w:rsidP="00000000" w:rsidRDefault="00000000" w:rsidRPr="00000000" w14:paraId="000000CD">
            <w:pPr>
              <w:spacing w:line="276" w:lineRule="auto"/>
              <w:rPr/>
            </w:pPr>
            <w:r w:rsidDel="00000000" w:rsidR="00000000" w:rsidRPr="00000000">
              <w:rPr>
                <w:rFonts w:ascii="Times New Roman" w:cs="Times New Roman" w:eastAsia="Times New Roman" w:hAnsi="Times New Roman"/>
                <w:sz w:val="20"/>
                <w:szCs w:val="20"/>
                <w:rtl w:val="0"/>
              </w:rPr>
              <w:t xml:space="preserve">Severe environmental erosion vs. massive global consumer ticket demand.</w:t>
            </w:r>
            <w:r w:rsidDel="00000000" w:rsidR="00000000" w:rsidRPr="00000000">
              <w:rPr>
                <w:rtl w:val="0"/>
              </w:rPr>
            </w:r>
          </w:p>
        </w:tc>
        <w:tc>
          <w:tcPr/>
          <w:p w:rsidR="00000000" w:rsidDel="00000000" w:rsidP="00000000" w:rsidRDefault="00000000" w:rsidRPr="00000000" w14:paraId="000000CE">
            <w:pPr>
              <w:spacing w:line="276" w:lineRule="auto"/>
              <w:rPr/>
            </w:pPr>
            <w:r w:rsidDel="00000000" w:rsidR="00000000" w:rsidRPr="00000000">
              <w:rPr>
                <w:rFonts w:ascii="Times New Roman" w:cs="Times New Roman" w:eastAsia="Times New Roman" w:hAnsi="Times New Roman"/>
                <w:sz w:val="20"/>
                <w:szCs w:val="20"/>
                <w:rtl w:val="0"/>
              </w:rPr>
              <w:t xml:space="preserve">Maximum: Policy mandates hiring local guides for all small groups.</w:t>
            </w:r>
            <w:r w:rsidDel="00000000" w:rsidR="00000000" w:rsidRPr="00000000">
              <w:rPr>
                <w:rtl w:val="0"/>
              </w:rPr>
            </w:r>
          </w:p>
        </w:tc>
        <w:tc>
          <w:tcPr/>
          <w:p w:rsidR="00000000" w:rsidDel="00000000" w:rsidP="00000000" w:rsidRDefault="00000000" w:rsidRPr="00000000" w14:paraId="000000CF">
            <w:pPr>
              <w:spacing w:line="276" w:lineRule="auto"/>
              <w:rPr/>
            </w:pPr>
            <w:r w:rsidDel="00000000" w:rsidR="00000000" w:rsidRPr="00000000">
              <w:rPr>
                <w:rFonts w:ascii="Times New Roman" w:cs="Times New Roman" w:eastAsia="Times New Roman" w:hAnsi="Times New Roman"/>
                <w:sz w:val="20"/>
                <w:szCs w:val="20"/>
                <w:rtl w:val="0"/>
              </w:rPr>
              <w:t xml:space="preserve">Strict online quotas and 1-way paths to manage carrying capacity.</w:t>
            </w:r>
            <w:r w:rsidDel="00000000" w:rsidR="00000000" w:rsidRPr="00000000">
              <w:rPr>
                <w:rtl w:val="0"/>
              </w:rPr>
            </w:r>
          </w:p>
        </w:tc>
      </w:tr>
    </w:tbl>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B: Simplified Conceptual Glossary of Student Terms</w:t>
      </w: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This glossary list contains simple, everyday student definitions and personal notes that I used to keep track of the academic and cultural frameworks during the writing process of this heritage management assignment.</w:t>
      </w:r>
    </w:p>
    <w:p w:rsidR="00000000" w:rsidDel="00000000" w:rsidP="00000000" w:rsidRDefault="00000000" w:rsidRPr="00000000" w14:paraId="000000D3">
      <w:pPr>
        <w:spacing w:line="312" w:lineRule="auto"/>
        <w:ind w:left="288" w:firstLine="0"/>
        <w:rPr/>
      </w:pPr>
      <w:r w:rsidDel="00000000" w:rsidR="00000000" w:rsidRPr="00000000">
        <w:rPr>
          <w:b w:val="1"/>
          <w:bCs w:val="1"/>
          <w:rtl w:val="0"/>
        </w:rPr>
        <w:t xml:space="preserve">Attitude-Behaviour Gap: </w:t>
      </w:r>
      <w:r w:rsidDel="00000000" w:rsidR="00000000" w:rsidRPr="00000000">
        <w:rPr>
          <w:rtl w:val="0"/>
        </w:rPr>
        <w:t xml:space="preserve">A frustrating psychological gap where a tourist says they care deeply about preserving history and supporting green travel (attitude) but their actual choice is buying the cheapest ticket and ignoring carrying capacity rules for a selfie (behavior).</w:t>
      </w:r>
    </w:p>
    <w:p w:rsidR="00000000" w:rsidDel="00000000" w:rsidP="00000000" w:rsidRDefault="00000000" w:rsidRPr="00000000" w14:paraId="000000D4">
      <w:pPr>
        <w:spacing w:line="312" w:lineRule="auto"/>
        <w:ind w:left="288" w:firstLine="0"/>
        <w:rPr/>
      </w:pPr>
      <w:r w:rsidDel="00000000" w:rsidR="00000000" w:rsidRPr="00000000">
        <w:rPr>
          <w:b w:val="1"/>
          <w:bCs w:val="1"/>
          <w:rtl w:val="0"/>
        </w:rPr>
        <w:t xml:space="preserve">Carrying Capacity: </w:t>
      </w:r>
      <w:r w:rsidDel="00000000" w:rsidR="00000000" w:rsidRPr="00000000">
        <w:rPr>
          <w:rtl w:val="0"/>
        </w:rPr>
        <w:t xml:space="preserve">The absolute scientific line showing the maximum number of people an ancient site can physically handle before the stones start eroding, garbage piles up, and the visitor experience turns into a noisy mess.</w:t>
      </w:r>
    </w:p>
    <w:p w:rsidR="00000000" w:rsidDel="00000000" w:rsidP="00000000" w:rsidRDefault="00000000" w:rsidRPr="00000000" w14:paraId="000000D5">
      <w:pPr>
        <w:spacing w:line="312" w:lineRule="auto"/>
        <w:ind w:left="288" w:firstLine="0"/>
        <w:rPr/>
      </w:pPr>
      <w:r w:rsidDel="00000000" w:rsidR="00000000" w:rsidRPr="00000000">
        <w:rPr>
          <w:b w:val="1"/>
          <w:bCs w:val="1"/>
          <w:rtl w:val="0"/>
        </w:rPr>
        <w:t xml:space="preserve">Economic Leakage: </w:t>
      </w:r>
      <w:r w:rsidDel="00000000" w:rsidR="00000000" w:rsidRPr="00000000">
        <w:rPr>
          <w:rtl w:val="0"/>
        </w:rPr>
        <w:t xml:space="preserve">A massive business failure where all the money spent by tourists at a local historic site immediately leaks out to international hotel chains or big city travel agencies, leaving locals with zero cash.</w:t>
      </w:r>
    </w:p>
    <w:p w:rsidR="00000000" w:rsidDel="00000000" w:rsidP="00000000" w:rsidRDefault="00000000" w:rsidRPr="00000000" w14:paraId="000000D6">
      <w:pPr>
        <w:spacing w:line="312" w:lineRule="auto"/>
        <w:ind w:left="288" w:firstLine="0"/>
        <w:rPr/>
      </w:pPr>
      <w:r w:rsidDel="00000000" w:rsidR="00000000" w:rsidRPr="00000000">
        <w:rPr>
          <w:b w:val="1"/>
          <w:bCs w:val="1"/>
          <w:rtl w:val="0"/>
        </w:rPr>
        <w:t xml:space="preserve">Intangible Heritage: </w:t>
      </w:r>
      <w:r w:rsidDel="00000000" w:rsidR="00000000" w:rsidRPr="00000000">
        <w:rPr>
          <w:rtl w:val="0"/>
        </w:rPr>
        <w:t xml:space="preserve">The completely invisible, living part of a culture that you can't touch but can feel—like traditional Punjabi folksongs, storytelling, ancient recipes, festivals, dances, and specialized craft skills.</w:t>
      </w:r>
    </w:p>
    <w:p w:rsidR="00000000" w:rsidDel="00000000" w:rsidP="00000000" w:rsidRDefault="00000000" w:rsidRPr="00000000" w14:paraId="000000D7">
      <w:pPr>
        <w:spacing w:line="312" w:lineRule="auto"/>
        <w:ind w:left="288" w:firstLine="0"/>
        <w:rPr/>
      </w:pPr>
      <w:r w:rsidDel="00000000" w:rsidR="00000000" w:rsidRPr="00000000">
        <w:rPr>
          <w:b w:val="1"/>
          <w:bCs w:val="1"/>
          <w:rtl w:val="0"/>
        </w:rPr>
        <w:t xml:space="preserve">Participatory Planning: </w:t>
      </w:r>
      <w:r w:rsidDel="00000000" w:rsidR="00000000" w:rsidRPr="00000000">
        <w:rPr>
          <w:rtl w:val="0"/>
        </w:rPr>
        <w:t xml:space="preserve">A management strategy that throws out top-down dictatorial rules and gives local residents a legal seat on the site's management board, making them the bosses of their own historical wealth.</w:t>
      </w:r>
    </w:p>
    <w:p w:rsidR="00000000" w:rsidDel="00000000" w:rsidP="00000000" w:rsidRDefault="00000000" w:rsidRPr="00000000" w14:paraId="000000D8">
      <w:pPr>
        <w:spacing w:line="312" w:lineRule="auto"/>
        <w:ind w:left="288" w:firstLine="0"/>
        <w:rPr/>
      </w:pPr>
      <w:r w:rsidDel="00000000" w:rsidR="00000000" w:rsidRPr="00000000">
        <w:rPr>
          <w:b w:val="1"/>
          <w:bCs w:val="1"/>
          <w:rtl w:val="0"/>
        </w:rPr>
        <w:t xml:space="preserve">Tangible Heritage: </w:t>
      </w:r>
      <w:r w:rsidDel="00000000" w:rsidR="00000000" w:rsidRPr="00000000">
        <w:rPr>
          <w:rtl w:val="0"/>
        </w:rPr>
        <w:t xml:space="preserve">All the old physical things from the past that you can touch, see, and measure—like the sandstone bricks of Qutb Minar, old coins, historic fort walls, statues, and ancient written manuscripts.</w:t>
      </w:r>
    </w:p>
    <w:p w:rsidR="00000000" w:rsidDel="00000000" w:rsidP="00000000" w:rsidRDefault="00000000" w:rsidRPr="00000000" w14:paraId="000000D9">
      <w:pPr>
        <w:spacing w:line="312" w:lineRule="auto"/>
        <w:ind w:left="288" w:firstLine="0"/>
        <w:rPr/>
      </w:pPr>
      <w:r w:rsidDel="00000000" w:rsidR="00000000" w:rsidRPr="00000000">
        <w:rPr>
          <w:b w:val="1"/>
          <w:bCs w:val="1"/>
          <w:rtl w:val="0"/>
        </w:rPr>
        <w:t xml:space="preserve">Triple Bottom Line (TBL): </w:t>
      </w:r>
      <w:r w:rsidDel="00000000" w:rsidR="00000000" w:rsidRPr="00000000">
        <w:rPr>
          <w:rtl w:val="0"/>
        </w:rPr>
        <w:t xml:space="preserve">A framework proving that success isn't just about financial profit ledger entries. A site must score high in three things: Planet (Conservation), Profit (Local Wealth), and People (Socio-cultural Equity).</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