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628AEA"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5DF61935" wp14:editId="4531E7C6">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8781312"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01805569" w14:textId="77777777" w:rsidR="0019504D" w:rsidRDefault="0019504D" w:rsidP="0019504D">
      <w:pPr>
        <w:rPr>
          <w:lang w:val="en-US"/>
        </w:rPr>
      </w:pPr>
      <w:r w:rsidRPr="0019504D">
        <w:rPr>
          <w:lang w:val="en-US"/>
        </w:rPr>
        <w:t>Ass</w:t>
      </w:r>
      <w:r>
        <w:rPr>
          <w:lang w:val="en-US"/>
        </w:rPr>
        <w:t xml:space="preserve">ignment </w:t>
      </w:r>
      <w:r w:rsidR="00CA2604">
        <w:rPr>
          <w:lang w:val="en-US"/>
        </w:rPr>
        <w:t>3</w:t>
      </w:r>
    </w:p>
    <w:p w14:paraId="335955A4" w14:textId="77777777" w:rsidR="0019504D" w:rsidRPr="0019504D" w:rsidRDefault="00CA2604" w:rsidP="0019504D">
      <w:pPr>
        <w:rPr>
          <w:lang w:val="en-US"/>
        </w:rPr>
      </w:pPr>
      <w:r>
        <w:rPr>
          <w:lang w:val="en-US"/>
        </w:rPr>
        <w:t>21</w:t>
      </w:r>
      <w:r w:rsidR="0019504D">
        <w:rPr>
          <w:lang w:val="en-US"/>
        </w:rPr>
        <w:t>.0</w:t>
      </w:r>
      <w:r w:rsidR="00481859">
        <w:rPr>
          <w:lang w:val="en-US"/>
        </w:rPr>
        <w:t>1</w:t>
      </w:r>
      <w:r w:rsidR="0019504D">
        <w:rPr>
          <w:lang w:val="en-US"/>
        </w:rPr>
        <w:t>.2025</w:t>
      </w:r>
    </w:p>
    <w:p w14:paraId="05374CC6" w14:textId="77777777" w:rsidR="0019504D" w:rsidRDefault="0019504D"/>
    <w:p w14:paraId="3588FEE4" w14:textId="77777777" w:rsidR="0019504D" w:rsidRDefault="0019504D"/>
    <w:p w14:paraId="63A74070" w14:textId="77777777" w:rsidR="0019504D" w:rsidRDefault="0019504D"/>
    <w:p w14:paraId="225FF57C" w14:textId="77777777" w:rsidR="0019504D" w:rsidRDefault="0019504D"/>
    <w:p w14:paraId="565965FF" w14:textId="77777777" w:rsidR="0019504D" w:rsidRDefault="0019504D"/>
    <w:p w14:paraId="3EAABA35" w14:textId="77777777" w:rsidR="00CD620A" w:rsidRDefault="00CD620A"/>
    <w:p w14:paraId="36B6638A" w14:textId="77777777" w:rsidR="00CD620A" w:rsidRDefault="00CD620A"/>
    <w:p w14:paraId="0E156846" w14:textId="77777777" w:rsidR="00CD620A" w:rsidRDefault="00CD620A"/>
    <w:p w14:paraId="664DEF50" w14:textId="77777777" w:rsidR="00CD620A" w:rsidRDefault="00CD620A"/>
    <w:p w14:paraId="56E2BE81" w14:textId="77777777" w:rsidR="00CD620A" w:rsidRDefault="00CD620A"/>
    <w:p w14:paraId="53B35106" w14:textId="77777777" w:rsidR="00EA737F" w:rsidRDefault="00EA737F"/>
    <w:p w14:paraId="21383E2E" w14:textId="77777777" w:rsidR="0019504D" w:rsidRDefault="0019504D"/>
    <w:p w14:paraId="05B62CE0" w14:textId="77777777" w:rsidR="0019504D" w:rsidRDefault="0019504D"/>
    <w:p w14:paraId="38E44FC3" w14:textId="77777777"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29D4C322" w14:textId="77777777" w:rsidR="00CA2604" w:rsidRDefault="00CA2604" w:rsidP="00EA737F">
      <w:pPr>
        <w:spacing w:line="276" w:lineRule="auto"/>
        <w:rPr>
          <w:b/>
          <w:bCs/>
          <w:lang w:val="en-US"/>
        </w:rPr>
      </w:pPr>
    </w:p>
    <w:p w14:paraId="624EBA47" w14:textId="77777777" w:rsidR="00CA2604" w:rsidRPr="00EA737F" w:rsidRDefault="00CA2604" w:rsidP="00EA737F">
      <w:pPr>
        <w:spacing w:line="276" w:lineRule="auto"/>
        <w:rPr>
          <w:b/>
          <w:bCs/>
          <w:lang w:val="en-US"/>
        </w:rPr>
      </w:pPr>
    </w:p>
    <w:p w14:paraId="014D2836" w14:textId="77777777" w:rsidR="00EA737F" w:rsidRDefault="00EA737F" w:rsidP="00EA737F">
      <w:pPr>
        <w:spacing w:line="276" w:lineRule="auto"/>
        <w:rPr>
          <w:lang w:val="en-US"/>
        </w:rPr>
      </w:pPr>
    </w:p>
    <w:p w14:paraId="080C611C" w14:textId="77777777" w:rsidR="00EA737F" w:rsidRDefault="00EA737F" w:rsidP="00CA2604">
      <w:pPr>
        <w:spacing w:line="276" w:lineRule="auto"/>
        <w:rPr>
          <w:lang w:val="en-US"/>
        </w:rPr>
      </w:pPr>
      <w:r>
        <w:rPr>
          <w:lang w:val="en-US"/>
        </w:rPr>
        <w:t xml:space="preserve">1- </w:t>
      </w:r>
      <w:r w:rsidR="00CA2604" w:rsidRPr="00CA2604">
        <w:rPr>
          <w:lang w:val="en-US"/>
        </w:rPr>
        <w:t>How can your own country benefit from applying the Global Code of Ethics for Tourism in practice?</w:t>
      </w:r>
    </w:p>
    <w:p w14:paraId="48A835CC" w14:textId="77777777" w:rsidR="008039ED" w:rsidRDefault="008039ED" w:rsidP="00CA2604">
      <w:pPr>
        <w:spacing w:line="276" w:lineRule="auto"/>
        <w:rPr>
          <w:lang w:val="en-US"/>
        </w:rPr>
      </w:pPr>
    </w:p>
    <w:p w14:paraId="3361C88F" w14:textId="77777777" w:rsidR="008039ED" w:rsidRDefault="008039ED" w:rsidP="00CA2604">
      <w:pPr>
        <w:spacing w:line="276" w:lineRule="auto"/>
        <w:rPr>
          <w:lang w:val="en-US"/>
        </w:rPr>
      </w:pPr>
    </w:p>
    <w:p w14:paraId="4EC79C58" w14:textId="77777777" w:rsidR="008039ED" w:rsidRDefault="008039ED" w:rsidP="00CA2604">
      <w:pPr>
        <w:spacing w:line="276" w:lineRule="auto"/>
        <w:rPr>
          <w:lang w:val="en-US"/>
        </w:rPr>
      </w:pPr>
    </w:p>
    <w:p w14:paraId="7151F009" w14:textId="77777777" w:rsidR="008039ED" w:rsidRDefault="008039ED" w:rsidP="00CA2604">
      <w:pPr>
        <w:spacing w:line="276" w:lineRule="auto"/>
        <w:rPr>
          <w:lang w:val="en-US"/>
        </w:rPr>
      </w:pPr>
    </w:p>
    <w:p w14:paraId="1780FF2C" w14:textId="77777777" w:rsidR="008039ED" w:rsidRDefault="008039ED" w:rsidP="00CA2604">
      <w:pPr>
        <w:spacing w:line="276" w:lineRule="auto"/>
        <w:rPr>
          <w:lang w:val="en-US"/>
        </w:rPr>
      </w:pPr>
    </w:p>
    <w:p w14:paraId="42ED1296" w14:textId="77777777" w:rsidR="008039ED" w:rsidRDefault="008039ED" w:rsidP="00CA2604">
      <w:pPr>
        <w:spacing w:line="276" w:lineRule="auto"/>
        <w:rPr>
          <w:lang w:val="en-US"/>
        </w:rPr>
      </w:pPr>
    </w:p>
    <w:p w14:paraId="368C2C46" w14:textId="77777777" w:rsidR="008039ED" w:rsidRDefault="008039ED" w:rsidP="00CA2604">
      <w:pPr>
        <w:spacing w:line="276" w:lineRule="auto"/>
        <w:rPr>
          <w:lang w:val="en-US"/>
        </w:rPr>
      </w:pPr>
    </w:p>
    <w:p w14:paraId="0EAD083E" w14:textId="77777777" w:rsidR="008039ED" w:rsidRDefault="008039ED" w:rsidP="00CA2604">
      <w:pPr>
        <w:spacing w:line="276" w:lineRule="auto"/>
        <w:rPr>
          <w:lang w:val="en-US"/>
        </w:rPr>
      </w:pPr>
    </w:p>
    <w:p w14:paraId="711CEFB5" w14:textId="77777777" w:rsidR="008039ED" w:rsidRDefault="008039ED" w:rsidP="00CA2604">
      <w:pPr>
        <w:spacing w:line="276" w:lineRule="auto"/>
        <w:rPr>
          <w:lang w:val="en-US"/>
        </w:rPr>
      </w:pPr>
    </w:p>
    <w:p w14:paraId="668FE088" w14:textId="77777777" w:rsidR="008039ED" w:rsidRDefault="008039ED" w:rsidP="00CA2604">
      <w:pPr>
        <w:spacing w:line="276" w:lineRule="auto"/>
        <w:rPr>
          <w:lang w:val="en-US"/>
        </w:rPr>
      </w:pPr>
    </w:p>
    <w:p w14:paraId="4566C45E" w14:textId="77777777" w:rsidR="008039ED" w:rsidRDefault="008039ED" w:rsidP="00CA2604">
      <w:pPr>
        <w:spacing w:line="276" w:lineRule="auto"/>
        <w:rPr>
          <w:lang w:val="en-US"/>
        </w:rPr>
      </w:pPr>
    </w:p>
    <w:p w14:paraId="0C077084" w14:textId="77777777" w:rsidR="008039ED" w:rsidRDefault="008039ED" w:rsidP="00CA2604">
      <w:pPr>
        <w:spacing w:line="276" w:lineRule="auto"/>
        <w:rPr>
          <w:lang w:val="en-US"/>
        </w:rPr>
      </w:pPr>
    </w:p>
    <w:p w14:paraId="493F9AC9" w14:textId="77777777" w:rsidR="008039ED" w:rsidRDefault="008039ED" w:rsidP="00CA2604">
      <w:pPr>
        <w:spacing w:line="276" w:lineRule="auto"/>
        <w:rPr>
          <w:lang w:val="en-US"/>
        </w:rPr>
      </w:pPr>
    </w:p>
    <w:p w14:paraId="392D40BB" w14:textId="77777777" w:rsidR="008039ED" w:rsidRDefault="008039ED" w:rsidP="00CA2604">
      <w:pPr>
        <w:spacing w:line="276" w:lineRule="auto"/>
        <w:rPr>
          <w:lang w:val="en-US"/>
        </w:rPr>
      </w:pPr>
    </w:p>
    <w:p w14:paraId="16B102EF" w14:textId="77777777" w:rsidR="008039ED" w:rsidRDefault="008039ED" w:rsidP="00CA2604">
      <w:pPr>
        <w:spacing w:line="276" w:lineRule="auto"/>
        <w:rPr>
          <w:lang w:val="en-US"/>
        </w:rPr>
      </w:pPr>
    </w:p>
    <w:p w14:paraId="2C51E6D2" w14:textId="77777777" w:rsidR="008039ED" w:rsidRDefault="008039ED" w:rsidP="00CA2604">
      <w:pPr>
        <w:spacing w:line="276" w:lineRule="auto"/>
        <w:rPr>
          <w:lang w:val="en-US"/>
        </w:rPr>
      </w:pPr>
    </w:p>
    <w:p w14:paraId="675712FE" w14:textId="77777777" w:rsidR="008039ED" w:rsidRDefault="008039ED" w:rsidP="00CA2604">
      <w:pPr>
        <w:spacing w:line="276" w:lineRule="auto"/>
        <w:rPr>
          <w:lang w:val="en-US"/>
        </w:rPr>
      </w:pPr>
    </w:p>
    <w:p w14:paraId="66B3BA08" w14:textId="77777777" w:rsidR="008039ED" w:rsidRDefault="008039ED" w:rsidP="00CA2604">
      <w:pPr>
        <w:spacing w:line="276" w:lineRule="auto"/>
        <w:rPr>
          <w:lang w:val="en-US"/>
        </w:rPr>
      </w:pPr>
    </w:p>
    <w:p w14:paraId="1FCE07CD" w14:textId="77777777" w:rsidR="008039ED" w:rsidRDefault="008039ED" w:rsidP="00CA2604">
      <w:pPr>
        <w:spacing w:line="276" w:lineRule="auto"/>
        <w:rPr>
          <w:lang w:val="en-US"/>
        </w:rPr>
      </w:pPr>
    </w:p>
    <w:p w14:paraId="3A938542" w14:textId="77777777" w:rsidR="008039ED" w:rsidRDefault="008039ED" w:rsidP="00CA2604">
      <w:pPr>
        <w:spacing w:line="276" w:lineRule="auto"/>
        <w:rPr>
          <w:lang w:val="en-US"/>
        </w:rPr>
      </w:pPr>
    </w:p>
    <w:p w14:paraId="5E9F1A01" w14:textId="77777777" w:rsidR="003B0A7B" w:rsidRPr="003B0A7B" w:rsidRDefault="003B0A7B" w:rsidP="003B0A7B">
      <w:pPr>
        <w:spacing w:line="276" w:lineRule="auto"/>
        <w:rPr>
          <w:lang w:val="en-GB"/>
        </w:rPr>
      </w:pPr>
      <w:r w:rsidRPr="003B0A7B">
        <w:rPr>
          <w:lang w:val="en-GB"/>
        </w:rPr>
        <w:lastRenderedPageBreak/>
        <w:t>The Global Code of Ethics for Tourism (GCET), which was adopted in 1999, is a complete guide for the responsible and sustainable growth of tourism around the world (</w:t>
      </w:r>
      <w:proofErr w:type="spellStart"/>
      <w:r w:rsidRPr="003B0A7B">
        <w:rPr>
          <w:lang w:val="en-GB"/>
        </w:rPr>
        <w:t>Nurjaya</w:t>
      </w:r>
      <w:proofErr w:type="spellEnd"/>
      <w:r w:rsidRPr="003B0A7B">
        <w:rPr>
          <w:lang w:val="en-GB"/>
        </w:rPr>
        <w:t>, 2022). The Code is not legally enforceable because it is a "soft law" instrument. However, when national governments use it in real life, it can help people gain more authority over their lives, protect the environment, and defend human rights (</w:t>
      </w:r>
      <w:proofErr w:type="spellStart"/>
      <w:r w:rsidRPr="003B0A7B">
        <w:rPr>
          <w:lang w:val="en-GB"/>
        </w:rPr>
        <w:t>Dharmawan</w:t>
      </w:r>
      <w:proofErr w:type="spellEnd"/>
      <w:r w:rsidRPr="003B0A7B">
        <w:rPr>
          <w:lang w:val="en-GB"/>
        </w:rPr>
        <w:t xml:space="preserve">, 2012). Countries can change tourism from a simple extractive business into a driver of overall national growth by making these ten ideas part of national policy. </w:t>
      </w:r>
      <w:r w:rsidRPr="003B0A7B">
        <w:rPr>
          <w:lang w:val="en-GB"/>
        </w:rPr>
        <w:br/>
        <w:t>One of the main benefits of putting the GCET into action is that it will help local communities get back on their feet socially and economically. Article 5 stresses that tourist activities should involve local people and that they should get a fair part of the money they make (</w:t>
      </w:r>
      <w:proofErr w:type="spellStart"/>
      <w:r w:rsidRPr="003B0A7B">
        <w:rPr>
          <w:lang w:val="en-GB"/>
        </w:rPr>
        <w:t>Wiryawan</w:t>
      </w:r>
      <w:proofErr w:type="spellEnd"/>
      <w:r w:rsidRPr="003B0A7B">
        <w:rPr>
          <w:lang w:val="en-GB"/>
        </w:rPr>
        <w:t xml:space="preserve"> &amp; Jaelani, 2024). In practice, this pushes governments to move away from "mass tourism" approaches that often cause earnings to leave the host country. The Code, on the other hand, supports community-based tourism (CBT), which gives communities a say in decisions and makes sure that both direct and indirect jobs are created (Dangi &amp; Jamal, 2016). This localized approach encourages people to take care of their own cultural and natural heritage, making them active custodians of it (</w:t>
      </w:r>
      <w:proofErr w:type="spellStart"/>
      <w:r w:rsidRPr="003B0A7B">
        <w:rPr>
          <w:lang w:val="en-GB"/>
        </w:rPr>
        <w:t>Boșca</w:t>
      </w:r>
      <w:proofErr w:type="spellEnd"/>
      <w:r w:rsidRPr="003B0A7B">
        <w:rPr>
          <w:lang w:val="en-GB"/>
        </w:rPr>
        <w:t xml:space="preserve"> &amp; Emilian, 2024). </w:t>
      </w:r>
      <w:r w:rsidRPr="003B0A7B">
        <w:rPr>
          <w:lang w:val="en-GB"/>
        </w:rPr>
        <w:br/>
        <w:t>The GCET also gives a very important framework for taking care of the environment. Article 3 says that tourism is a part of sustainable development and tells everybody involved to protect the natural environment so that the economy may keep growing (</w:t>
      </w:r>
      <w:proofErr w:type="spellStart"/>
      <w:r w:rsidRPr="003B0A7B">
        <w:rPr>
          <w:lang w:val="en-GB"/>
        </w:rPr>
        <w:t>Nurjaya</w:t>
      </w:r>
      <w:proofErr w:type="spellEnd"/>
      <w:r w:rsidRPr="003B0A7B">
        <w:rPr>
          <w:lang w:val="en-GB"/>
        </w:rPr>
        <w:t xml:space="preserve">, 2022). In many developed and developing countries, practical application means employing renewable energy, setting up systems to cut down on waste, and taking care of natural resources to make the industry's impact on the environment as small as possible (Dias et al., 2021). Countries can maintain biodiversity and improve their brand image at the same time by following these ethical norms. This will help them attract more "environmentally conscious" travellers (Alexakis &amp; Rice, 2016). </w:t>
      </w:r>
      <w:r w:rsidRPr="003B0A7B">
        <w:rPr>
          <w:lang w:val="en-GB"/>
        </w:rPr>
        <w:br/>
        <w:t>Lastly, the Code is a weapon for diplomacy and human rights around the world. It encourages tourists and host communities to respect each other and see travel as a "right" that should be done with regard for the dignity of others (</w:t>
      </w:r>
      <w:proofErr w:type="spellStart"/>
      <w:r w:rsidRPr="003B0A7B">
        <w:rPr>
          <w:lang w:val="en-GB"/>
        </w:rPr>
        <w:t>Schänzel</w:t>
      </w:r>
      <w:proofErr w:type="spellEnd"/>
      <w:r w:rsidRPr="003B0A7B">
        <w:rPr>
          <w:lang w:val="en-GB"/>
        </w:rPr>
        <w:t xml:space="preserve"> &amp; Apollo, 2023). In practice, this means putting rules in place that protect the rights of indigenous people and stop the exploitation of vulnerable populations (</w:t>
      </w:r>
      <w:proofErr w:type="spellStart"/>
      <w:r w:rsidRPr="003B0A7B">
        <w:rPr>
          <w:lang w:val="en-GB"/>
        </w:rPr>
        <w:t>Wiryawan</w:t>
      </w:r>
      <w:proofErr w:type="spellEnd"/>
      <w:r w:rsidRPr="003B0A7B">
        <w:rPr>
          <w:lang w:val="en-GB"/>
        </w:rPr>
        <w:t xml:space="preserve"> &amp; Jaelani, 2024). In conclusion, when governments turn the GCET from a theoretical paper into a real policy guide, they make sure that it will last for a long time and that tourists will enjoy themselves while still being good for the host society (</w:t>
      </w:r>
      <w:proofErr w:type="spellStart"/>
      <w:r w:rsidRPr="003B0A7B">
        <w:rPr>
          <w:lang w:val="en-GB"/>
        </w:rPr>
        <w:t>Schänzel</w:t>
      </w:r>
      <w:proofErr w:type="spellEnd"/>
      <w:r w:rsidRPr="003B0A7B">
        <w:rPr>
          <w:lang w:val="en-GB"/>
        </w:rPr>
        <w:t xml:space="preserve"> &amp; Apollo, 2023).</w:t>
      </w:r>
    </w:p>
    <w:p w14:paraId="1D4CB87A" w14:textId="77777777" w:rsidR="00607429" w:rsidRDefault="00607429" w:rsidP="008A684E">
      <w:pPr>
        <w:spacing w:line="276" w:lineRule="auto"/>
        <w:rPr>
          <w:b/>
          <w:bCs/>
          <w:lang w:val="en-GB"/>
        </w:rPr>
      </w:pPr>
    </w:p>
    <w:p w14:paraId="7FB3FD62" w14:textId="77777777" w:rsidR="00607429" w:rsidRDefault="00607429" w:rsidP="008A684E">
      <w:pPr>
        <w:spacing w:line="276" w:lineRule="auto"/>
        <w:rPr>
          <w:b/>
          <w:bCs/>
          <w:lang w:val="en-GB"/>
        </w:rPr>
      </w:pPr>
    </w:p>
    <w:p w14:paraId="7AEFB5C1" w14:textId="77777777" w:rsidR="00607429" w:rsidRDefault="00607429" w:rsidP="008A684E">
      <w:pPr>
        <w:spacing w:line="276" w:lineRule="auto"/>
        <w:rPr>
          <w:b/>
          <w:bCs/>
          <w:lang w:val="en-GB"/>
        </w:rPr>
      </w:pPr>
    </w:p>
    <w:p w14:paraId="38D0952D" w14:textId="77777777" w:rsidR="00607429" w:rsidRDefault="00607429" w:rsidP="008A684E">
      <w:pPr>
        <w:spacing w:line="276" w:lineRule="auto"/>
        <w:rPr>
          <w:b/>
          <w:bCs/>
          <w:lang w:val="en-GB"/>
        </w:rPr>
      </w:pPr>
    </w:p>
    <w:p w14:paraId="1CB96CEF" w14:textId="77777777" w:rsidR="00607429" w:rsidRDefault="00607429" w:rsidP="008A684E">
      <w:pPr>
        <w:spacing w:line="276" w:lineRule="auto"/>
        <w:rPr>
          <w:b/>
          <w:bCs/>
          <w:lang w:val="en-GB"/>
        </w:rPr>
      </w:pPr>
    </w:p>
    <w:p w14:paraId="04F1534D" w14:textId="77777777" w:rsidR="008A684E" w:rsidRDefault="008A684E" w:rsidP="008A684E">
      <w:pPr>
        <w:spacing w:line="276" w:lineRule="auto"/>
        <w:rPr>
          <w:b/>
          <w:bCs/>
          <w:lang w:val="en-GB"/>
        </w:rPr>
      </w:pPr>
    </w:p>
    <w:p w14:paraId="067EAD26" w14:textId="77777777" w:rsidR="008A684E" w:rsidRDefault="008A684E" w:rsidP="008A684E">
      <w:pPr>
        <w:spacing w:line="276" w:lineRule="auto"/>
        <w:rPr>
          <w:b/>
          <w:bCs/>
          <w:lang w:val="en-GB"/>
        </w:rPr>
      </w:pPr>
    </w:p>
    <w:p w14:paraId="5EA839AE" w14:textId="77777777" w:rsidR="008A684E" w:rsidRPr="008A684E" w:rsidRDefault="008A684E" w:rsidP="008A684E">
      <w:pPr>
        <w:spacing w:line="276" w:lineRule="auto"/>
        <w:rPr>
          <w:b/>
          <w:bCs/>
          <w:lang w:val="en-GB"/>
        </w:rPr>
      </w:pPr>
    </w:p>
    <w:p w14:paraId="4F0823AC" w14:textId="77777777" w:rsidR="008A684E" w:rsidRPr="008A684E" w:rsidRDefault="008A684E" w:rsidP="008A684E">
      <w:pPr>
        <w:spacing w:line="276" w:lineRule="auto"/>
        <w:rPr>
          <w:b/>
          <w:bCs/>
          <w:lang w:val="en-GB"/>
        </w:rPr>
      </w:pPr>
      <w:r w:rsidRPr="008A684E">
        <w:rPr>
          <w:b/>
          <w:bCs/>
          <w:lang w:val="en-GB"/>
        </w:rPr>
        <w:lastRenderedPageBreak/>
        <w:t>References</w:t>
      </w:r>
    </w:p>
    <w:p w14:paraId="064D5C7F" w14:textId="77777777" w:rsidR="008A684E" w:rsidRPr="008A684E" w:rsidRDefault="008A684E" w:rsidP="008A684E">
      <w:pPr>
        <w:spacing w:line="276" w:lineRule="auto"/>
        <w:rPr>
          <w:b/>
          <w:bCs/>
          <w:lang w:val="en-GB"/>
        </w:rPr>
      </w:pPr>
      <w:r w:rsidRPr="008A684E">
        <w:rPr>
          <w:b/>
          <w:bCs/>
          <w:lang w:val="en-GB"/>
        </w:rPr>
        <w:t xml:space="preserve">Alexakis, G., &amp; Rice, L. (2016). Applying the holistic conceptual conservation framework for sustainable tourism. </w:t>
      </w:r>
      <w:r w:rsidRPr="008A684E">
        <w:rPr>
          <w:b/>
          <w:bCs/>
          <w:i/>
          <w:iCs/>
          <w:lang w:val="en-GB"/>
        </w:rPr>
        <w:t>Journal of Tourism Insights</w:t>
      </w:r>
      <w:r w:rsidRPr="008A684E">
        <w:rPr>
          <w:b/>
          <w:bCs/>
          <w:lang w:val="en-GB"/>
        </w:rPr>
        <w:t xml:space="preserve">, </w:t>
      </w:r>
      <w:r w:rsidRPr="008A684E">
        <w:rPr>
          <w:b/>
          <w:bCs/>
          <w:i/>
          <w:iCs/>
          <w:lang w:val="en-GB"/>
        </w:rPr>
        <w:t>7</w:t>
      </w:r>
      <w:r w:rsidRPr="008A684E">
        <w:rPr>
          <w:b/>
          <w:bCs/>
          <w:lang w:val="en-GB"/>
        </w:rPr>
        <w:t xml:space="preserve">(1). </w:t>
      </w:r>
      <w:hyperlink r:id="rId6" w:tgtFrame="_blank" w:history="1">
        <w:r w:rsidRPr="008A684E">
          <w:rPr>
            <w:rStyle w:val="Hyperlink"/>
            <w:b/>
            <w:bCs/>
            <w:lang w:val="en-GB"/>
          </w:rPr>
          <w:t>https://doi.org/10.9707/2328-0824.1065</w:t>
        </w:r>
      </w:hyperlink>
    </w:p>
    <w:p w14:paraId="60E233E6" w14:textId="77777777" w:rsidR="008A684E" w:rsidRPr="008A684E" w:rsidRDefault="008A684E" w:rsidP="008A684E">
      <w:pPr>
        <w:spacing w:line="276" w:lineRule="auto"/>
        <w:rPr>
          <w:b/>
          <w:bCs/>
          <w:lang w:val="en-GB"/>
        </w:rPr>
      </w:pPr>
      <w:proofErr w:type="spellStart"/>
      <w:r w:rsidRPr="008A684E">
        <w:rPr>
          <w:b/>
          <w:bCs/>
          <w:lang w:val="en-GB"/>
        </w:rPr>
        <w:t>Boșca</w:t>
      </w:r>
      <w:proofErr w:type="spellEnd"/>
      <w:r w:rsidRPr="008A684E">
        <w:rPr>
          <w:b/>
          <w:bCs/>
          <w:lang w:val="en-GB"/>
        </w:rPr>
        <w:t xml:space="preserve">, L. C., &amp; Emilian, I. (2024). The overlooked issue in tourism codes of ethics: Making moral principles explicit. </w:t>
      </w:r>
      <w:r w:rsidRPr="008A684E">
        <w:rPr>
          <w:b/>
          <w:bCs/>
          <w:i/>
          <w:iCs/>
          <w:lang w:val="en-GB"/>
        </w:rPr>
        <w:t>Management Conference Proceedings</w:t>
      </w:r>
      <w:r w:rsidRPr="008A684E">
        <w:rPr>
          <w:b/>
          <w:bCs/>
          <w:lang w:val="en-GB"/>
        </w:rPr>
        <w:t xml:space="preserve">, </w:t>
      </w:r>
      <w:r w:rsidRPr="008A684E">
        <w:rPr>
          <w:b/>
          <w:bCs/>
          <w:i/>
          <w:iCs/>
          <w:lang w:val="en-GB"/>
        </w:rPr>
        <w:t>5</w:t>
      </w:r>
      <w:r w:rsidRPr="008A684E">
        <w:rPr>
          <w:b/>
          <w:bCs/>
          <w:lang w:val="en-GB"/>
        </w:rPr>
        <w:t>(1).</w:t>
      </w:r>
    </w:p>
    <w:p w14:paraId="60EDEE7F" w14:textId="77777777" w:rsidR="008A684E" w:rsidRPr="008A684E" w:rsidRDefault="008A684E" w:rsidP="008A684E">
      <w:pPr>
        <w:spacing w:line="276" w:lineRule="auto"/>
        <w:rPr>
          <w:b/>
          <w:bCs/>
          <w:lang w:val="en-GB"/>
        </w:rPr>
      </w:pPr>
      <w:r w:rsidRPr="008A684E">
        <w:rPr>
          <w:b/>
          <w:bCs/>
          <w:lang w:val="en-GB"/>
        </w:rPr>
        <w:t xml:space="preserve">Dangi, T., &amp; Jamal, T. (2016). An integrated approach to “sustainable community-based tourism”. </w:t>
      </w:r>
      <w:r w:rsidRPr="008A684E">
        <w:rPr>
          <w:b/>
          <w:bCs/>
          <w:i/>
          <w:iCs/>
          <w:lang w:val="en-GB"/>
        </w:rPr>
        <w:t>Sustainability</w:t>
      </w:r>
      <w:r w:rsidRPr="008A684E">
        <w:rPr>
          <w:b/>
          <w:bCs/>
          <w:lang w:val="en-GB"/>
        </w:rPr>
        <w:t xml:space="preserve">, </w:t>
      </w:r>
      <w:r w:rsidRPr="008A684E">
        <w:rPr>
          <w:b/>
          <w:bCs/>
          <w:i/>
          <w:iCs/>
          <w:lang w:val="en-GB"/>
        </w:rPr>
        <w:t>8</w:t>
      </w:r>
      <w:r w:rsidRPr="008A684E">
        <w:rPr>
          <w:b/>
          <w:bCs/>
          <w:lang w:val="en-GB"/>
        </w:rPr>
        <w:t xml:space="preserve">(5), 475. </w:t>
      </w:r>
      <w:hyperlink r:id="rId7" w:tgtFrame="_blank" w:history="1">
        <w:r w:rsidRPr="008A684E">
          <w:rPr>
            <w:rStyle w:val="Hyperlink"/>
            <w:b/>
            <w:bCs/>
            <w:lang w:val="en-GB"/>
          </w:rPr>
          <w:t>https://doi.org/10.3390/su8050475</w:t>
        </w:r>
      </w:hyperlink>
    </w:p>
    <w:p w14:paraId="22E36637" w14:textId="77777777" w:rsidR="008A684E" w:rsidRPr="008A684E" w:rsidRDefault="008A684E" w:rsidP="008A684E">
      <w:pPr>
        <w:spacing w:line="276" w:lineRule="auto"/>
        <w:rPr>
          <w:b/>
          <w:bCs/>
          <w:lang w:val="en-GB"/>
        </w:rPr>
      </w:pPr>
      <w:proofErr w:type="spellStart"/>
      <w:r w:rsidRPr="008A684E">
        <w:rPr>
          <w:b/>
          <w:bCs/>
          <w:lang w:val="en-GB"/>
        </w:rPr>
        <w:t>Dharmawan</w:t>
      </w:r>
      <w:proofErr w:type="spellEnd"/>
      <w:r w:rsidRPr="008A684E">
        <w:rPr>
          <w:b/>
          <w:bCs/>
          <w:lang w:val="en-GB"/>
        </w:rPr>
        <w:t xml:space="preserve">, N. K. S. (2012). Tourism and environment: Toward promoting sustainable development of tourism: A human rights perspective. </w:t>
      </w:r>
      <w:r w:rsidRPr="008A684E">
        <w:rPr>
          <w:b/>
          <w:bCs/>
          <w:i/>
          <w:iCs/>
          <w:lang w:val="en-GB"/>
        </w:rPr>
        <w:t>Indonesia Law Review</w:t>
      </w:r>
      <w:r w:rsidRPr="008A684E">
        <w:rPr>
          <w:b/>
          <w:bCs/>
          <w:lang w:val="en-GB"/>
        </w:rPr>
        <w:t xml:space="preserve">, </w:t>
      </w:r>
      <w:r w:rsidRPr="008A684E">
        <w:rPr>
          <w:b/>
          <w:bCs/>
          <w:i/>
          <w:iCs/>
          <w:lang w:val="en-GB"/>
        </w:rPr>
        <w:t>2</w:t>
      </w:r>
      <w:r w:rsidRPr="008A684E">
        <w:rPr>
          <w:b/>
          <w:bCs/>
          <w:lang w:val="en-GB"/>
        </w:rPr>
        <w:t xml:space="preserve">(1). </w:t>
      </w:r>
      <w:hyperlink r:id="rId8" w:tgtFrame="_blank" w:history="1">
        <w:r w:rsidRPr="008A684E">
          <w:rPr>
            <w:rStyle w:val="Hyperlink"/>
            <w:b/>
            <w:bCs/>
            <w:lang w:val="en-GB"/>
          </w:rPr>
          <w:t>https://doi.org/10.15742/ilrev.v2n1.10</w:t>
        </w:r>
      </w:hyperlink>
    </w:p>
    <w:p w14:paraId="08D50AED" w14:textId="77777777" w:rsidR="008A684E" w:rsidRPr="008A684E" w:rsidRDefault="008A684E" w:rsidP="008A684E">
      <w:pPr>
        <w:spacing w:line="276" w:lineRule="auto"/>
        <w:rPr>
          <w:b/>
          <w:bCs/>
          <w:lang w:val="en-GB"/>
        </w:rPr>
      </w:pPr>
      <w:r w:rsidRPr="008A684E">
        <w:rPr>
          <w:b/>
          <w:bCs/>
          <w:lang w:val="en-GB"/>
        </w:rPr>
        <w:t xml:space="preserve">Dias, Á., Aldana, I., Pereira, L., da Costa, R. L., &amp; António, N. (2021). A measure of tourist responsibility. </w:t>
      </w:r>
      <w:r w:rsidRPr="008A684E">
        <w:rPr>
          <w:b/>
          <w:bCs/>
          <w:i/>
          <w:iCs/>
          <w:lang w:val="en-GB"/>
        </w:rPr>
        <w:t>Sustainability</w:t>
      </w:r>
      <w:r w:rsidRPr="008A684E">
        <w:rPr>
          <w:b/>
          <w:bCs/>
          <w:lang w:val="en-GB"/>
        </w:rPr>
        <w:t xml:space="preserve">, </w:t>
      </w:r>
      <w:r w:rsidRPr="008A684E">
        <w:rPr>
          <w:b/>
          <w:bCs/>
          <w:i/>
          <w:iCs/>
          <w:lang w:val="en-GB"/>
        </w:rPr>
        <w:t>13</w:t>
      </w:r>
      <w:r w:rsidRPr="008A684E">
        <w:rPr>
          <w:b/>
          <w:bCs/>
          <w:lang w:val="en-GB"/>
        </w:rPr>
        <w:t xml:space="preserve">(6), 3351. </w:t>
      </w:r>
      <w:hyperlink r:id="rId9" w:tgtFrame="_blank" w:history="1">
        <w:r w:rsidRPr="008A684E">
          <w:rPr>
            <w:rStyle w:val="Hyperlink"/>
            <w:b/>
            <w:bCs/>
            <w:lang w:val="en-GB"/>
          </w:rPr>
          <w:t>https://doi.org/10.3390/su13063351</w:t>
        </w:r>
      </w:hyperlink>
    </w:p>
    <w:p w14:paraId="7010C963" w14:textId="77777777" w:rsidR="008A684E" w:rsidRPr="008A684E" w:rsidRDefault="008A684E" w:rsidP="008A684E">
      <w:pPr>
        <w:spacing w:line="276" w:lineRule="auto"/>
        <w:rPr>
          <w:b/>
          <w:bCs/>
          <w:lang w:val="en-GB"/>
        </w:rPr>
      </w:pPr>
      <w:proofErr w:type="spellStart"/>
      <w:r w:rsidRPr="008A684E">
        <w:rPr>
          <w:b/>
          <w:bCs/>
          <w:lang w:val="en-GB"/>
        </w:rPr>
        <w:t>Nurjaya</w:t>
      </w:r>
      <w:proofErr w:type="spellEnd"/>
      <w:r w:rsidRPr="008A684E">
        <w:rPr>
          <w:b/>
          <w:bCs/>
          <w:lang w:val="en-GB"/>
        </w:rPr>
        <w:t xml:space="preserve">, I. N. (2022). Legal policy of sustainable tourism development: Toward community-based tourism in Indonesia. </w:t>
      </w:r>
      <w:r w:rsidRPr="008A684E">
        <w:rPr>
          <w:b/>
          <w:bCs/>
          <w:i/>
          <w:iCs/>
          <w:lang w:val="en-GB"/>
        </w:rPr>
        <w:t>Journal of Tourism Economics and Policy</w:t>
      </w:r>
      <w:r w:rsidRPr="008A684E">
        <w:rPr>
          <w:b/>
          <w:bCs/>
          <w:lang w:val="en-GB"/>
        </w:rPr>
        <w:t xml:space="preserve">, </w:t>
      </w:r>
      <w:r w:rsidRPr="008A684E">
        <w:rPr>
          <w:b/>
          <w:bCs/>
          <w:i/>
          <w:iCs/>
          <w:lang w:val="en-GB"/>
        </w:rPr>
        <w:t>2</w:t>
      </w:r>
      <w:r w:rsidRPr="008A684E">
        <w:rPr>
          <w:b/>
          <w:bCs/>
          <w:lang w:val="en-GB"/>
        </w:rPr>
        <w:t xml:space="preserve">(3), 123–132. </w:t>
      </w:r>
      <w:hyperlink r:id="rId10" w:tgtFrame="_blank" w:history="1">
        <w:r w:rsidRPr="008A684E">
          <w:rPr>
            <w:rStyle w:val="Hyperlink"/>
            <w:b/>
            <w:bCs/>
            <w:lang w:val="en-GB"/>
          </w:rPr>
          <w:t>https://doi.org/10.38142/jtep.v2i3.404</w:t>
        </w:r>
      </w:hyperlink>
    </w:p>
    <w:p w14:paraId="4F0ACA02" w14:textId="77777777" w:rsidR="008A684E" w:rsidRPr="008A684E" w:rsidRDefault="008A684E" w:rsidP="008A684E">
      <w:pPr>
        <w:spacing w:line="276" w:lineRule="auto"/>
        <w:rPr>
          <w:b/>
          <w:bCs/>
          <w:lang w:val="en-GB"/>
        </w:rPr>
      </w:pPr>
      <w:r w:rsidRPr="008A684E">
        <w:rPr>
          <w:b/>
          <w:bCs/>
          <w:lang w:val="en-GB"/>
        </w:rPr>
        <w:t xml:space="preserve">Schänzel, H., &amp; Apollo, M. (2023). Specialty grand challenge: Wherever tourism arrives, society notes it first! </w:t>
      </w:r>
      <w:r w:rsidRPr="008A684E">
        <w:rPr>
          <w:b/>
          <w:bCs/>
          <w:i/>
          <w:iCs/>
          <w:lang w:val="en-GB"/>
        </w:rPr>
        <w:t>Frontiers in Sustainable Tourism</w:t>
      </w:r>
      <w:r w:rsidRPr="008A684E">
        <w:rPr>
          <w:b/>
          <w:bCs/>
          <w:lang w:val="en-GB"/>
        </w:rPr>
        <w:t xml:space="preserve">, </w:t>
      </w:r>
      <w:r w:rsidRPr="008A684E">
        <w:rPr>
          <w:b/>
          <w:bCs/>
          <w:i/>
          <w:iCs/>
          <w:lang w:val="en-GB"/>
        </w:rPr>
        <w:t>2</w:t>
      </w:r>
      <w:r w:rsidRPr="008A684E">
        <w:rPr>
          <w:b/>
          <w:bCs/>
          <w:lang w:val="en-GB"/>
        </w:rPr>
        <w:t xml:space="preserve">. </w:t>
      </w:r>
      <w:hyperlink r:id="rId11" w:tgtFrame="_blank" w:history="1">
        <w:r w:rsidRPr="008A684E">
          <w:rPr>
            <w:rStyle w:val="Hyperlink"/>
            <w:b/>
            <w:bCs/>
            <w:lang w:val="en-GB"/>
          </w:rPr>
          <w:t>https://doi.org/10.3389/frsut.2023.1341765</w:t>
        </w:r>
      </w:hyperlink>
    </w:p>
    <w:p w14:paraId="6BF4900E" w14:textId="77777777" w:rsidR="008A684E" w:rsidRPr="008A684E" w:rsidRDefault="008A684E" w:rsidP="008A684E">
      <w:pPr>
        <w:spacing w:line="276" w:lineRule="auto"/>
        <w:rPr>
          <w:b/>
          <w:bCs/>
          <w:lang w:val="en-GB"/>
        </w:rPr>
      </w:pPr>
      <w:proofErr w:type="spellStart"/>
      <w:r w:rsidRPr="008A684E">
        <w:rPr>
          <w:b/>
          <w:bCs/>
          <w:lang w:val="en-GB"/>
        </w:rPr>
        <w:t>Wiryawan</w:t>
      </w:r>
      <w:proofErr w:type="spellEnd"/>
      <w:r w:rsidRPr="008A684E">
        <w:rPr>
          <w:b/>
          <w:bCs/>
          <w:lang w:val="en-GB"/>
        </w:rPr>
        <w:t xml:space="preserve">, I. W. G., &amp; Jaelani, A. K. (2024). Global code of ethic for tourism: The challenges for Indonesian tourism workers in the future. </w:t>
      </w:r>
      <w:r w:rsidRPr="008A684E">
        <w:rPr>
          <w:b/>
          <w:bCs/>
          <w:i/>
          <w:iCs/>
          <w:lang w:val="en-GB"/>
        </w:rPr>
        <w:t>Advances in Social Science, Education and Humanities Research</w:t>
      </w:r>
      <w:r w:rsidRPr="008A684E">
        <w:rPr>
          <w:b/>
          <w:bCs/>
          <w:lang w:val="en-GB"/>
        </w:rPr>
        <w:t xml:space="preserve">. </w:t>
      </w:r>
      <w:hyperlink r:id="rId12" w:tgtFrame="_blank" w:history="1">
        <w:r w:rsidRPr="008A684E">
          <w:rPr>
            <w:rStyle w:val="Hyperlink"/>
            <w:b/>
            <w:bCs/>
            <w:lang w:val="en-GB"/>
          </w:rPr>
          <w:t>https://doi.org/10.2991/978-2-38476-315-3_93</w:t>
        </w:r>
      </w:hyperlink>
    </w:p>
    <w:p w14:paraId="5DB7D913" w14:textId="77777777" w:rsidR="008039ED" w:rsidRPr="00903466" w:rsidRDefault="008039ED" w:rsidP="008A684E">
      <w:pPr>
        <w:spacing w:line="276" w:lineRule="auto"/>
        <w:rPr>
          <w:lang w:val="en-US"/>
        </w:rPr>
      </w:pPr>
    </w:p>
    <w:sectPr w:rsidR="008039ED" w:rsidRPr="009034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277B1A9C-C873-4CF4-AB84-892514DDDBD4}"/>
    <w:embedBold r:id="rId2" w:fontKey="{AACBBBE9-DAB1-4EEC-9F7F-F5FC6AC029C2}"/>
    <w:embedBoldItalic r:id="rId3" w:fontKey="{FA88BF69-210B-4284-B204-E0A85AF35669}"/>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008A1635-1A17-4888-AA1E-78D8A40A94FA}"/>
  </w:font>
  <w:font w:name="Calibri Light">
    <w:panose1 w:val="020F0302020204030204"/>
    <w:charset w:val="00"/>
    <w:family w:val="swiss"/>
    <w:pitch w:val="variable"/>
    <w:sig w:usb0="E4002EFF" w:usb1="C000247B" w:usb2="00000009" w:usb3="00000000" w:csb0="000001FF" w:csb1="00000000"/>
    <w:embedRegular r:id="rId5" w:fontKey="{9F585A55-7210-4328-83EB-B3FBB7122CD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B86481"/>
    <w:multiLevelType w:val="multilevel"/>
    <w:tmpl w:val="D25CA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65532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B0A7B"/>
    <w:rsid w:val="003D1074"/>
    <w:rsid w:val="00426865"/>
    <w:rsid w:val="00477CAA"/>
    <w:rsid w:val="00481859"/>
    <w:rsid w:val="00502E29"/>
    <w:rsid w:val="005E458B"/>
    <w:rsid w:val="00607429"/>
    <w:rsid w:val="00661030"/>
    <w:rsid w:val="006C5B28"/>
    <w:rsid w:val="00716E23"/>
    <w:rsid w:val="008039ED"/>
    <w:rsid w:val="00844EC2"/>
    <w:rsid w:val="008516FE"/>
    <w:rsid w:val="008A684E"/>
    <w:rsid w:val="00903466"/>
    <w:rsid w:val="009C1D0A"/>
    <w:rsid w:val="00A044F7"/>
    <w:rsid w:val="00A8150E"/>
    <w:rsid w:val="00B20343"/>
    <w:rsid w:val="00B85EA7"/>
    <w:rsid w:val="00BE65DD"/>
    <w:rsid w:val="00C21EBA"/>
    <w:rsid w:val="00C612A4"/>
    <w:rsid w:val="00CA2604"/>
    <w:rsid w:val="00CC6AD1"/>
    <w:rsid w:val="00CD620A"/>
    <w:rsid w:val="00E6778A"/>
    <w:rsid w:val="00EA737F"/>
    <w:rsid w:val="00F14EE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5FD83"/>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8A684E"/>
    <w:rPr>
      <w:color w:val="0563C1" w:themeColor="hyperlink"/>
      <w:u w:val="single"/>
    </w:rPr>
  </w:style>
  <w:style w:type="character" w:styleId="UnresolvedMention">
    <w:name w:val="Unresolved Mention"/>
    <w:basedOn w:val="DefaultParagraphFont"/>
    <w:uiPriority w:val="99"/>
    <w:semiHidden/>
    <w:unhideWhenUsed/>
    <w:rsid w:val="008A68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q=https://doi.org/10.15742/ilrev.v2n1.1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3390/su8050475" TargetMode="External"/><Relationship Id="rId12" Type="http://schemas.openxmlformats.org/officeDocument/2006/relationships/hyperlink" Target="https://www.google.com/search?q=https://doi.org/10.2991/978-2-38476-315-3_9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search?q=https://doi.org/10.9707/2328-0824.1065" TargetMode="External"/><Relationship Id="rId11" Type="http://schemas.openxmlformats.org/officeDocument/2006/relationships/hyperlink" Target="https://www.google.com/search?q=https://doi.org/10.3389/frsut.2023.1341765" TargetMode="External"/><Relationship Id="rId5" Type="http://schemas.openxmlformats.org/officeDocument/2006/relationships/image" Target="media/image1.png"/><Relationship Id="rId10" Type="http://schemas.openxmlformats.org/officeDocument/2006/relationships/hyperlink" Target="https://www.google.com/search?q=https://doi.org/10.38142/jtep.v2i3.404" TargetMode="External"/><Relationship Id="rId4" Type="http://schemas.openxmlformats.org/officeDocument/2006/relationships/webSettings" Target="webSettings.xml"/><Relationship Id="rId9" Type="http://schemas.openxmlformats.org/officeDocument/2006/relationships/hyperlink" Target="https://doi.org/10.3390/su13063351"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784</Words>
  <Characters>4469</Characters>
  <Application>Microsoft Office Word</Application>
  <DocSecurity>0</DocSecurity>
  <Lines>37</Lines>
  <Paragraphs>10</Paragraphs>
  <ScaleCrop>false</ScaleCrop>
  <Company/>
  <LinksUpToDate>false</LinksUpToDate>
  <CharactersWithSpaces>5243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2026-01-27T04:57:00Z</dcterms:created>
  <dcterms:modified xsi:type="dcterms:W3CDTF">2026-01-27T04:57:00Z</dcterms:modified>
</cp:coreProperties>
</file>