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2AC27" w14:textId="77777777" w:rsidR="00976524" w:rsidRPr="005C55E9" w:rsidRDefault="00976524" w:rsidP="00976524">
      <w:pPr>
        <w:spacing w:line="480" w:lineRule="auto"/>
        <w:rPr>
          <w:rFonts w:ascii="Calibri" w:hAnsi="Calibri" w:cs="Calibri"/>
          <w:color w:val="000000" w:themeColor="text1"/>
          <w:szCs w:val="24"/>
          <w:lang w:val="en-US"/>
        </w:rPr>
      </w:pPr>
    </w:p>
    <w:p w14:paraId="3FA31967" w14:textId="77777777" w:rsidR="00976524" w:rsidRPr="005C55E9" w:rsidRDefault="00976524" w:rsidP="00976524">
      <w:pPr>
        <w:spacing w:line="480" w:lineRule="auto"/>
        <w:rPr>
          <w:rFonts w:ascii="Calibri" w:hAnsi="Calibri" w:cs="Calibri"/>
          <w:color w:val="000000" w:themeColor="text1"/>
          <w:szCs w:val="24"/>
          <w:lang w:val="en-US"/>
        </w:rPr>
      </w:pPr>
      <w:r w:rsidRPr="005C55E9">
        <w:rPr>
          <w:rFonts w:ascii="Calibri" w:hAnsi="Calibri" w:cs="Calibri"/>
          <w:noProof/>
          <w:color w:val="000000" w:themeColor="text1"/>
          <w:szCs w:val="24"/>
          <w:lang w:val="en-US"/>
        </w:rPr>
        <w:drawing>
          <wp:anchor distT="0" distB="0" distL="114300" distR="114300" simplePos="0" relativeHeight="251659264" behindDoc="1" locked="0" layoutInCell="1" allowOverlap="1" wp14:anchorId="4B32F492" wp14:editId="7CDD5E0D">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6F1257F6" w14:textId="77777777" w:rsidR="00976524" w:rsidRPr="005C55E9" w:rsidRDefault="00976524" w:rsidP="00976524">
      <w:pPr>
        <w:spacing w:line="480" w:lineRule="auto"/>
        <w:jc w:val="center"/>
        <w:rPr>
          <w:rFonts w:ascii="Calibri" w:hAnsi="Calibri" w:cs="Calibri"/>
          <w:color w:val="000000" w:themeColor="text1"/>
          <w:szCs w:val="24"/>
        </w:rPr>
      </w:pPr>
    </w:p>
    <w:p w14:paraId="2DC56683" w14:textId="77777777" w:rsidR="00976524" w:rsidRPr="005C55E9" w:rsidRDefault="00976524" w:rsidP="00976524">
      <w:pPr>
        <w:spacing w:line="480" w:lineRule="auto"/>
        <w:jc w:val="center"/>
        <w:rPr>
          <w:rFonts w:ascii="Calibri" w:hAnsi="Calibri" w:cs="Calibri"/>
          <w:color w:val="000000" w:themeColor="text1"/>
          <w:szCs w:val="24"/>
        </w:rPr>
      </w:pPr>
    </w:p>
    <w:p w14:paraId="08FA8A08" w14:textId="77777777" w:rsidR="00976524" w:rsidRPr="005C55E9" w:rsidRDefault="00976524" w:rsidP="00976524">
      <w:pPr>
        <w:spacing w:line="480" w:lineRule="auto"/>
        <w:jc w:val="center"/>
        <w:rPr>
          <w:rFonts w:ascii="Calibri" w:hAnsi="Calibri" w:cs="Calibri"/>
          <w:color w:val="000000" w:themeColor="text1"/>
          <w:szCs w:val="24"/>
        </w:rPr>
      </w:pPr>
    </w:p>
    <w:p w14:paraId="0E8E119A" w14:textId="77777777" w:rsidR="00976524" w:rsidRPr="005C55E9" w:rsidRDefault="00976524" w:rsidP="00976524">
      <w:pPr>
        <w:spacing w:line="480" w:lineRule="auto"/>
        <w:jc w:val="center"/>
        <w:rPr>
          <w:rFonts w:ascii="Calibri" w:hAnsi="Calibri" w:cs="Calibri"/>
          <w:b/>
          <w:bCs/>
          <w:color w:val="000000" w:themeColor="text1"/>
          <w:szCs w:val="24"/>
        </w:rPr>
      </w:pPr>
      <w:proofErr w:type="gramStart"/>
      <w:r w:rsidRPr="005C55E9">
        <w:rPr>
          <w:rFonts w:ascii="Calibri" w:hAnsi="Calibri" w:cs="Calibri"/>
          <w:b/>
          <w:bCs/>
          <w:color w:val="000000" w:themeColor="text1"/>
          <w:szCs w:val="24"/>
        </w:rPr>
        <w:t>Bachelor's</w:t>
      </w:r>
      <w:proofErr w:type="gramEnd"/>
      <w:r w:rsidRPr="005C55E9">
        <w:rPr>
          <w:rFonts w:ascii="Calibri" w:hAnsi="Calibri" w:cs="Calibri"/>
          <w:b/>
          <w:bCs/>
          <w:color w:val="000000" w:themeColor="text1"/>
          <w:szCs w:val="24"/>
        </w:rPr>
        <w:t xml:space="preserve"> in Tourism and Recreation</w:t>
      </w:r>
      <w:r w:rsidRPr="005C55E9">
        <w:rPr>
          <w:rFonts w:ascii="Calibri" w:hAnsi="Calibri" w:cs="Calibri"/>
          <w:b/>
          <w:bCs/>
          <w:color w:val="000000" w:themeColor="text1"/>
          <w:szCs w:val="24"/>
        </w:rPr>
        <w:br/>
      </w:r>
      <w:r w:rsidRPr="005C55E9">
        <w:rPr>
          <w:rFonts w:ascii="Calibri" w:hAnsi="Calibri" w:cs="Calibri"/>
          <w:b/>
          <w:bCs/>
          <w:color w:val="000000" w:themeColor="text1"/>
          <w:szCs w:val="24"/>
        </w:rPr>
        <w:br/>
        <w:t>Accounting Fundamentals</w:t>
      </w:r>
    </w:p>
    <w:p w14:paraId="7B45F95D" w14:textId="77777777" w:rsidR="00976524" w:rsidRPr="005C55E9" w:rsidRDefault="00976524" w:rsidP="00976524">
      <w:pPr>
        <w:spacing w:line="480" w:lineRule="auto"/>
        <w:jc w:val="center"/>
        <w:rPr>
          <w:rFonts w:ascii="Calibri" w:eastAsia="Times New Roman" w:hAnsi="Calibri" w:cs="Calibri"/>
          <w:b/>
          <w:bCs/>
          <w:color w:val="000000" w:themeColor="text1"/>
          <w:kern w:val="0"/>
          <w:szCs w:val="24"/>
          <w:lang w:eastAsia="en-GB"/>
          <w14:ligatures w14:val="none"/>
        </w:rPr>
      </w:pPr>
      <w:r w:rsidRPr="005C55E9">
        <w:rPr>
          <w:rFonts w:ascii="Calibri" w:eastAsia="Times New Roman" w:hAnsi="Calibri" w:cs="Calibri"/>
          <w:b/>
          <w:bCs/>
          <w:color w:val="000000" w:themeColor="text1"/>
          <w:kern w:val="0"/>
          <w:szCs w:val="24"/>
          <w:lang w:eastAsia="en-GB"/>
          <w14:ligatures w14:val="none"/>
        </w:rPr>
        <w:t>Assignment 2: The Double-Entry System and its Impact on Financial Reporting</w:t>
      </w:r>
    </w:p>
    <w:p w14:paraId="467C5C5F" w14:textId="77777777" w:rsidR="00976524" w:rsidRPr="005C55E9" w:rsidRDefault="00976524" w:rsidP="00976524">
      <w:pPr>
        <w:spacing w:line="480" w:lineRule="auto"/>
        <w:jc w:val="center"/>
        <w:rPr>
          <w:rFonts w:ascii="Calibri" w:eastAsia="Times New Roman" w:hAnsi="Calibri" w:cs="Calibri"/>
          <w:b/>
          <w:bCs/>
          <w:color w:val="000000" w:themeColor="text1"/>
          <w:kern w:val="0"/>
          <w:szCs w:val="24"/>
          <w:lang w:eastAsia="en-GB"/>
          <w14:ligatures w14:val="none"/>
        </w:rPr>
      </w:pPr>
    </w:p>
    <w:p w14:paraId="2BF07E75" w14:textId="77777777" w:rsidR="00976524" w:rsidRPr="005C55E9" w:rsidRDefault="00976524" w:rsidP="00976524">
      <w:pPr>
        <w:spacing w:line="480" w:lineRule="auto"/>
        <w:jc w:val="center"/>
        <w:rPr>
          <w:rFonts w:ascii="Calibri" w:eastAsia="Times New Roman" w:hAnsi="Calibri" w:cs="Calibri"/>
          <w:b/>
          <w:bCs/>
          <w:color w:val="000000" w:themeColor="text1"/>
          <w:kern w:val="0"/>
          <w:szCs w:val="24"/>
          <w:lang w:eastAsia="en-GB"/>
          <w14:ligatures w14:val="none"/>
        </w:rPr>
      </w:pPr>
    </w:p>
    <w:p w14:paraId="44300F18" w14:textId="77777777" w:rsidR="00976524" w:rsidRPr="005C55E9" w:rsidRDefault="00976524" w:rsidP="00976524">
      <w:pPr>
        <w:spacing w:line="480" w:lineRule="auto"/>
        <w:jc w:val="center"/>
        <w:rPr>
          <w:rFonts w:ascii="Calibri" w:eastAsia="Times New Roman" w:hAnsi="Calibri" w:cs="Calibri"/>
          <w:b/>
          <w:bCs/>
          <w:color w:val="000000" w:themeColor="text1"/>
          <w:kern w:val="0"/>
          <w:szCs w:val="24"/>
          <w:lang w:eastAsia="en-GB"/>
          <w14:ligatures w14:val="none"/>
        </w:rPr>
      </w:pPr>
    </w:p>
    <w:p w14:paraId="02BFD53A" w14:textId="77777777" w:rsidR="00976524" w:rsidRPr="005C55E9" w:rsidRDefault="00976524" w:rsidP="00976524">
      <w:pPr>
        <w:spacing w:line="480" w:lineRule="auto"/>
        <w:jc w:val="center"/>
        <w:rPr>
          <w:rFonts w:ascii="Calibri" w:eastAsia="Times New Roman" w:hAnsi="Calibri" w:cs="Calibri"/>
          <w:b/>
          <w:bCs/>
          <w:color w:val="000000" w:themeColor="text1"/>
          <w:kern w:val="0"/>
          <w:szCs w:val="24"/>
          <w:lang w:eastAsia="en-GB"/>
          <w14:ligatures w14:val="none"/>
        </w:rPr>
      </w:pPr>
    </w:p>
    <w:p w14:paraId="1463CCD1" w14:textId="77777777" w:rsidR="00976524" w:rsidRPr="005C55E9" w:rsidRDefault="00976524" w:rsidP="00976524">
      <w:pPr>
        <w:spacing w:line="480" w:lineRule="auto"/>
        <w:jc w:val="center"/>
        <w:rPr>
          <w:rFonts w:ascii="Calibri" w:eastAsia="Times New Roman" w:hAnsi="Calibri" w:cs="Calibri"/>
          <w:b/>
          <w:bCs/>
          <w:color w:val="000000" w:themeColor="text1"/>
          <w:kern w:val="0"/>
          <w:szCs w:val="24"/>
          <w:lang w:eastAsia="en-GB"/>
          <w14:ligatures w14:val="none"/>
        </w:rPr>
      </w:pPr>
    </w:p>
    <w:p w14:paraId="53B530FD" w14:textId="77777777" w:rsidR="00976524" w:rsidRPr="005C55E9" w:rsidRDefault="00976524" w:rsidP="00976524">
      <w:pPr>
        <w:spacing w:line="480" w:lineRule="auto"/>
        <w:jc w:val="center"/>
        <w:rPr>
          <w:rFonts w:ascii="Calibri" w:eastAsia="Times New Roman" w:hAnsi="Calibri" w:cs="Calibri"/>
          <w:b/>
          <w:bCs/>
          <w:color w:val="000000" w:themeColor="text1"/>
          <w:kern w:val="0"/>
          <w:szCs w:val="24"/>
          <w:lang w:eastAsia="en-GB"/>
          <w14:ligatures w14:val="none"/>
        </w:rPr>
      </w:pPr>
    </w:p>
    <w:p w14:paraId="69253A31" w14:textId="77777777" w:rsidR="00976524" w:rsidRPr="005C55E9" w:rsidRDefault="00976524" w:rsidP="00976524">
      <w:pPr>
        <w:spacing w:line="480" w:lineRule="auto"/>
        <w:jc w:val="center"/>
        <w:rPr>
          <w:rFonts w:ascii="Calibri" w:hAnsi="Calibri" w:cs="Calibri"/>
          <w:color w:val="000000" w:themeColor="text1"/>
          <w:szCs w:val="24"/>
          <w:lang w:val="en-US"/>
        </w:rPr>
      </w:pPr>
    </w:p>
    <w:p w14:paraId="5436534D" w14:textId="77777777" w:rsidR="00976524" w:rsidRPr="005C55E9" w:rsidRDefault="00976524" w:rsidP="00976524">
      <w:pPr>
        <w:spacing w:line="480" w:lineRule="auto"/>
        <w:rPr>
          <w:rFonts w:ascii="Calibri" w:hAnsi="Calibri" w:cs="Calibri"/>
          <w:color w:val="000000" w:themeColor="text1"/>
          <w:szCs w:val="24"/>
          <w:lang w:val="en-US"/>
        </w:rPr>
      </w:pPr>
    </w:p>
    <w:p w14:paraId="43268139" w14:textId="77777777" w:rsidR="00976524" w:rsidRPr="005C55E9" w:rsidRDefault="00976524" w:rsidP="00976524">
      <w:pPr>
        <w:spacing w:line="480" w:lineRule="auto"/>
        <w:rPr>
          <w:rFonts w:ascii="Calibri" w:hAnsi="Calibri" w:cs="Calibri"/>
          <w:color w:val="000000" w:themeColor="text1"/>
          <w:szCs w:val="24"/>
          <w:lang w:val="en-US"/>
        </w:rPr>
      </w:pPr>
    </w:p>
    <w:p w14:paraId="37382FCA" w14:textId="77777777" w:rsidR="00976524" w:rsidRPr="005C55E9" w:rsidRDefault="00976524" w:rsidP="00976524">
      <w:pPr>
        <w:spacing w:line="480" w:lineRule="auto"/>
        <w:rPr>
          <w:rFonts w:ascii="Calibri" w:hAnsi="Calibri" w:cs="Calibri"/>
          <w:color w:val="000000" w:themeColor="text1"/>
          <w:szCs w:val="24"/>
          <w:lang w:val="en-US"/>
        </w:rPr>
      </w:pPr>
    </w:p>
    <w:p w14:paraId="018E2830" w14:textId="77777777" w:rsidR="00976524" w:rsidRPr="005C55E9" w:rsidRDefault="00976524" w:rsidP="00976524">
      <w:pPr>
        <w:spacing w:line="480" w:lineRule="auto"/>
        <w:rPr>
          <w:rFonts w:ascii="Calibri" w:hAnsi="Calibri" w:cs="Calibri"/>
          <w:color w:val="000000" w:themeColor="text1"/>
          <w:szCs w:val="24"/>
        </w:rPr>
      </w:pPr>
      <w:bookmarkStart w:id="0" w:name="_Toc215261146"/>
      <w:r w:rsidRPr="005C55E9">
        <w:rPr>
          <w:rStyle w:val="Heading1Char"/>
          <w:rFonts w:ascii="Calibri" w:hAnsi="Calibri" w:cs="Calibri"/>
          <w:b/>
          <w:bCs/>
          <w:color w:val="000000" w:themeColor="text1"/>
          <w:sz w:val="24"/>
          <w:szCs w:val="24"/>
        </w:rPr>
        <w:t>Abstract</w:t>
      </w:r>
      <w:bookmarkEnd w:id="0"/>
    </w:p>
    <w:p w14:paraId="45A857B5" w14:textId="77777777" w:rsidR="00976524" w:rsidRPr="005C55E9" w:rsidRDefault="00976524" w:rsidP="00976524">
      <w:pPr>
        <w:spacing w:line="480" w:lineRule="auto"/>
        <w:rPr>
          <w:rFonts w:ascii="Calibri" w:hAnsi="Calibri" w:cs="Calibri"/>
          <w:color w:val="000000" w:themeColor="text1"/>
          <w:szCs w:val="24"/>
        </w:rPr>
      </w:pPr>
      <w:r w:rsidRPr="005C55E9">
        <w:rPr>
          <w:rFonts w:ascii="Calibri" w:hAnsi="Calibri" w:cs="Calibri"/>
          <w:color w:val="000000" w:themeColor="text1"/>
          <w:szCs w:val="24"/>
        </w:rPr>
        <w:t>One of the basic systems that guarantees accuracy, consistency and reliability in financial reporting is the double-entry system of accounting. This system works on the principle that all financial transactions will involve two accounts, through which there will be a debit and credit entry in the accounting records, thus balancing them. The paper will discuss the theoretical and practical importance of the system of double-entry and the way in which that system aids in the process of accurate financial reporting. The system ensures a dynamic system of checks and balances between total debits and total credits, and this ensures that misstatements and fraud will be minimized (Weygandt et al., 2020).</w:t>
      </w:r>
    </w:p>
    <w:p w14:paraId="6639A347" w14:textId="77777777" w:rsidR="00976524" w:rsidRPr="005C55E9" w:rsidRDefault="00976524" w:rsidP="00976524">
      <w:pPr>
        <w:spacing w:line="480" w:lineRule="auto"/>
        <w:rPr>
          <w:rFonts w:ascii="Calibri" w:hAnsi="Calibri" w:cs="Calibri"/>
          <w:color w:val="000000" w:themeColor="text1"/>
          <w:szCs w:val="24"/>
        </w:rPr>
      </w:pPr>
      <w:r w:rsidRPr="005C55E9">
        <w:rPr>
          <w:rFonts w:ascii="Calibri" w:hAnsi="Calibri" w:cs="Calibri"/>
          <w:color w:val="000000" w:themeColor="text1"/>
          <w:szCs w:val="24"/>
        </w:rPr>
        <w:t>The paper also dwells on the concept of debits and credits and how they impact different types of accounts such as assets, liabilities, equity, revenues and expenses. It is postulated in the literature that the repetitive use of the validity of the accounting records and the reliability of the financial statements provided by the balance sheet, income statement, and cash flow statement can be strengthened with the use of the principles of double-entry (</w:t>
      </w:r>
      <w:proofErr w:type="spellStart"/>
      <w:r w:rsidRPr="005C55E9">
        <w:rPr>
          <w:rFonts w:ascii="Calibri" w:hAnsi="Calibri" w:cs="Calibri"/>
          <w:color w:val="000000" w:themeColor="text1"/>
          <w:szCs w:val="24"/>
        </w:rPr>
        <w:t>Kieso</w:t>
      </w:r>
      <w:proofErr w:type="spellEnd"/>
      <w:r w:rsidRPr="005C55E9">
        <w:rPr>
          <w:rFonts w:ascii="Calibri" w:hAnsi="Calibri" w:cs="Calibri"/>
          <w:color w:val="000000" w:themeColor="text1"/>
          <w:szCs w:val="24"/>
        </w:rPr>
        <w:t xml:space="preserve"> et al., 2021). The paper also brings out how the double-entry system assists in preparing the balanced financial statements by making amendments in financial position to be recorded systematically.</w:t>
      </w:r>
    </w:p>
    <w:p w14:paraId="4C39CF02" w14:textId="77777777" w:rsidR="00976524" w:rsidRPr="005C55E9" w:rsidRDefault="00976524" w:rsidP="00976524">
      <w:pPr>
        <w:spacing w:line="480" w:lineRule="auto"/>
        <w:rPr>
          <w:rFonts w:ascii="Calibri" w:hAnsi="Calibri" w:cs="Calibri"/>
          <w:color w:val="000000" w:themeColor="text1"/>
          <w:szCs w:val="24"/>
        </w:rPr>
      </w:pPr>
      <w:r w:rsidRPr="005C55E9">
        <w:rPr>
          <w:rFonts w:ascii="Calibri" w:hAnsi="Calibri" w:cs="Calibri"/>
          <w:color w:val="000000" w:themeColor="text1"/>
          <w:szCs w:val="24"/>
        </w:rPr>
        <w:t xml:space="preserve">Moreover, the double-entry system is also addressed in the abstract as being essential in keeping the books of accounts </w:t>
      </w:r>
      <w:proofErr w:type="gramStart"/>
      <w:r w:rsidRPr="005C55E9">
        <w:rPr>
          <w:rFonts w:ascii="Calibri" w:hAnsi="Calibri" w:cs="Calibri"/>
          <w:color w:val="000000" w:themeColor="text1"/>
          <w:szCs w:val="24"/>
        </w:rPr>
        <w:t>accurate, and</w:t>
      </w:r>
      <w:proofErr w:type="gramEnd"/>
      <w:r w:rsidRPr="005C55E9">
        <w:rPr>
          <w:rFonts w:ascii="Calibri" w:hAnsi="Calibri" w:cs="Calibri"/>
          <w:color w:val="000000" w:themeColor="text1"/>
          <w:szCs w:val="24"/>
        </w:rPr>
        <w:t xml:space="preserve"> avoiding fraud by being traceable and auditable. The working transactions are illustrated by practical examples of transactions in real business situations. </w:t>
      </w:r>
      <w:proofErr w:type="gramStart"/>
      <w:r w:rsidRPr="005C55E9">
        <w:rPr>
          <w:rFonts w:ascii="Calibri" w:hAnsi="Calibri" w:cs="Calibri"/>
          <w:color w:val="000000" w:themeColor="text1"/>
          <w:szCs w:val="24"/>
        </w:rPr>
        <w:t>On the whole</w:t>
      </w:r>
      <w:proofErr w:type="gramEnd"/>
      <w:r w:rsidRPr="005C55E9">
        <w:rPr>
          <w:rFonts w:ascii="Calibri" w:hAnsi="Calibri" w:cs="Calibri"/>
          <w:color w:val="000000" w:themeColor="text1"/>
          <w:szCs w:val="24"/>
        </w:rPr>
        <w:t xml:space="preserve">, the paper clarifies that the notion of the double-entry system is not </w:t>
      </w:r>
      <w:r w:rsidRPr="005C55E9">
        <w:rPr>
          <w:rFonts w:ascii="Calibri" w:hAnsi="Calibri" w:cs="Calibri"/>
          <w:color w:val="000000" w:themeColor="text1"/>
          <w:szCs w:val="24"/>
        </w:rPr>
        <w:lastRenderedPageBreak/>
        <w:t>simply a mechanical accounting system but an essential system of control that is the foundation of transparency, accountability, and informed financial decision-making in contemporary organizations.</w:t>
      </w:r>
    </w:p>
    <w:sdt>
      <w:sdtPr>
        <w:rPr>
          <w:rFonts w:ascii="Calibri" w:hAnsi="Calibri" w:cs="Calibri"/>
          <w:color w:val="000000" w:themeColor="text1"/>
          <w:szCs w:val="24"/>
        </w:rPr>
        <w:id w:val="127520408"/>
        <w:docPartObj>
          <w:docPartGallery w:val="Table of Contents"/>
          <w:docPartUnique/>
        </w:docPartObj>
      </w:sdtPr>
      <w:sdtEndPr>
        <w:rPr>
          <w:b/>
          <w:bCs/>
          <w:noProof/>
        </w:rPr>
      </w:sdtEndPr>
      <w:sdtContent>
        <w:p w14:paraId="60C74F00" w14:textId="77777777" w:rsidR="00976524" w:rsidRPr="005C55E9" w:rsidRDefault="00976524" w:rsidP="00976524">
          <w:pPr>
            <w:spacing w:line="480" w:lineRule="auto"/>
            <w:rPr>
              <w:rFonts w:ascii="Calibri" w:hAnsi="Calibri" w:cs="Calibri"/>
              <w:i/>
              <w:iCs/>
              <w:color w:val="000000" w:themeColor="text1"/>
              <w:szCs w:val="24"/>
            </w:rPr>
          </w:pPr>
          <w:r w:rsidRPr="005C55E9">
            <w:rPr>
              <w:rFonts w:ascii="Calibri" w:hAnsi="Calibri" w:cs="Calibri"/>
              <w:i/>
              <w:iCs/>
              <w:color w:val="000000" w:themeColor="text1"/>
              <w:szCs w:val="24"/>
            </w:rPr>
            <w:t>Contents</w:t>
          </w:r>
        </w:p>
        <w:p w14:paraId="592E9395"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r w:rsidRPr="005C55E9">
            <w:rPr>
              <w:rFonts w:ascii="Calibri" w:hAnsi="Calibri" w:cs="Calibri"/>
              <w:i/>
              <w:iCs/>
              <w:color w:val="000000" w:themeColor="text1"/>
              <w:sz w:val="24"/>
              <w:szCs w:val="24"/>
            </w:rPr>
            <w:fldChar w:fldCharType="begin"/>
          </w:r>
          <w:r w:rsidRPr="005C55E9">
            <w:rPr>
              <w:rFonts w:ascii="Calibri" w:hAnsi="Calibri" w:cs="Calibri"/>
              <w:i/>
              <w:iCs/>
              <w:color w:val="000000" w:themeColor="text1"/>
              <w:sz w:val="24"/>
              <w:szCs w:val="24"/>
            </w:rPr>
            <w:instrText xml:space="preserve"> TOC \o "1-3" \h \z \u </w:instrText>
          </w:r>
          <w:r w:rsidRPr="005C55E9">
            <w:rPr>
              <w:rFonts w:ascii="Calibri" w:hAnsi="Calibri" w:cs="Calibri"/>
              <w:i/>
              <w:iCs/>
              <w:color w:val="000000" w:themeColor="text1"/>
              <w:sz w:val="24"/>
              <w:szCs w:val="24"/>
            </w:rPr>
            <w:fldChar w:fldCharType="separate"/>
          </w:r>
          <w:hyperlink w:anchor="_Toc215261146" w:history="1">
            <w:r w:rsidRPr="005C55E9">
              <w:rPr>
                <w:rStyle w:val="Hyperlink"/>
                <w:rFonts w:ascii="Calibri" w:hAnsi="Calibri" w:cs="Calibri"/>
                <w:b/>
                <w:bCs/>
                <w:i/>
                <w:iCs/>
                <w:noProof/>
              </w:rPr>
              <w:t>Abstract</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_Toc215261146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2</w:t>
            </w:r>
            <w:r w:rsidRPr="005C55E9">
              <w:rPr>
                <w:rFonts w:ascii="Calibri" w:hAnsi="Calibri" w:cs="Calibri"/>
                <w:i/>
                <w:iCs/>
                <w:noProof/>
                <w:webHidden/>
              </w:rPr>
              <w:fldChar w:fldCharType="end"/>
            </w:r>
          </w:hyperlink>
        </w:p>
        <w:p w14:paraId="6AE09A23"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47" w:history="1">
            <w:r w:rsidRPr="005C55E9">
              <w:rPr>
                <w:rStyle w:val="Hyperlink"/>
                <w:rFonts w:ascii="Calibri" w:hAnsi="Calibri" w:cs="Calibri"/>
                <w:b/>
                <w:bCs/>
                <w:i/>
                <w:iCs/>
                <w:noProof/>
              </w:rPr>
              <w:t>1.Introduction</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_Toc215261147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5</w:t>
            </w:r>
            <w:r w:rsidRPr="005C55E9">
              <w:rPr>
                <w:rFonts w:ascii="Calibri" w:hAnsi="Calibri" w:cs="Calibri"/>
                <w:i/>
                <w:iCs/>
                <w:noProof/>
                <w:webHidden/>
              </w:rPr>
              <w:fldChar w:fldCharType="end"/>
            </w:r>
          </w:hyperlink>
        </w:p>
        <w:p w14:paraId="458616D8"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48" w:history="1">
            <w:r w:rsidRPr="005C55E9">
              <w:rPr>
                <w:rStyle w:val="Hyperlink"/>
                <w:rFonts w:ascii="Calibri" w:hAnsi="Calibri" w:cs="Calibri"/>
                <w:b/>
                <w:bCs/>
                <w:i/>
                <w:iCs/>
                <w:noProof/>
              </w:rPr>
              <w:t>2. Literature Review</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_Toc215261148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7</w:t>
            </w:r>
            <w:r w:rsidRPr="005C55E9">
              <w:rPr>
                <w:rFonts w:ascii="Calibri" w:hAnsi="Calibri" w:cs="Calibri"/>
                <w:i/>
                <w:iCs/>
                <w:noProof/>
                <w:webHidden/>
              </w:rPr>
              <w:fldChar w:fldCharType="end"/>
            </w:r>
          </w:hyperlink>
        </w:p>
        <w:p w14:paraId="44272620"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49" w:history="1">
            <w:r w:rsidRPr="005C55E9">
              <w:rPr>
                <w:rStyle w:val="Hyperlink"/>
                <w:rFonts w:ascii="Calibri" w:hAnsi="Calibri" w:cs="Calibri"/>
                <w:b/>
                <w:bCs/>
                <w:i/>
                <w:iCs/>
                <w:noProof/>
              </w:rPr>
              <w:t>3 Methodology</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_Toc215261149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13</w:t>
            </w:r>
            <w:r w:rsidRPr="005C55E9">
              <w:rPr>
                <w:rFonts w:ascii="Calibri" w:hAnsi="Calibri" w:cs="Calibri"/>
                <w:i/>
                <w:iCs/>
                <w:noProof/>
                <w:webHidden/>
              </w:rPr>
              <w:fldChar w:fldCharType="end"/>
            </w:r>
          </w:hyperlink>
        </w:p>
        <w:p w14:paraId="2CEE624F"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50" w:history="1">
            <w:r w:rsidRPr="005C55E9">
              <w:rPr>
                <w:rStyle w:val="Hyperlink"/>
                <w:rFonts w:ascii="Calibri" w:hAnsi="Calibri" w:cs="Calibri"/>
                <w:b/>
                <w:bCs/>
                <w:i/>
                <w:iCs/>
                <w:noProof/>
              </w:rPr>
              <w:t>4 Finding</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_Toc215261150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15</w:t>
            </w:r>
            <w:r w:rsidRPr="005C55E9">
              <w:rPr>
                <w:rFonts w:ascii="Calibri" w:hAnsi="Calibri" w:cs="Calibri"/>
                <w:i/>
                <w:iCs/>
                <w:noProof/>
                <w:webHidden/>
              </w:rPr>
              <w:fldChar w:fldCharType="end"/>
            </w:r>
          </w:hyperlink>
        </w:p>
        <w:p w14:paraId="503E2B84"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51" w:history="1">
            <w:r w:rsidRPr="005C55E9">
              <w:rPr>
                <w:rStyle w:val="Hyperlink"/>
                <w:rFonts w:ascii="Calibri" w:hAnsi="Calibri" w:cs="Calibri"/>
                <w:b/>
                <w:bCs/>
                <w:i/>
                <w:iCs/>
                <w:noProof/>
              </w:rPr>
              <w:t>5. Discussion</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_Toc215261151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20</w:t>
            </w:r>
            <w:r w:rsidRPr="005C55E9">
              <w:rPr>
                <w:rFonts w:ascii="Calibri" w:hAnsi="Calibri" w:cs="Calibri"/>
                <w:i/>
                <w:iCs/>
                <w:noProof/>
                <w:webHidden/>
              </w:rPr>
              <w:fldChar w:fldCharType="end"/>
            </w:r>
          </w:hyperlink>
        </w:p>
        <w:p w14:paraId="7C185758"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52" w:history="1">
            <w:r w:rsidRPr="005C55E9">
              <w:rPr>
                <w:rStyle w:val="Hyperlink"/>
                <w:rFonts w:ascii="Calibri" w:hAnsi="Calibri" w:cs="Calibri"/>
                <w:b/>
                <w:bCs/>
                <w:i/>
                <w:iCs/>
                <w:noProof/>
              </w:rPr>
              <w:t>6. Recommendation</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_Toc215261152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23</w:t>
            </w:r>
            <w:r w:rsidRPr="005C55E9">
              <w:rPr>
                <w:rFonts w:ascii="Calibri" w:hAnsi="Calibri" w:cs="Calibri"/>
                <w:i/>
                <w:iCs/>
                <w:noProof/>
                <w:webHidden/>
              </w:rPr>
              <w:fldChar w:fldCharType="end"/>
            </w:r>
          </w:hyperlink>
        </w:p>
        <w:p w14:paraId="4CDBB67E"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53" w:history="1">
            <w:r w:rsidRPr="005C55E9">
              <w:rPr>
                <w:rStyle w:val="Hyperlink"/>
                <w:rFonts w:ascii="Calibri" w:hAnsi="Calibri" w:cs="Calibri"/>
                <w:b/>
                <w:bCs/>
                <w:i/>
                <w:iCs/>
                <w:noProof/>
              </w:rPr>
              <w:t>8. Conclusion</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_Toc215261153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25</w:t>
            </w:r>
            <w:r w:rsidRPr="005C55E9">
              <w:rPr>
                <w:rFonts w:ascii="Calibri" w:hAnsi="Calibri" w:cs="Calibri"/>
                <w:i/>
                <w:iCs/>
                <w:noProof/>
                <w:webHidden/>
              </w:rPr>
              <w:fldChar w:fldCharType="end"/>
            </w:r>
          </w:hyperlink>
        </w:p>
        <w:p w14:paraId="23F4CC6D" w14:textId="77777777" w:rsidR="00976524" w:rsidRPr="005C55E9" w:rsidRDefault="00976524" w:rsidP="00976524">
          <w:pPr>
            <w:pStyle w:val="TOC1"/>
            <w:tabs>
              <w:tab w:val="right" w:leader="dot" w:pos="9350"/>
            </w:tabs>
            <w:rPr>
              <w:rFonts w:ascii="Calibri" w:hAnsi="Calibri" w:cs="Calibri"/>
              <w:i/>
              <w:iCs/>
              <w:noProof/>
              <w:kern w:val="2"/>
              <w:sz w:val="24"/>
              <w:szCs w:val="21"/>
              <w:lang w:val="en-GB" w:eastAsia="en-GB" w:bidi="hi-IN"/>
              <w14:ligatures w14:val="standardContextual"/>
            </w:rPr>
          </w:pPr>
          <w:hyperlink w:anchor="_Toc215261154" w:history="1">
            <w:r w:rsidRPr="005C55E9">
              <w:rPr>
                <w:rStyle w:val="Hyperlink"/>
                <w:rFonts w:ascii="Calibri" w:hAnsi="Calibri" w:cs="Calibri"/>
                <w:b/>
                <w:bCs/>
                <w:i/>
                <w:iCs/>
                <w:noProof/>
              </w:rPr>
              <w:t>Reference List</w:t>
            </w:r>
            <w:r w:rsidRPr="005C55E9">
              <w:rPr>
                <w:rFonts w:ascii="Calibri" w:hAnsi="Calibri" w:cs="Calibri"/>
                <w:i/>
                <w:iCs/>
                <w:noProof/>
                <w:webHidden/>
              </w:rPr>
              <w:tab/>
            </w:r>
            <w:r w:rsidRPr="005C55E9">
              <w:rPr>
                <w:rFonts w:ascii="Calibri" w:hAnsi="Calibri" w:cs="Calibri"/>
                <w:i/>
                <w:iCs/>
                <w:noProof/>
                <w:webHidden/>
              </w:rPr>
              <w:fldChar w:fldCharType="begin"/>
            </w:r>
            <w:r w:rsidRPr="005C55E9">
              <w:rPr>
                <w:rFonts w:ascii="Calibri" w:hAnsi="Calibri" w:cs="Calibri"/>
                <w:i/>
                <w:iCs/>
                <w:noProof/>
                <w:webHidden/>
              </w:rPr>
              <w:instrText xml:space="preserve"> PAGEREF _Toc215261154 \h </w:instrText>
            </w:r>
            <w:r w:rsidRPr="005C55E9">
              <w:rPr>
                <w:rFonts w:ascii="Calibri" w:hAnsi="Calibri" w:cs="Calibri"/>
                <w:i/>
                <w:iCs/>
                <w:noProof/>
                <w:webHidden/>
              </w:rPr>
            </w:r>
            <w:r w:rsidRPr="005C55E9">
              <w:rPr>
                <w:rFonts w:ascii="Calibri" w:hAnsi="Calibri" w:cs="Calibri"/>
                <w:i/>
                <w:iCs/>
                <w:noProof/>
                <w:webHidden/>
              </w:rPr>
              <w:fldChar w:fldCharType="separate"/>
            </w:r>
            <w:r w:rsidRPr="005C55E9">
              <w:rPr>
                <w:rFonts w:ascii="Calibri" w:hAnsi="Calibri" w:cs="Calibri"/>
                <w:i/>
                <w:iCs/>
                <w:noProof/>
                <w:webHidden/>
              </w:rPr>
              <w:t>27</w:t>
            </w:r>
            <w:r w:rsidRPr="005C55E9">
              <w:rPr>
                <w:rFonts w:ascii="Calibri" w:hAnsi="Calibri" w:cs="Calibri"/>
                <w:i/>
                <w:iCs/>
                <w:noProof/>
                <w:webHidden/>
              </w:rPr>
              <w:fldChar w:fldCharType="end"/>
            </w:r>
          </w:hyperlink>
        </w:p>
        <w:p w14:paraId="01534479" w14:textId="77777777" w:rsidR="00976524" w:rsidRPr="005C55E9" w:rsidRDefault="00976524" w:rsidP="00976524">
          <w:pPr>
            <w:spacing w:line="480" w:lineRule="auto"/>
            <w:rPr>
              <w:rFonts w:ascii="Calibri" w:hAnsi="Calibri" w:cs="Calibri"/>
              <w:color w:val="000000" w:themeColor="text1"/>
              <w:szCs w:val="24"/>
            </w:rPr>
          </w:pPr>
          <w:r w:rsidRPr="005C55E9">
            <w:rPr>
              <w:rFonts w:ascii="Calibri" w:hAnsi="Calibri" w:cs="Calibri"/>
              <w:b/>
              <w:bCs/>
              <w:i/>
              <w:iCs/>
              <w:noProof/>
              <w:color w:val="000000" w:themeColor="text1"/>
              <w:szCs w:val="24"/>
            </w:rPr>
            <w:fldChar w:fldCharType="end"/>
          </w:r>
        </w:p>
      </w:sdtContent>
    </w:sdt>
    <w:p w14:paraId="72768562" w14:textId="77777777" w:rsidR="00976524" w:rsidRPr="005C55E9" w:rsidRDefault="00976524" w:rsidP="00976524">
      <w:pPr>
        <w:spacing w:line="480" w:lineRule="auto"/>
        <w:rPr>
          <w:rFonts w:ascii="Calibri" w:hAnsi="Calibri" w:cs="Calibri"/>
          <w:color w:val="000000" w:themeColor="text1"/>
          <w:szCs w:val="24"/>
        </w:rPr>
      </w:pPr>
    </w:p>
    <w:p w14:paraId="47E7FFFB" w14:textId="77777777" w:rsidR="00976524" w:rsidRPr="005C55E9" w:rsidRDefault="00976524" w:rsidP="00976524">
      <w:pPr>
        <w:spacing w:line="480" w:lineRule="auto"/>
        <w:rPr>
          <w:rFonts w:ascii="Calibri" w:hAnsi="Calibri" w:cs="Calibri"/>
          <w:color w:val="000000" w:themeColor="text1"/>
          <w:szCs w:val="24"/>
        </w:rPr>
      </w:pPr>
    </w:p>
    <w:p w14:paraId="2A541D79" w14:textId="77777777" w:rsidR="00976524" w:rsidRPr="005C55E9" w:rsidRDefault="00976524" w:rsidP="00976524">
      <w:pPr>
        <w:spacing w:line="480" w:lineRule="auto"/>
        <w:rPr>
          <w:rFonts w:ascii="Calibri" w:hAnsi="Calibri" w:cs="Calibri"/>
          <w:color w:val="000000" w:themeColor="text1"/>
          <w:szCs w:val="24"/>
        </w:rPr>
      </w:pPr>
      <w:r w:rsidRPr="005C55E9">
        <w:rPr>
          <w:rFonts w:ascii="Calibri" w:hAnsi="Calibri" w:cs="Calibri"/>
          <w:color w:val="000000" w:themeColor="text1"/>
          <w:szCs w:val="24"/>
        </w:rPr>
        <w:br w:type="page"/>
      </w:r>
    </w:p>
    <w:p w14:paraId="77FB63E6" w14:textId="77777777" w:rsidR="00976524" w:rsidRPr="005C55E9" w:rsidRDefault="00976524" w:rsidP="00976524">
      <w:pPr>
        <w:spacing w:line="480" w:lineRule="auto"/>
        <w:rPr>
          <w:rStyle w:val="Heading1Char"/>
          <w:rFonts w:ascii="Calibri" w:hAnsi="Calibri" w:cs="Calibri"/>
          <w:b/>
          <w:bCs/>
          <w:color w:val="000000" w:themeColor="text1"/>
          <w:sz w:val="24"/>
          <w:szCs w:val="24"/>
        </w:rPr>
      </w:pPr>
      <w:bookmarkStart w:id="1" w:name="_Toc215261151"/>
      <w:r w:rsidRPr="005C55E9">
        <w:rPr>
          <w:rStyle w:val="Heading1Char"/>
          <w:rFonts w:ascii="Calibri" w:hAnsi="Calibri" w:cs="Calibri"/>
          <w:b/>
          <w:bCs/>
          <w:color w:val="000000" w:themeColor="text1"/>
          <w:sz w:val="24"/>
          <w:szCs w:val="24"/>
        </w:rPr>
        <w:lastRenderedPageBreak/>
        <w:t xml:space="preserve">1. INTRODUCTION </w:t>
      </w:r>
    </w:p>
    <w:p w14:paraId="3CACF561"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The concept of a double-entry system of accounting is commonly considered to be one of the greatest achievements in accounting and financial reporting history. The system, which has its origins in the early days of commercial business, has developed into a globally adopted system of recording financial transactions in small businesses as well as major corporations. The inception of the double-entry system lies in the principle that every transaction has two sides, and that a debit and credit entry should be made equally to ensure that the accounting records balance (Godfrey et al., 2010). This is the basic idea of contemporary accounting and guarantees the completeness and accuracy of the financial information.</w:t>
      </w:r>
    </w:p>
    <w:p w14:paraId="524E65A6"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A major strength of the double-entry system is that it ensures the integrity of financial data. The system ensures that transactions are recorded in at least two accounts, which provides a self-balancing mechanism that helps in detecting and correcting errors. When the total debits are not equal to the total credits, inconsistencies are immediately noticed, thus requiring investigation and corrective action (Weygandt et al., 2020). The double-entry system is a required feature to maintain proper books of accounts and provide effective internal control systems.</w:t>
      </w:r>
    </w:p>
    <w:p w14:paraId="249E8239"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The key principles of the functioning of the double-entry system include the notions of debits and credits, which regulate the process of registering transactions in various kinds of accounts. Debits and credits do not necessarily mean a rise and fall, rather, their impact varies with the nature of the account concerned. As an illustration, debits cause the increase of the asset and expense accounts, whereas credits cause the increase of the liability, equity, and revenue </w:t>
      </w:r>
      <w:r w:rsidRPr="005C55E9">
        <w:rPr>
          <w:rFonts w:ascii="Calibri" w:eastAsiaTheme="majorEastAsia" w:hAnsi="Calibri" w:cs="Calibri"/>
          <w:color w:val="000000" w:themeColor="text1"/>
          <w:szCs w:val="24"/>
        </w:rPr>
        <w:lastRenderedPageBreak/>
        <w:t>accounts (</w:t>
      </w:r>
      <w:proofErr w:type="spellStart"/>
      <w:r w:rsidRPr="005C55E9">
        <w:rPr>
          <w:rFonts w:ascii="Calibri" w:eastAsiaTheme="majorEastAsia" w:hAnsi="Calibri" w:cs="Calibri"/>
          <w:color w:val="000000" w:themeColor="text1"/>
          <w:szCs w:val="24"/>
        </w:rPr>
        <w:t>Kieso</w:t>
      </w:r>
      <w:proofErr w:type="spellEnd"/>
      <w:r w:rsidRPr="005C55E9">
        <w:rPr>
          <w:rFonts w:ascii="Calibri" w:eastAsiaTheme="majorEastAsia" w:hAnsi="Calibri" w:cs="Calibri"/>
          <w:color w:val="000000" w:themeColor="text1"/>
          <w:szCs w:val="24"/>
        </w:rPr>
        <w:t xml:space="preserve"> et al., 2021). These rules are important to understand to make sure that transactions are recorded in the right way and that the financial statements give the true picture of the financial position and performance of an organization.</w:t>
      </w:r>
    </w:p>
    <w:p w14:paraId="6FF69447"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The preparation of balanced financial statements also depends on the double-entry system. The balance sheet is the direct result of ledger accounts that are kept under the system of double entry so that total assets are the same as the total of liabilities and equity. In the same fashion, the revenues and expenses reported under the double-entry system of bookkeeping are reflected into the income statement, and the entries related to cash are reflected into the cash flow statement (Penman, 2013). This interconnection underscores the significance of the system in generating consistent and reliable financial reports.</w:t>
      </w:r>
    </w:p>
    <w:p w14:paraId="61A3643F"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Moreover, the double-entry system has a vital role to play in fraud prevention and financial responsibility. The second entry requirement generates an audit trail that increases transparency and complicates unauthorized manipulation of records (Bushman and Smith, 2001). The use of strong accounting systems seems to be gaining momentum as business environments become increasingly regulated and complex.</w:t>
      </w:r>
    </w:p>
    <w:p w14:paraId="5449B9D9"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The purpose of this assignment is to explore the concept of the double-entry system with a closer look at its principles, working mechanisms, and how it affects financial reporting accuracy. The paper will </w:t>
      </w:r>
      <w:proofErr w:type="spellStart"/>
      <w:r w:rsidRPr="005C55E9">
        <w:rPr>
          <w:rFonts w:ascii="Calibri" w:eastAsiaTheme="majorEastAsia" w:hAnsi="Calibri" w:cs="Calibri"/>
          <w:color w:val="000000" w:themeColor="text1"/>
          <w:szCs w:val="24"/>
        </w:rPr>
        <w:t>endeavor</w:t>
      </w:r>
      <w:proofErr w:type="spellEnd"/>
      <w:r w:rsidRPr="005C55E9">
        <w:rPr>
          <w:rFonts w:ascii="Calibri" w:eastAsiaTheme="majorEastAsia" w:hAnsi="Calibri" w:cs="Calibri"/>
          <w:color w:val="000000" w:themeColor="text1"/>
          <w:szCs w:val="24"/>
        </w:rPr>
        <w:t xml:space="preserve"> to show how the relevance of the double-entry system has remained valid through the years by combining theoretical insights with practical examples to achieve credibility and trustworthiness in financial reporting.</w:t>
      </w:r>
    </w:p>
    <w:p w14:paraId="2B6BA86E" w14:textId="77777777" w:rsidR="00976524" w:rsidRPr="005C55E9" w:rsidRDefault="00976524" w:rsidP="00976524">
      <w:pPr>
        <w:spacing w:line="480" w:lineRule="auto"/>
        <w:rPr>
          <w:rFonts w:ascii="Calibri" w:eastAsiaTheme="majorEastAsia" w:hAnsi="Calibri" w:cs="Calibri"/>
          <w:color w:val="000000" w:themeColor="text1"/>
          <w:szCs w:val="24"/>
        </w:rPr>
      </w:pPr>
    </w:p>
    <w:p w14:paraId="29481B48" w14:textId="77777777" w:rsidR="00976524" w:rsidRPr="005C55E9" w:rsidRDefault="00976524" w:rsidP="00976524">
      <w:pPr>
        <w:spacing w:line="480" w:lineRule="auto"/>
        <w:rPr>
          <w:rFonts w:ascii="Calibri" w:eastAsiaTheme="majorEastAsia" w:hAnsi="Calibri" w:cs="Calibri"/>
          <w:color w:val="000000" w:themeColor="text1"/>
          <w:szCs w:val="24"/>
        </w:rPr>
      </w:pPr>
    </w:p>
    <w:p w14:paraId="3E5F5FA1" w14:textId="77777777" w:rsidR="00976524" w:rsidRPr="005C55E9" w:rsidRDefault="00976524" w:rsidP="00976524">
      <w:pPr>
        <w:spacing w:line="480" w:lineRule="auto"/>
        <w:rPr>
          <w:rFonts w:ascii="Calibri" w:eastAsiaTheme="majorEastAsia" w:hAnsi="Calibri" w:cs="Calibri"/>
          <w:color w:val="000000" w:themeColor="text1"/>
          <w:szCs w:val="24"/>
        </w:rPr>
      </w:pPr>
    </w:p>
    <w:p w14:paraId="5C293B55" w14:textId="77777777" w:rsidR="00976524" w:rsidRPr="005C55E9" w:rsidRDefault="00976524" w:rsidP="00976524">
      <w:pPr>
        <w:spacing w:line="480" w:lineRule="auto"/>
        <w:rPr>
          <w:rFonts w:ascii="Calibri" w:eastAsiaTheme="majorEastAsia" w:hAnsi="Calibri" w:cs="Calibri"/>
          <w:color w:val="000000" w:themeColor="text1"/>
          <w:szCs w:val="24"/>
        </w:rPr>
      </w:pPr>
    </w:p>
    <w:p w14:paraId="34D60EA3"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Literature Review</w:t>
      </w:r>
    </w:p>
    <w:p w14:paraId="12FC4621"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1. The evolution of the Double-Entry System.</w:t>
      </w:r>
    </w:p>
    <w:p w14:paraId="731B1B54"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The double-entry accounting </w:t>
      </w:r>
      <w:proofErr w:type="gramStart"/>
      <w:r w:rsidRPr="005C55E9">
        <w:rPr>
          <w:rFonts w:ascii="Calibri" w:eastAsiaTheme="majorEastAsia" w:hAnsi="Calibri" w:cs="Calibri"/>
          <w:color w:val="000000" w:themeColor="text1"/>
          <w:szCs w:val="24"/>
        </w:rPr>
        <w:t>is considered to be</w:t>
      </w:r>
      <w:proofErr w:type="gramEnd"/>
      <w:r w:rsidRPr="005C55E9">
        <w:rPr>
          <w:rFonts w:ascii="Calibri" w:eastAsiaTheme="majorEastAsia" w:hAnsi="Calibri" w:cs="Calibri"/>
          <w:color w:val="000000" w:themeColor="text1"/>
          <w:szCs w:val="24"/>
        </w:rPr>
        <w:t xml:space="preserve"> one of the most impactful innovations in the history of financial reporting. Formal documentation of historical literature can be traced back to </w:t>
      </w:r>
      <w:proofErr w:type="gramStart"/>
      <w:r w:rsidRPr="005C55E9">
        <w:rPr>
          <w:rFonts w:ascii="Calibri" w:eastAsiaTheme="majorEastAsia" w:hAnsi="Calibri" w:cs="Calibri"/>
          <w:color w:val="000000" w:themeColor="text1"/>
          <w:szCs w:val="24"/>
        </w:rPr>
        <w:t>the work</w:t>
      </w:r>
      <w:proofErr w:type="gramEnd"/>
      <w:r w:rsidRPr="005C55E9">
        <w:rPr>
          <w:rFonts w:ascii="Calibri" w:eastAsiaTheme="majorEastAsia" w:hAnsi="Calibri" w:cs="Calibri"/>
          <w:color w:val="000000" w:themeColor="text1"/>
          <w:szCs w:val="24"/>
        </w:rPr>
        <w:t xml:space="preserve"> of Luca Pacioli in late fifteenth century, where the principles of dual recording were formally documented (</w:t>
      </w:r>
      <w:proofErr w:type="spellStart"/>
      <w:r w:rsidRPr="005C55E9">
        <w:rPr>
          <w:rFonts w:ascii="Calibri" w:eastAsiaTheme="majorEastAsia" w:hAnsi="Calibri" w:cs="Calibri"/>
          <w:color w:val="000000" w:themeColor="text1"/>
          <w:szCs w:val="24"/>
        </w:rPr>
        <w:t>Yamey</w:t>
      </w:r>
      <w:proofErr w:type="spellEnd"/>
      <w:r w:rsidRPr="005C55E9">
        <w:rPr>
          <w:rFonts w:ascii="Calibri" w:eastAsiaTheme="majorEastAsia" w:hAnsi="Calibri" w:cs="Calibri"/>
          <w:color w:val="000000" w:themeColor="text1"/>
          <w:szCs w:val="24"/>
        </w:rPr>
        <w:t>, 2004). The same system has since formed the basis of contemporary accounting practice, offering a systematic approach to documentation of financial transactions in a balanced and rational form.</w:t>
      </w:r>
    </w:p>
    <w:p w14:paraId="71F46052"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According to scholars, the introduction of the double-entry bookkeeping was a transition between a system of simple record-keeping to a system of all-encompassing financial measurement that could facilitate the development of businesses and accountability (Littleton, 1966). The enduring relevance of the system in the current accounting literature is that the systems uniquely capture the dual economic effect of transactions where the financial records indicate how resources are allocated and the sources of financing (Godfrey et al., 2010).</w:t>
      </w:r>
    </w:p>
    <w:p w14:paraId="47201EE7" w14:textId="77777777" w:rsidR="00976524" w:rsidRPr="005C55E9" w:rsidRDefault="00976524" w:rsidP="00976524">
      <w:pPr>
        <w:spacing w:line="480" w:lineRule="auto"/>
        <w:rPr>
          <w:rFonts w:ascii="Calibri" w:eastAsiaTheme="majorEastAsia" w:hAnsi="Calibri" w:cs="Calibri"/>
          <w:color w:val="000000" w:themeColor="text1"/>
          <w:szCs w:val="24"/>
        </w:rPr>
      </w:pPr>
    </w:p>
    <w:p w14:paraId="364E5A29"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2. The Theoretical Foundations of Double-Entry Accounting.</w:t>
      </w:r>
    </w:p>
    <w:p w14:paraId="76E5B35A"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lastRenderedPageBreak/>
        <w:t>The theoretical basis of the double-entry system lies in the dual-aspect concept, which states that any financial transaction has two respective impacts on the financial position of an entity. This principle is directly connected to the accounting equation in which assets should always be equal to liabilities and equity (Weygandt et al., 2020). This relationship has always been recognized as the key to balance and internal consistency in accounting records in literature.</w:t>
      </w:r>
    </w:p>
    <w:p w14:paraId="651E8971"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Researchers observe that the double-entry system strengthens the logical organization of accounting through connecting cause and effect in transactions. To illustrate, using credit to purchase an asset simultaneously raises the asset level and the level of liabilities (Keiose, et al., 2021). This dual recognition is considered a mechanism vital to the assurance of such financial statements to reflect true economic reality and not isolated events.</w:t>
      </w:r>
    </w:p>
    <w:p w14:paraId="5F8B96BB" w14:textId="77777777" w:rsidR="00976524" w:rsidRPr="005C55E9" w:rsidRDefault="00976524" w:rsidP="00976524">
      <w:pPr>
        <w:spacing w:line="480" w:lineRule="auto"/>
        <w:rPr>
          <w:rFonts w:ascii="Calibri" w:eastAsiaTheme="majorEastAsia" w:hAnsi="Calibri" w:cs="Calibri"/>
          <w:color w:val="000000" w:themeColor="text1"/>
          <w:szCs w:val="24"/>
        </w:rPr>
      </w:pPr>
    </w:p>
    <w:p w14:paraId="0922663E"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3. Fractions in Financial Transactions.</w:t>
      </w:r>
    </w:p>
    <w:p w14:paraId="07B917FE"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Much of accounting literature is concerned with the contribution of debits and credits as the working mechanism of the double-entry system. Debits and credits do not imply the presence or absence of positive or negative value but denote the directional movement of financial impacts based on the account classification (Libby et al., 2017). Debits raise assets and expenses, but credits raise liabilities, equity, and revenues.</w:t>
      </w:r>
    </w:p>
    <w:p w14:paraId="06C1B5BE" w14:textId="3BAEEB2C"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In academic literature, it is stressed that a good command of the rules of debit and credit is necessary to record transactions correctly and prepare financial statements. Misstatements may result due to errors in the application of debit-credits that may misrepresent reported financial performance and position (Penman, 2013). It is also pointed out in the literature that the </w:t>
      </w:r>
      <w:r w:rsidRPr="005C55E9">
        <w:rPr>
          <w:rFonts w:ascii="Calibri" w:eastAsiaTheme="majorEastAsia" w:hAnsi="Calibri" w:cs="Calibri"/>
          <w:color w:val="000000" w:themeColor="text1"/>
          <w:szCs w:val="24"/>
        </w:rPr>
        <w:lastRenderedPageBreak/>
        <w:t>standardized use of debit and credit principles makes them consistent across entities and periods of account, which allows comparability and transparency.</w:t>
      </w:r>
    </w:p>
    <w:p w14:paraId="5065E209"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4. Accuracy of Financial Reporting and Double-Entry System.</w:t>
      </w:r>
    </w:p>
    <w:p w14:paraId="6F9D63F3"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The literature contains overwhelming evidence that the double-entry system improves the accuracy and reliability of financial reporting. The self-balancing mechanism inherent in it is one of its major strengths, as total debits must be equal to total credits. This makes it possible to identify recording mistakes and omissions early, minimizing the chance of reporting faulty financial statements (Weygandt et al., 2020).</w:t>
      </w:r>
    </w:p>
    <w:p w14:paraId="04105964"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Empirical research indicates that organizations with strong double-entry systems have greater accounting accuracy and internal control effectiveness (Bushman and Smith, 2001). The system keeps detailed records in ledger accounts and provides systematic cross-checks to ensure that the financial data is verifiable and auditable. This credibility holds special importance to the external stakeholders who use financial statements to make investment, lending, and regulatory decisions.</w:t>
      </w:r>
    </w:p>
    <w:p w14:paraId="02420B67" w14:textId="77777777" w:rsidR="00976524" w:rsidRPr="005C55E9" w:rsidRDefault="00976524" w:rsidP="00976524">
      <w:pPr>
        <w:spacing w:line="480" w:lineRule="auto"/>
        <w:rPr>
          <w:rFonts w:ascii="Calibri" w:eastAsiaTheme="majorEastAsia" w:hAnsi="Calibri" w:cs="Calibri"/>
          <w:color w:val="000000" w:themeColor="text1"/>
          <w:szCs w:val="24"/>
        </w:rPr>
      </w:pPr>
    </w:p>
    <w:p w14:paraId="3ABC1921"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5. Preparation of Balanced Financial Statements.</w:t>
      </w:r>
    </w:p>
    <w:p w14:paraId="5D1CCEFF"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The other significant theme of the literature is the application of the double-entry system in promoting the preparation of balanced financial statements. The balance sheet is a direct result of the bookkeeping of the form of doubling as it displays the balance between assets and the </w:t>
      </w:r>
      <w:r w:rsidRPr="005C55E9">
        <w:rPr>
          <w:rFonts w:ascii="Calibri" w:eastAsiaTheme="majorEastAsia" w:hAnsi="Calibri" w:cs="Calibri"/>
          <w:color w:val="000000" w:themeColor="text1"/>
          <w:szCs w:val="24"/>
        </w:rPr>
        <w:lastRenderedPageBreak/>
        <w:t>aggregate claim of liabilities and equity (</w:t>
      </w:r>
      <w:proofErr w:type="spellStart"/>
      <w:r w:rsidRPr="005C55E9">
        <w:rPr>
          <w:rFonts w:ascii="Calibri" w:eastAsiaTheme="majorEastAsia" w:hAnsi="Calibri" w:cs="Calibri"/>
          <w:color w:val="000000" w:themeColor="text1"/>
          <w:szCs w:val="24"/>
        </w:rPr>
        <w:t>Kieso</w:t>
      </w:r>
      <w:proofErr w:type="spellEnd"/>
      <w:r w:rsidRPr="005C55E9">
        <w:rPr>
          <w:rFonts w:ascii="Calibri" w:eastAsiaTheme="majorEastAsia" w:hAnsi="Calibri" w:cs="Calibri"/>
          <w:color w:val="000000" w:themeColor="text1"/>
          <w:szCs w:val="24"/>
        </w:rPr>
        <w:t xml:space="preserve"> et al., 2021). This balance would be much harder to maintain without the double-entry framework.</w:t>
      </w:r>
    </w:p>
    <w:p w14:paraId="353DEC79"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The income statement also has a close relationship with the double-entry accounting since revenues and expenses are recorded systematically as debit and credit entries respectively. Research suggests that effective measurement of income requires the consistent use of the principles of double-entry accounting, especially in the accrual-based reporting states (Dechow and Dichev, 2002). Moreover, the cash flow statement relies on cash-related representations as they are registered in the double-entry system, which supports the coherence of financial statements (Penman, 2013).</w:t>
      </w:r>
    </w:p>
    <w:p w14:paraId="23A59DA6" w14:textId="77777777" w:rsidR="00976524" w:rsidRPr="005C55E9" w:rsidRDefault="00976524" w:rsidP="00976524">
      <w:pPr>
        <w:spacing w:line="480" w:lineRule="auto"/>
        <w:rPr>
          <w:rFonts w:ascii="Calibri" w:eastAsiaTheme="majorEastAsia" w:hAnsi="Calibri" w:cs="Calibri"/>
          <w:color w:val="000000" w:themeColor="text1"/>
          <w:szCs w:val="24"/>
        </w:rPr>
      </w:pPr>
    </w:p>
    <w:p w14:paraId="239DABEB"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6. Role in Fraud Prevention and Internal Control.</w:t>
      </w:r>
    </w:p>
    <w:p w14:paraId="72D91C34"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The literature generally recognizes the significance of the double-entry system as a measure of internal control and fraud prevention. The system enhances transparency and accountability in accounting records by having two entries and an audit trail (Bushman and Smith, 2001). Illegal modification of a single account will most likely cause disbalances, and manipulation will be identified more easily.</w:t>
      </w:r>
    </w:p>
    <w:p w14:paraId="0E1BDBD3"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Studies indicate a supportive nature of double-entry bookkeeping in efficient auditing of income-expense transactions and account balances (Healy and Palepu, 2001). This functionality is especially useful in large organizations with complicated transactions and high requirements in control mechanisms to protect assets and prevent losses of trust among stakeholders.</w:t>
      </w:r>
    </w:p>
    <w:p w14:paraId="5DCCD48A" w14:textId="77777777" w:rsidR="00976524" w:rsidRPr="005C55E9" w:rsidRDefault="00976524" w:rsidP="00976524">
      <w:pPr>
        <w:spacing w:line="480" w:lineRule="auto"/>
        <w:rPr>
          <w:rFonts w:ascii="Calibri" w:eastAsiaTheme="majorEastAsia" w:hAnsi="Calibri" w:cs="Calibri"/>
          <w:color w:val="000000" w:themeColor="text1"/>
          <w:szCs w:val="24"/>
        </w:rPr>
      </w:pPr>
    </w:p>
    <w:p w14:paraId="16029664"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7. Application of Double-Entry Accounting in practice.</w:t>
      </w:r>
    </w:p>
    <w:p w14:paraId="7C502F26"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Practical accounting literature emphasizes the proliferation of the double-entry system in various industries and various sizes of organizations. The system is used by small businesses to multinational corporations as a standardized way to document transactions like sales, purchases, payroll, and financing processes (Libby et al., 2017). Case-based research shows that regular use of double-entry principles enhances financial discipline and the accuracy of reporting.</w:t>
      </w:r>
    </w:p>
    <w:p w14:paraId="2B2DC72E"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The literature also points out the flexibility of the double-entry system in contemporary accounting setups, such as computerized accounting systems and enterprise resource planning (ERP) systems. Regardless of the technological changes, the chemical principles of credits and debits have stayed the same, which highlights the timelessness of the system (Romney and </w:t>
      </w:r>
      <w:proofErr w:type="spellStart"/>
      <w:r w:rsidRPr="005C55E9">
        <w:rPr>
          <w:rFonts w:ascii="Calibri" w:eastAsiaTheme="majorEastAsia" w:hAnsi="Calibri" w:cs="Calibri"/>
          <w:color w:val="000000" w:themeColor="text1"/>
          <w:szCs w:val="24"/>
        </w:rPr>
        <w:t>Steinbart</w:t>
      </w:r>
      <w:proofErr w:type="spellEnd"/>
      <w:r w:rsidRPr="005C55E9">
        <w:rPr>
          <w:rFonts w:ascii="Calibri" w:eastAsiaTheme="majorEastAsia" w:hAnsi="Calibri" w:cs="Calibri"/>
          <w:color w:val="000000" w:themeColor="text1"/>
          <w:szCs w:val="24"/>
        </w:rPr>
        <w:t>, 2021).</w:t>
      </w:r>
    </w:p>
    <w:p w14:paraId="163F0BA7" w14:textId="77777777" w:rsidR="00976524" w:rsidRPr="005C55E9" w:rsidRDefault="00976524" w:rsidP="00976524">
      <w:pPr>
        <w:spacing w:line="480" w:lineRule="auto"/>
        <w:rPr>
          <w:rFonts w:ascii="Calibri" w:eastAsiaTheme="majorEastAsia" w:hAnsi="Calibri" w:cs="Calibri"/>
          <w:color w:val="000000" w:themeColor="text1"/>
          <w:szCs w:val="24"/>
        </w:rPr>
      </w:pPr>
    </w:p>
    <w:p w14:paraId="0BAEB447"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8. Relevance to Modern Accounting practice.</w:t>
      </w:r>
    </w:p>
    <w:p w14:paraId="105A6425" w14:textId="6BE47F59" w:rsidR="00976524" w:rsidRPr="005C55E9" w:rsidRDefault="00976524" w:rsidP="00976524">
      <w:pPr>
        <w:spacing w:line="480" w:lineRule="auto"/>
        <w:rPr>
          <w:rFonts w:ascii="Calibri" w:eastAsiaTheme="majorEastAsia" w:hAnsi="Calibri" w:cs="Calibri"/>
          <w:color w:val="000000" w:themeColor="text1"/>
          <w:szCs w:val="24"/>
        </w:rPr>
      </w:pPr>
      <w:proofErr w:type="gramStart"/>
      <w:r w:rsidRPr="005C55E9">
        <w:rPr>
          <w:rFonts w:ascii="Calibri" w:eastAsiaTheme="majorEastAsia" w:hAnsi="Calibri" w:cs="Calibri"/>
          <w:color w:val="000000" w:themeColor="text1"/>
          <w:szCs w:val="24"/>
        </w:rPr>
        <w:t>On the whole</w:t>
      </w:r>
      <w:proofErr w:type="gramEnd"/>
      <w:r w:rsidRPr="005C55E9">
        <w:rPr>
          <w:rFonts w:ascii="Calibri" w:eastAsiaTheme="majorEastAsia" w:hAnsi="Calibri" w:cs="Calibri"/>
          <w:color w:val="000000" w:themeColor="text1"/>
          <w:szCs w:val="24"/>
        </w:rPr>
        <w:t xml:space="preserve">, the literature reviewed supports the idea that the double-entry system is still at the heart of modern accounting. The combination of its theoretical basis, how it works, and its control characteristics promote credible financial reporting and sound decision-making. There is always an argument among scholars that modern financial accounting would not have the </w:t>
      </w:r>
      <w:r w:rsidRPr="005C55E9">
        <w:rPr>
          <w:rFonts w:ascii="Calibri" w:eastAsiaTheme="majorEastAsia" w:hAnsi="Calibri" w:cs="Calibri"/>
          <w:color w:val="000000" w:themeColor="text1"/>
          <w:szCs w:val="24"/>
        </w:rPr>
        <w:lastRenderedPageBreak/>
        <w:t>structure and credibility to facilitate the complex business operations and regulatory demands without the double-entry system (Godfrey et al., 2010).</w:t>
      </w:r>
    </w:p>
    <w:p w14:paraId="03DB22F4" w14:textId="77777777" w:rsidR="00976524" w:rsidRPr="005C55E9" w:rsidRDefault="00976524" w:rsidP="00976524">
      <w:pPr>
        <w:spacing w:line="480" w:lineRule="auto"/>
        <w:rPr>
          <w:rFonts w:ascii="Calibri" w:eastAsiaTheme="majorEastAsia" w:hAnsi="Calibri" w:cs="Calibri"/>
          <w:color w:val="000000" w:themeColor="text1"/>
          <w:szCs w:val="24"/>
        </w:rPr>
      </w:pPr>
    </w:p>
    <w:p w14:paraId="76C0A9EB" w14:textId="77777777" w:rsidR="00976524" w:rsidRPr="005C55E9" w:rsidRDefault="00976524" w:rsidP="00976524">
      <w:pPr>
        <w:spacing w:line="480" w:lineRule="auto"/>
        <w:rPr>
          <w:rFonts w:ascii="Calibri" w:eastAsiaTheme="majorEastAsia" w:hAnsi="Calibri" w:cs="Calibri"/>
          <w:b/>
          <w:bCs/>
          <w:color w:val="000000" w:themeColor="text1"/>
          <w:szCs w:val="24"/>
        </w:rPr>
      </w:pPr>
      <w:r w:rsidRPr="005C55E9">
        <w:rPr>
          <w:rFonts w:ascii="Calibri" w:eastAsiaTheme="majorEastAsia" w:hAnsi="Calibri" w:cs="Calibri"/>
          <w:b/>
          <w:bCs/>
          <w:color w:val="000000" w:themeColor="text1"/>
          <w:szCs w:val="24"/>
        </w:rPr>
        <w:t xml:space="preserve">Methodology </w:t>
      </w:r>
    </w:p>
    <w:p w14:paraId="58438B57"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The proposed research will adopt a conceptual, qualitative research approach to investigate the dual entry system of accounting and its effects on financial reporting accuracy, reliability, and prevention of fraud. This assignment requires a qualitative approach since the research is focused on description and interpretation of the existing accounting principles as opposed to hypothesis testing by </w:t>
      </w:r>
      <w:proofErr w:type="spellStart"/>
      <w:r w:rsidRPr="005C55E9">
        <w:rPr>
          <w:rFonts w:ascii="Calibri" w:eastAsiaTheme="majorEastAsia" w:hAnsi="Calibri" w:cs="Calibri"/>
          <w:color w:val="000000" w:themeColor="text1"/>
          <w:szCs w:val="24"/>
        </w:rPr>
        <w:t>analyzing</w:t>
      </w:r>
      <w:proofErr w:type="spellEnd"/>
      <w:r w:rsidRPr="005C55E9">
        <w:rPr>
          <w:rFonts w:ascii="Calibri" w:eastAsiaTheme="majorEastAsia" w:hAnsi="Calibri" w:cs="Calibri"/>
          <w:color w:val="000000" w:themeColor="text1"/>
          <w:szCs w:val="24"/>
        </w:rPr>
        <w:t xml:space="preserve"> quantitative data. In accounting research, conceptual research is a commonly applicable type of research aimed at synthesising theoretical knowledge and describing how accounting systems are practiced (Godfrey et al., 2010).</w:t>
      </w:r>
    </w:p>
    <w:p w14:paraId="324562E5"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The study relies solely on secondary data materials such as scholarly journal articles, academic </w:t>
      </w:r>
      <w:proofErr w:type="gramStart"/>
      <w:r w:rsidRPr="005C55E9">
        <w:rPr>
          <w:rFonts w:ascii="Calibri" w:eastAsiaTheme="majorEastAsia" w:hAnsi="Calibri" w:cs="Calibri"/>
          <w:color w:val="000000" w:themeColor="text1"/>
          <w:szCs w:val="24"/>
        </w:rPr>
        <w:t>text books</w:t>
      </w:r>
      <w:proofErr w:type="gramEnd"/>
      <w:r w:rsidRPr="005C55E9">
        <w:rPr>
          <w:rFonts w:ascii="Calibri" w:eastAsiaTheme="majorEastAsia" w:hAnsi="Calibri" w:cs="Calibri"/>
          <w:color w:val="000000" w:themeColor="text1"/>
          <w:szCs w:val="24"/>
        </w:rPr>
        <w:t xml:space="preserve"> on accounting, professional publications, and accounting standards of reputable standard-setting organizations. Google Scholar and academic databases like Scopus and Web of Science were used to find relevant literature. Special attention was given to works that have Digital Object Identifiers (DOIs) to guarantee academic credibility, traceability, and reliability. The application of academic sources enables the complete grasp of theoretical backgrounds and practical implications of the double-entry system (</w:t>
      </w:r>
      <w:proofErr w:type="spellStart"/>
      <w:r w:rsidRPr="005C55E9">
        <w:rPr>
          <w:rFonts w:ascii="Calibri" w:eastAsiaTheme="majorEastAsia" w:hAnsi="Calibri" w:cs="Calibri"/>
          <w:color w:val="000000" w:themeColor="text1"/>
          <w:szCs w:val="24"/>
        </w:rPr>
        <w:t>Tranfield</w:t>
      </w:r>
      <w:proofErr w:type="spellEnd"/>
      <w:r w:rsidRPr="005C55E9">
        <w:rPr>
          <w:rFonts w:ascii="Calibri" w:eastAsiaTheme="majorEastAsia" w:hAnsi="Calibri" w:cs="Calibri"/>
          <w:color w:val="000000" w:themeColor="text1"/>
          <w:szCs w:val="24"/>
        </w:rPr>
        <w:t xml:space="preserve"> et al., 2003).</w:t>
      </w:r>
    </w:p>
    <w:p w14:paraId="2AEFC050"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 xml:space="preserve">To collect and </w:t>
      </w:r>
      <w:proofErr w:type="spellStart"/>
      <w:r w:rsidRPr="005C55E9">
        <w:rPr>
          <w:rFonts w:ascii="Calibri" w:eastAsiaTheme="majorEastAsia" w:hAnsi="Calibri" w:cs="Calibri"/>
          <w:color w:val="000000" w:themeColor="text1"/>
          <w:szCs w:val="24"/>
        </w:rPr>
        <w:t>analyze</w:t>
      </w:r>
      <w:proofErr w:type="spellEnd"/>
      <w:r w:rsidRPr="005C55E9">
        <w:rPr>
          <w:rFonts w:ascii="Calibri" w:eastAsiaTheme="majorEastAsia" w:hAnsi="Calibri" w:cs="Calibri"/>
          <w:color w:val="000000" w:themeColor="text1"/>
          <w:szCs w:val="24"/>
        </w:rPr>
        <w:t xml:space="preserve"> the sources, a systematic literature review approach was used. Relevant studies were found using keywords like double-entry accounting, debits and credits, financial reporting accuracy, internal control, and fraud prevention. The chosen literature was filtered in </w:t>
      </w:r>
      <w:r w:rsidRPr="005C55E9">
        <w:rPr>
          <w:rFonts w:ascii="Calibri" w:eastAsiaTheme="majorEastAsia" w:hAnsi="Calibri" w:cs="Calibri"/>
          <w:color w:val="000000" w:themeColor="text1"/>
          <w:szCs w:val="24"/>
        </w:rPr>
        <w:lastRenderedPageBreak/>
        <w:t>terms of relevance to research objectives, the quality of publication, and input to accounting theory and practice. This systematic picking process can reduce any bias and strengthen the results (Booth et al., 2016).</w:t>
      </w:r>
    </w:p>
    <w:p w14:paraId="4AB17DBA"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Analysis was carried out using thematic analysis approach, which entailed the identification of common themes and patterns in the literature. Key topics were the concept of dual aspects, use of debits and credits, preparation of financial statements, and the significance of the double-entry system in internal control and fraud prevention. Thematic analysis facilitates the incorporation of various viewpoints and allows critical comparisons between different academic perspectives (Braun and Clarke, 2006).</w:t>
      </w:r>
    </w:p>
    <w:p w14:paraId="1631190C" w14:textId="77777777"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The methodology also included illustrative transaction examples that were published case studies and accounting textbooks in addition to theoretical analysis. The following were demonstrated as ways in which common business transactions, including cash sales, credit purchases, and expense payments, are entered under the double-entry system. The use of real-life examples reinforces the connection between theory and actual accounting practice and adds to the clarification value of the research (Libby et al., 2017).</w:t>
      </w:r>
    </w:p>
    <w:p w14:paraId="0E21A1A0" w14:textId="749A97FB" w:rsidR="00976524" w:rsidRPr="005C55E9" w:rsidRDefault="00976524" w:rsidP="00976524">
      <w:pPr>
        <w:spacing w:line="480" w:lineRule="auto"/>
        <w:rPr>
          <w:rFonts w:ascii="Calibri" w:eastAsiaTheme="majorEastAsia" w:hAnsi="Calibri" w:cs="Calibri"/>
          <w:color w:val="000000" w:themeColor="text1"/>
          <w:szCs w:val="24"/>
        </w:rPr>
      </w:pPr>
      <w:r w:rsidRPr="005C55E9">
        <w:rPr>
          <w:rFonts w:ascii="Calibri" w:eastAsiaTheme="majorEastAsia" w:hAnsi="Calibri" w:cs="Calibri"/>
          <w:color w:val="000000" w:themeColor="text1"/>
          <w:szCs w:val="24"/>
        </w:rPr>
        <w:t>The ethical element was tackled by making sure that all sources were properly cited and credited using APA 7th edition referencing rules. Since this paper is based purely on publicly accessible secondary sources, no ethical consent or approval was necessary. In general, this methodological design offers a methodical and scientifically appropriate framework to consider the importance of the double-entry system in preserving correct accounting records and robust financial reporting.</w:t>
      </w:r>
    </w:p>
    <w:p w14:paraId="587AA285" w14:textId="77777777" w:rsidR="00976524" w:rsidRPr="005C55E9" w:rsidRDefault="00976524" w:rsidP="00976524">
      <w:pPr>
        <w:spacing w:line="480" w:lineRule="auto"/>
        <w:rPr>
          <w:rStyle w:val="Heading1Char"/>
          <w:rFonts w:ascii="Calibri" w:hAnsi="Calibri" w:cs="Calibri"/>
          <w:color w:val="000000" w:themeColor="text1"/>
          <w:sz w:val="24"/>
          <w:szCs w:val="24"/>
        </w:rPr>
      </w:pPr>
    </w:p>
    <w:bookmarkEnd w:id="1"/>
    <w:p w14:paraId="72B71B25" w14:textId="77777777" w:rsidR="00976524" w:rsidRPr="005C55E9" w:rsidRDefault="00976524" w:rsidP="00976524">
      <w:pPr>
        <w:spacing w:line="480" w:lineRule="auto"/>
        <w:rPr>
          <w:rStyle w:val="Heading1Char"/>
          <w:rFonts w:ascii="Calibri" w:hAnsi="Calibri" w:cs="Calibri"/>
          <w:b/>
          <w:bCs/>
          <w:color w:val="000000" w:themeColor="text1"/>
          <w:sz w:val="24"/>
          <w:szCs w:val="24"/>
        </w:rPr>
      </w:pPr>
      <w:r w:rsidRPr="005C55E9">
        <w:rPr>
          <w:rStyle w:val="Heading1Char"/>
          <w:rFonts w:ascii="Calibri" w:hAnsi="Calibri" w:cs="Calibri"/>
          <w:b/>
          <w:bCs/>
          <w:color w:val="000000" w:themeColor="text1"/>
          <w:sz w:val="24"/>
          <w:szCs w:val="24"/>
        </w:rPr>
        <w:t xml:space="preserve">Findings </w:t>
      </w:r>
    </w:p>
    <w:p w14:paraId="55BCDB6A"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The results of the study are based on a systematic review of accounting literature, which demonstrate that the double-entry system is a key mechanism of maintaining accuracy, reliability, and transparency in financial reporting. The discussion indicates that the main advantage of the double-entry system is the dual-entry format which stipulates that all transactions must be registered through matching debit and credit entries. This framework is used to keep the books of accounts balanced and internally consistent at any point in time (Weygandt et al., 2020).</w:t>
      </w:r>
    </w:p>
    <w:p w14:paraId="493A662C"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Among the findings is that the double entry system greatly improves the accuracy of the financial records. Since every transaction involves at least two accounts, missing, duplicating, or wrong postings are easier to identify when total debits are not equal to total credits. According to the literature, this self-balancing property can be described as a self-check mechanism that enhances the credibility of accounting data and minimizes the risk of material misstatements in financial statements (</w:t>
      </w:r>
      <w:proofErr w:type="spellStart"/>
      <w:r w:rsidRPr="005C55E9">
        <w:rPr>
          <w:rStyle w:val="Heading1Char"/>
          <w:rFonts w:ascii="Calibri" w:hAnsi="Calibri" w:cs="Calibri"/>
          <w:color w:val="000000" w:themeColor="text1"/>
          <w:sz w:val="24"/>
          <w:szCs w:val="24"/>
        </w:rPr>
        <w:t>Kieso</w:t>
      </w:r>
      <w:proofErr w:type="spellEnd"/>
      <w:r w:rsidRPr="005C55E9">
        <w:rPr>
          <w:rStyle w:val="Heading1Char"/>
          <w:rFonts w:ascii="Calibri" w:hAnsi="Calibri" w:cs="Calibri"/>
          <w:color w:val="000000" w:themeColor="text1"/>
          <w:sz w:val="24"/>
          <w:szCs w:val="24"/>
        </w:rPr>
        <w:t xml:space="preserve"> et al., 2021).</w:t>
      </w:r>
    </w:p>
    <w:p w14:paraId="606E78B4"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The results also show that proper use of debits and credits is the key to the successful operation of the double-entry system. Research indicates that to record transactions properly, it is necessary to comprehend the effects of debits and credits on various types of accounts, such as assets, liabilities, equity, revenues, and expenses (Libby et al., 2017). Wrong classification of debit and credit accounts may corrupt financial statements, which will result in false evaluation </w:t>
      </w:r>
      <w:r w:rsidRPr="005C55E9">
        <w:rPr>
          <w:rStyle w:val="Heading1Char"/>
          <w:rFonts w:ascii="Calibri" w:hAnsi="Calibri" w:cs="Calibri"/>
          <w:color w:val="000000" w:themeColor="text1"/>
          <w:sz w:val="24"/>
          <w:szCs w:val="24"/>
        </w:rPr>
        <w:lastRenderedPageBreak/>
        <w:t>of profitability and financial position. Thus, the sources highlight the relevance of accounting knowledge and training in preserving quality financial records.</w:t>
      </w:r>
    </w:p>
    <w:p w14:paraId="09197F9D"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Another significant discovery is associated with the purpose of the double-entry system in the development of balanced financial statements. The results of double-entry accounting are directly visible on the balance sheet, making the assets to be equal to the liabilities plus equity (Penman, 2013). In a similar fashion, revenues and costs entered by debit and credit entries will be transferred to the income statement, and cash-related entries will assist in making the cash flow statement. According to the results, the absence of the double-entry framework would make it very hard to ensure consistency and rational connection among the financial statements (Dechow and Dichev, 2002).</w:t>
      </w:r>
    </w:p>
    <w:p w14:paraId="324164EE"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The research also concludes that the double-entry system is important in the maintenance of proper books of accounts and in internal control provisions. The system enables the accountants and auditors to track financial events back to the original documents to the final financial reports by developing a detailed audit trail of every transaction of the system. It has been argued in literature that such traceability improves accountability and contributes to efficient auditing processes especially in large and complex organizations (Bushman and Smith, 2001).</w:t>
      </w:r>
    </w:p>
    <w:p w14:paraId="11C9CF76"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Another important finding is fraud prevention. Literature suggests that this double entry requirement makes the task of fraudulent manipulation harder because any unauthorized alterations in one account will cause imbalances or inconsistencies in other parts of the accounting system (Healy and Palepu, 2001). Although the double-entry system </w:t>
      </w:r>
      <w:proofErr w:type="gramStart"/>
      <w:r w:rsidRPr="005C55E9">
        <w:rPr>
          <w:rStyle w:val="Heading1Char"/>
          <w:rFonts w:ascii="Calibri" w:hAnsi="Calibri" w:cs="Calibri"/>
          <w:color w:val="000000" w:themeColor="text1"/>
          <w:sz w:val="24"/>
          <w:szCs w:val="24"/>
        </w:rPr>
        <w:t>in itself cannot</w:t>
      </w:r>
      <w:proofErr w:type="gramEnd"/>
      <w:r w:rsidRPr="005C55E9">
        <w:rPr>
          <w:rStyle w:val="Heading1Char"/>
          <w:rFonts w:ascii="Calibri" w:hAnsi="Calibri" w:cs="Calibri"/>
          <w:color w:val="000000" w:themeColor="text1"/>
          <w:sz w:val="24"/>
          <w:szCs w:val="24"/>
        </w:rPr>
        <w:t xml:space="preserve"> </w:t>
      </w:r>
      <w:r w:rsidRPr="005C55E9">
        <w:rPr>
          <w:rStyle w:val="Heading1Char"/>
          <w:rFonts w:ascii="Calibri" w:hAnsi="Calibri" w:cs="Calibri"/>
          <w:color w:val="000000" w:themeColor="text1"/>
          <w:sz w:val="24"/>
          <w:szCs w:val="24"/>
        </w:rPr>
        <w:lastRenderedPageBreak/>
        <w:t>stop fraud, it offers a powerful background control mechanism that underpins the wider governance and risk management systems.</w:t>
      </w:r>
    </w:p>
    <w:p w14:paraId="0628A2E9"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Moreover, the results indicate how the double-entry system can be practically applicable in different businesses. The examples of transactions, discussed in the literature, including cash sales, credit purchases, wage payments, and loan repayments show that the system continually records the origin and application of money. This regularity enhances financial discipline and provides accounting records that represent the real economic effects of business operations (Romney and </w:t>
      </w:r>
      <w:proofErr w:type="spellStart"/>
      <w:r w:rsidRPr="005C55E9">
        <w:rPr>
          <w:rStyle w:val="Heading1Char"/>
          <w:rFonts w:ascii="Calibri" w:hAnsi="Calibri" w:cs="Calibri"/>
          <w:color w:val="000000" w:themeColor="text1"/>
          <w:sz w:val="24"/>
          <w:szCs w:val="24"/>
        </w:rPr>
        <w:t>Steinbart</w:t>
      </w:r>
      <w:proofErr w:type="spellEnd"/>
      <w:r w:rsidRPr="005C55E9">
        <w:rPr>
          <w:rStyle w:val="Heading1Char"/>
          <w:rFonts w:ascii="Calibri" w:hAnsi="Calibri" w:cs="Calibri"/>
          <w:color w:val="000000" w:themeColor="text1"/>
          <w:sz w:val="24"/>
          <w:szCs w:val="24"/>
        </w:rPr>
        <w:t>, 2021).</w:t>
      </w:r>
    </w:p>
    <w:p w14:paraId="5FFE6B3B"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Generally, the results affirm that the double-entry system is still indispensable to the current studies of accounting. Its capability in ensuring balanced records, facilitating correct financial reporting, and improving internal control highlights its perpetual applicability in traditional and </w:t>
      </w:r>
      <w:proofErr w:type="gramStart"/>
      <w:r w:rsidRPr="005C55E9">
        <w:rPr>
          <w:rStyle w:val="Heading1Char"/>
          <w:rFonts w:ascii="Calibri" w:hAnsi="Calibri" w:cs="Calibri"/>
          <w:color w:val="000000" w:themeColor="text1"/>
          <w:sz w:val="24"/>
          <w:szCs w:val="24"/>
        </w:rPr>
        <w:t>computer based</w:t>
      </w:r>
      <w:proofErr w:type="gramEnd"/>
      <w:r w:rsidRPr="005C55E9">
        <w:rPr>
          <w:rStyle w:val="Heading1Char"/>
          <w:rFonts w:ascii="Calibri" w:hAnsi="Calibri" w:cs="Calibri"/>
          <w:color w:val="000000" w:themeColor="text1"/>
          <w:sz w:val="24"/>
          <w:szCs w:val="24"/>
        </w:rPr>
        <w:t xml:space="preserve"> accounting.</w:t>
      </w:r>
    </w:p>
    <w:p w14:paraId="3E64A52E"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36219B05"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4244E954"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r w:rsidRPr="005C55E9">
        <w:rPr>
          <w:rStyle w:val="Heading1Char"/>
          <w:rFonts w:ascii="Calibri" w:hAnsi="Calibri" w:cs="Calibri"/>
          <w:b/>
          <w:bCs/>
          <w:color w:val="000000" w:themeColor="text1"/>
          <w:sz w:val="24"/>
          <w:szCs w:val="24"/>
        </w:rPr>
        <w:t xml:space="preserve">Discussion </w:t>
      </w:r>
    </w:p>
    <w:p w14:paraId="68B82589"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This study has demonstrated the key position of the double-entry system in the provision of accuracy, reliability, and transparency in financial reporting. The literature always illustrates that the need to have equal debit and credit entries gives rise to an inherent balancing mechanism that enhances the integrity of accounting records. The structural feature minimizes the </w:t>
      </w:r>
      <w:r w:rsidRPr="005C55E9">
        <w:rPr>
          <w:rStyle w:val="Heading1Char"/>
          <w:rFonts w:ascii="Calibri" w:hAnsi="Calibri" w:cs="Calibri"/>
          <w:color w:val="000000" w:themeColor="text1"/>
          <w:sz w:val="24"/>
          <w:szCs w:val="24"/>
        </w:rPr>
        <w:lastRenderedPageBreak/>
        <w:t>probability of undisclosed errors and assists in preparing credible financial statements significantly (Weygandt et al., 2020).</w:t>
      </w:r>
    </w:p>
    <w:p w14:paraId="7B84F9CB"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The discussion also highlights the need to properly use debit and credit rules in various types of accounts. Their improper use may pervert the reported financial performance and position, highlighting the importance of technical competence and professional judgment in the accounting practice (Libby et al., 2017). The double-entry system provides more decision usefulness to stakeholders by systematically recording the dual effects of transactions in that they capture the economic substance of transactions, instead of individual cash movements, in financial statements (Penman, 2013).</w:t>
      </w:r>
    </w:p>
    <w:p w14:paraId="376FD8B5"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The second important matter addressed is the presence of the double-entry system as a fraud prevention technique and internal control. Although this system cannot stop the occurrence of fraudulent behaviour, its dual-recording requirement and audit trail greatly strengthen the traceability and accountability (Bushman and Smith, 2001). This complicates any unauthorized manipulation and promotes efficient auditing and governance. The principles of double-entry bookkeeping remain the basis of automated controls and error checks in modern computerized accounting environments (Romney and </w:t>
      </w:r>
      <w:proofErr w:type="spellStart"/>
      <w:r w:rsidRPr="005C55E9">
        <w:rPr>
          <w:rStyle w:val="Heading1Char"/>
          <w:rFonts w:ascii="Calibri" w:hAnsi="Calibri" w:cs="Calibri"/>
          <w:color w:val="000000" w:themeColor="text1"/>
          <w:sz w:val="24"/>
          <w:szCs w:val="24"/>
        </w:rPr>
        <w:t>Steinbart</w:t>
      </w:r>
      <w:proofErr w:type="spellEnd"/>
      <w:r w:rsidRPr="005C55E9">
        <w:rPr>
          <w:rStyle w:val="Heading1Char"/>
          <w:rFonts w:ascii="Calibri" w:hAnsi="Calibri" w:cs="Calibri"/>
          <w:color w:val="000000" w:themeColor="text1"/>
          <w:sz w:val="24"/>
          <w:szCs w:val="24"/>
        </w:rPr>
        <w:t>, 2021).</w:t>
      </w:r>
    </w:p>
    <w:p w14:paraId="58D96A40"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In general, the discussion affirms that the double-entry system is still a crucial control model that supports reliable financial reporting and facilitates sound economic decision-making.</w:t>
      </w:r>
    </w:p>
    <w:p w14:paraId="27CDF291"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568149D8"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081D5BC7"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39DDF801"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22DF6BEF"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r w:rsidRPr="005C55E9">
        <w:rPr>
          <w:rStyle w:val="Heading1Char"/>
          <w:rFonts w:ascii="Calibri" w:hAnsi="Calibri" w:cs="Calibri"/>
          <w:b/>
          <w:bCs/>
          <w:color w:val="000000" w:themeColor="text1"/>
          <w:sz w:val="24"/>
          <w:szCs w:val="24"/>
        </w:rPr>
        <w:t xml:space="preserve">Recommendations </w:t>
      </w:r>
    </w:p>
    <w:p w14:paraId="703C7FB2"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Following the discussion on the double-entry system and its influence on financial reporting, </w:t>
      </w:r>
      <w:proofErr w:type="gramStart"/>
      <w:r w:rsidRPr="005C55E9">
        <w:rPr>
          <w:rStyle w:val="Heading1Char"/>
          <w:rFonts w:ascii="Calibri" w:hAnsi="Calibri" w:cs="Calibri"/>
          <w:color w:val="000000" w:themeColor="text1"/>
          <w:sz w:val="24"/>
          <w:szCs w:val="24"/>
        </w:rPr>
        <w:t>a number of</w:t>
      </w:r>
      <w:proofErr w:type="gramEnd"/>
      <w:r w:rsidRPr="005C55E9">
        <w:rPr>
          <w:rStyle w:val="Heading1Char"/>
          <w:rFonts w:ascii="Calibri" w:hAnsi="Calibri" w:cs="Calibri"/>
          <w:color w:val="000000" w:themeColor="text1"/>
          <w:sz w:val="24"/>
          <w:szCs w:val="24"/>
        </w:rPr>
        <w:t xml:space="preserve"> recommendations are presented that could improve the accounting practice and the quality of financial information in organizations.</w:t>
      </w:r>
    </w:p>
    <w:p w14:paraId="5BFBC1A1"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To begin with, organizations ought to strengthen the appropriate training in the principles of double-entry bookkeeping, especially how to use debits and credits in the various types of accounts. Misstatements in debit-credit classification may result in the misrepresentation of financial statements and </w:t>
      </w:r>
      <w:proofErr w:type="spellStart"/>
      <w:r w:rsidRPr="005C55E9">
        <w:rPr>
          <w:rStyle w:val="Heading1Char"/>
          <w:rFonts w:ascii="Calibri" w:hAnsi="Calibri" w:cs="Calibri"/>
          <w:color w:val="000000" w:themeColor="text1"/>
          <w:sz w:val="24"/>
          <w:szCs w:val="24"/>
        </w:rPr>
        <w:t>misjudgment</w:t>
      </w:r>
      <w:proofErr w:type="spellEnd"/>
      <w:r w:rsidRPr="005C55E9">
        <w:rPr>
          <w:rStyle w:val="Heading1Char"/>
          <w:rFonts w:ascii="Calibri" w:hAnsi="Calibri" w:cs="Calibri"/>
          <w:color w:val="000000" w:themeColor="text1"/>
          <w:sz w:val="24"/>
          <w:szCs w:val="24"/>
        </w:rPr>
        <w:t>. New staff training programs and refresher training of accounting personnel will contribute towards accuracy and consistency in recording transactions, particularly where staff turnover or upgrade of accounting systems occur.</w:t>
      </w:r>
    </w:p>
    <w:p w14:paraId="644021F7" w14:textId="77777777" w:rsidR="005C55E9" w:rsidRPr="005C55E9" w:rsidRDefault="005C55E9" w:rsidP="005C55E9">
      <w:pPr>
        <w:spacing w:line="480" w:lineRule="auto"/>
        <w:rPr>
          <w:rStyle w:val="Heading1Char"/>
          <w:rFonts w:ascii="Calibri" w:hAnsi="Calibri" w:cs="Calibri"/>
          <w:color w:val="000000" w:themeColor="text1"/>
          <w:sz w:val="24"/>
          <w:szCs w:val="24"/>
        </w:rPr>
      </w:pPr>
    </w:p>
    <w:p w14:paraId="0B63F0D4"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Second, firms ought to combine the double-entry system and robust internal control systems. Although the double-entry system allows a self-balancing process, it is more effective when used together with segregation of responsibilities, authorization controls, and frequent reconciliations. The management must make sure that the functions of recording, approval and reviewing of the transaction are distinctly isolated to minimize chances of errors and fraud. Internal audits must be performed periodically to identify the integrity of ledger accounts and compliance with accounting standards.</w:t>
      </w:r>
    </w:p>
    <w:p w14:paraId="141A9E4E"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lastRenderedPageBreak/>
        <w:t>Third, it is advised that organizations take advantage of accounting software, which is deeply rooted in the concept of doubling entries. Debit and credit entries are automated by modern computerized accounting systems and enterprise resource planning (ERP) systems, making them more efficient and eliminating manual errors. Nevertheless, the management should make sure that system settings are consistent with accounting standards, and that automated procedures are periodically checked to avoid system-wide errors.</w:t>
      </w:r>
    </w:p>
    <w:p w14:paraId="5C37CD08"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Educationally and professionally, accounting schools ought to be more concerned with conceptual learning than with mechanical </w:t>
      </w:r>
      <w:proofErr w:type="gramStart"/>
      <w:r w:rsidRPr="005C55E9">
        <w:rPr>
          <w:rStyle w:val="Heading1Char"/>
          <w:rFonts w:ascii="Calibri" w:hAnsi="Calibri" w:cs="Calibri"/>
          <w:color w:val="000000" w:themeColor="text1"/>
          <w:sz w:val="24"/>
          <w:szCs w:val="24"/>
        </w:rPr>
        <w:t>book keeping</w:t>
      </w:r>
      <w:proofErr w:type="gramEnd"/>
      <w:r w:rsidRPr="005C55E9">
        <w:rPr>
          <w:rStyle w:val="Heading1Char"/>
          <w:rFonts w:ascii="Calibri" w:hAnsi="Calibri" w:cs="Calibri"/>
          <w:color w:val="000000" w:themeColor="text1"/>
          <w:sz w:val="24"/>
          <w:szCs w:val="24"/>
        </w:rPr>
        <w:t>. Educating the economic justification of the double-entry system, including the concept of dual aspects and its connection to the accounting equation, develops analytical skills and equips learners with the ability to operate in complex real-life situations.</w:t>
      </w:r>
    </w:p>
    <w:p w14:paraId="63C19CAC"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Lastly, best practices and ethical standards should be encouraged in bookkeeping and financial reporting by regulatory and professional bodies. The role of the double-entry system in providing transparent, accurate, and trustworthy financial reporting will be enhanced further by clear guidelines, professional codes of conduct, and requirements of continuous professional development.</w:t>
      </w:r>
    </w:p>
    <w:p w14:paraId="15A45A7D"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r w:rsidRPr="005C55E9">
        <w:rPr>
          <w:rStyle w:val="Heading1Char"/>
          <w:rFonts w:ascii="Calibri" w:hAnsi="Calibri" w:cs="Calibri"/>
          <w:b/>
          <w:bCs/>
          <w:color w:val="000000" w:themeColor="text1"/>
          <w:sz w:val="24"/>
          <w:szCs w:val="24"/>
        </w:rPr>
        <w:t xml:space="preserve">Conclusion </w:t>
      </w:r>
    </w:p>
    <w:p w14:paraId="5D302561" w14:textId="77777777"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 xml:space="preserve">This assignment has </w:t>
      </w:r>
      <w:proofErr w:type="spellStart"/>
      <w:r w:rsidRPr="005C55E9">
        <w:rPr>
          <w:rStyle w:val="Heading1Char"/>
          <w:rFonts w:ascii="Calibri" w:hAnsi="Calibri" w:cs="Calibri"/>
          <w:color w:val="000000" w:themeColor="text1"/>
          <w:sz w:val="24"/>
          <w:szCs w:val="24"/>
        </w:rPr>
        <w:t>analyzed</w:t>
      </w:r>
      <w:proofErr w:type="spellEnd"/>
      <w:r w:rsidRPr="005C55E9">
        <w:rPr>
          <w:rStyle w:val="Heading1Char"/>
          <w:rFonts w:ascii="Calibri" w:hAnsi="Calibri" w:cs="Calibri"/>
          <w:color w:val="000000" w:themeColor="text1"/>
          <w:sz w:val="24"/>
          <w:szCs w:val="24"/>
        </w:rPr>
        <w:t xml:space="preserve"> the concept of the double-entry system of accounting and its effect on the accuracy and reliability of financial reporting. This analysis proves that the double-entry system is central to the contemporary accounting practice because it provides a balance in accounting records by a dual recognition of each financial transaction. The system promotes </w:t>
      </w:r>
      <w:r w:rsidRPr="005C55E9">
        <w:rPr>
          <w:rStyle w:val="Heading1Char"/>
          <w:rFonts w:ascii="Calibri" w:hAnsi="Calibri" w:cs="Calibri"/>
          <w:color w:val="000000" w:themeColor="text1"/>
          <w:sz w:val="24"/>
          <w:szCs w:val="24"/>
        </w:rPr>
        <w:lastRenderedPageBreak/>
        <w:t>internal controls and the accuracy of financial statements, as well as the classification of errors by ensuring equality between total debits and total credits.</w:t>
      </w:r>
    </w:p>
    <w:p w14:paraId="7ABE817F" w14:textId="1B16EE61" w:rsidR="005C55E9" w:rsidRPr="005C55E9" w:rsidRDefault="005C55E9" w:rsidP="005C55E9">
      <w:pPr>
        <w:spacing w:line="480" w:lineRule="auto"/>
        <w:rPr>
          <w:rStyle w:val="Heading1Char"/>
          <w:rFonts w:ascii="Calibri" w:hAnsi="Calibri" w:cs="Calibri"/>
          <w:color w:val="000000" w:themeColor="text1"/>
          <w:sz w:val="24"/>
          <w:szCs w:val="24"/>
        </w:rPr>
      </w:pPr>
      <w:r w:rsidRPr="005C55E9">
        <w:rPr>
          <w:rStyle w:val="Heading1Char"/>
          <w:rFonts w:ascii="Calibri" w:hAnsi="Calibri" w:cs="Calibri"/>
          <w:color w:val="000000" w:themeColor="text1"/>
          <w:sz w:val="24"/>
          <w:szCs w:val="24"/>
        </w:rPr>
        <w:t>The research affirms that proper knowledge of debits and credits is a critical condition to proper recording of transactions and preparation of balanced financial statements. The double-entry model is also critical in fraud prevention because it provides an open audit trail and enhances accountability in accounting systems. As much as there has been improvement in accounting technology, the concepts of double-entry bookkeeping have not been altered and are still the basis of computerized and automated accounting systems. As a final point, the double-entry system is not only the technical tool of record-keeping but the cornerstone mechanism, which promotes transparency, accountability, and informed decision-making. The fact that it remains pertinent underscores the significance of effective accounting knowledge and ethical practice in ensuring that financial reporting in modern business organizations is reliable.</w:t>
      </w:r>
    </w:p>
    <w:p w14:paraId="3D892256"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610E28D2"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08E6D5E1"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295D0D11"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583C98D4"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7E31B124"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7FC922B9"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1CF963CF"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5256F667"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5F96EC17"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1115B2A3" w14:textId="77777777" w:rsidR="005C55E9" w:rsidRPr="005C55E9" w:rsidRDefault="005C55E9" w:rsidP="005C55E9">
      <w:pPr>
        <w:spacing w:line="480" w:lineRule="auto"/>
        <w:rPr>
          <w:rStyle w:val="Heading1Char"/>
          <w:rFonts w:ascii="Calibri" w:hAnsi="Calibri" w:cs="Calibri"/>
          <w:b/>
          <w:bCs/>
          <w:color w:val="000000" w:themeColor="text1"/>
          <w:sz w:val="24"/>
          <w:szCs w:val="24"/>
        </w:rPr>
      </w:pPr>
    </w:p>
    <w:p w14:paraId="4271880F" w14:textId="77777777" w:rsidR="00976524" w:rsidRPr="005C55E9" w:rsidRDefault="00976524" w:rsidP="00976524">
      <w:pPr>
        <w:pStyle w:val="Heading1"/>
        <w:spacing w:line="480" w:lineRule="auto"/>
        <w:rPr>
          <w:rFonts w:ascii="Calibri" w:hAnsi="Calibri" w:cs="Calibri"/>
          <w:b/>
          <w:bCs/>
          <w:color w:val="000000" w:themeColor="text1"/>
          <w:sz w:val="24"/>
          <w:szCs w:val="24"/>
        </w:rPr>
      </w:pPr>
      <w:bookmarkStart w:id="2" w:name="_Toc215261154"/>
      <w:r w:rsidRPr="005C55E9">
        <w:rPr>
          <w:rFonts w:ascii="Calibri" w:hAnsi="Calibri" w:cs="Calibri"/>
          <w:b/>
          <w:bCs/>
          <w:color w:val="000000" w:themeColor="text1"/>
          <w:sz w:val="24"/>
          <w:szCs w:val="24"/>
        </w:rPr>
        <w:t>Reference List</w:t>
      </w:r>
      <w:bookmarkEnd w:id="2"/>
      <w:r w:rsidRPr="005C55E9">
        <w:rPr>
          <w:rFonts w:ascii="Calibri" w:hAnsi="Calibri" w:cs="Calibri"/>
          <w:b/>
          <w:bCs/>
          <w:color w:val="000000" w:themeColor="text1"/>
          <w:sz w:val="24"/>
          <w:szCs w:val="24"/>
        </w:rPr>
        <w:t xml:space="preserve"> </w:t>
      </w:r>
    </w:p>
    <w:p w14:paraId="187D74A1"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Ball, R., Kothari, S. P., &amp; Robin, A. (2000). The effect of international institutional factors on properties of accounting earnings. </w:t>
      </w:r>
      <w:r w:rsidRPr="00B75C48">
        <w:rPr>
          <w:rFonts w:ascii="Calibri" w:hAnsi="Calibri" w:cs="Calibri"/>
          <w:i/>
          <w:iCs/>
          <w:szCs w:val="24"/>
        </w:rPr>
        <w:t>Journal of Accounting and Economics, 29</w:t>
      </w:r>
      <w:r w:rsidRPr="00B75C48">
        <w:rPr>
          <w:rFonts w:ascii="Calibri" w:hAnsi="Calibri" w:cs="Calibri"/>
          <w:szCs w:val="24"/>
        </w:rPr>
        <w:t>(1), 1–51. https://doi.org/10.1016/S0165-4101(00)00012-4</w:t>
      </w:r>
    </w:p>
    <w:p w14:paraId="1FEFFB6A"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Bushman, R. M., &amp; Smith, A. J. (2001). Financial accounting information and corporate governance. </w:t>
      </w:r>
      <w:r w:rsidRPr="00B75C48">
        <w:rPr>
          <w:rFonts w:ascii="Calibri" w:hAnsi="Calibri" w:cs="Calibri"/>
          <w:i/>
          <w:iCs/>
          <w:szCs w:val="24"/>
        </w:rPr>
        <w:t>Journal of Accounting and Economics, 32</w:t>
      </w:r>
      <w:r w:rsidRPr="00B75C48">
        <w:rPr>
          <w:rFonts w:ascii="Calibri" w:hAnsi="Calibri" w:cs="Calibri"/>
          <w:szCs w:val="24"/>
        </w:rPr>
        <w:t>(1–3), 237–333. https://doi.org/10.1016/S0165-4101(01)00027-1</w:t>
      </w:r>
    </w:p>
    <w:p w14:paraId="548CCA74"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Dechow, P. M., &amp; Dichev, I. D. (2002). The quality of accruals and earnings: The role of accrual estimation errors. </w:t>
      </w:r>
      <w:r w:rsidRPr="00B75C48">
        <w:rPr>
          <w:rFonts w:ascii="Calibri" w:hAnsi="Calibri" w:cs="Calibri"/>
          <w:i/>
          <w:iCs/>
          <w:szCs w:val="24"/>
        </w:rPr>
        <w:t>The Accounting Review, 77</w:t>
      </w:r>
      <w:r w:rsidRPr="00B75C48">
        <w:rPr>
          <w:rFonts w:ascii="Calibri" w:hAnsi="Calibri" w:cs="Calibri"/>
          <w:szCs w:val="24"/>
        </w:rPr>
        <w:t>(Supplement), 35–59. https://doi.org/10.2308/accr.2002.77.s-1.35</w:t>
      </w:r>
    </w:p>
    <w:p w14:paraId="383F9FC7"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Dechow, P. M., Ge, W., &amp; Schrand, C. (2010). Understanding earnings quality. </w:t>
      </w:r>
      <w:r w:rsidRPr="00B75C48">
        <w:rPr>
          <w:rFonts w:ascii="Calibri" w:hAnsi="Calibri" w:cs="Calibri"/>
          <w:i/>
          <w:iCs/>
          <w:szCs w:val="24"/>
        </w:rPr>
        <w:t>Journal of Accounting and Economics, 50</w:t>
      </w:r>
      <w:r w:rsidRPr="00B75C48">
        <w:rPr>
          <w:rFonts w:ascii="Calibri" w:hAnsi="Calibri" w:cs="Calibri"/>
          <w:szCs w:val="24"/>
        </w:rPr>
        <w:t>(2–3), 344–401. https://doi.org/10.1016/j.jacceco.2010.01.001</w:t>
      </w:r>
    </w:p>
    <w:p w14:paraId="7BE174C0"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Dichev, I. D., &amp; Tang, V. W. (2008). Matching and the changing properties of accounting earnings over time. </w:t>
      </w:r>
      <w:r w:rsidRPr="00B75C48">
        <w:rPr>
          <w:rFonts w:ascii="Calibri" w:hAnsi="Calibri" w:cs="Calibri"/>
          <w:i/>
          <w:iCs/>
          <w:szCs w:val="24"/>
        </w:rPr>
        <w:t>Journal of Accounting Research, 46</w:t>
      </w:r>
      <w:r w:rsidRPr="00B75C48">
        <w:rPr>
          <w:rFonts w:ascii="Calibri" w:hAnsi="Calibri" w:cs="Calibri"/>
          <w:szCs w:val="24"/>
        </w:rPr>
        <w:t>(5), 1421–1460. https://doi.org/10.1111/j.1475-679X.2008.00305.x</w:t>
      </w:r>
    </w:p>
    <w:p w14:paraId="1348D354"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lastRenderedPageBreak/>
        <w:t xml:space="preserve">Donelson, D. C., Jennings, R., &amp; McInnis, J. (2011). Changes over time in the revenue–expense relation: Accounting or economics? </w:t>
      </w:r>
      <w:r w:rsidRPr="00B75C48">
        <w:rPr>
          <w:rFonts w:ascii="Calibri" w:hAnsi="Calibri" w:cs="Calibri"/>
          <w:i/>
          <w:iCs/>
          <w:szCs w:val="24"/>
        </w:rPr>
        <w:t>The Accounting Review, 86</w:t>
      </w:r>
      <w:r w:rsidRPr="00B75C48">
        <w:rPr>
          <w:rFonts w:ascii="Calibri" w:hAnsi="Calibri" w:cs="Calibri"/>
          <w:szCs w:val="24"/>
        </w:rPr>
        <w:t xml:space="preserve">(6), 2021–2047. </w:t>
      </w:r>
      <w:hyperlink r:id="rId5" w:tgtFrame="_new" w:history="1">
        <w:r w:rsidRPr="00B75C48">
          <w:rPr>
            <w:rStyle w:val="Hyperlink"/>
            <w:rFonts w:ascii="Calibri" w:hAnsi="Calibri" w:cs="Calibri"/>
            <w:szCs w:val="24"/>
          </w:rPr>
          <w:t>https://doi.org/10.2308/accr-10102</w:t>
        </w:r>
      </w:hyperlink>
    </w:p>
    <w:p w14:paraId="6BDFEE71"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Godfrey, J., Hodgson, A., Tarca, A., Hamilton, J., &amp; Holmes, S. (2010). </w:t>
      </w:r>
      <w:r w:rsidRPr="00B75C48">
        <w:rPr>
          <w:rFonts w:ascii="Calibri" w:hAnsi="Calibri" w:cs="Calibri"/>
          <w:i/>
          <w:iCs/>
          <w:szCs w:val="24"/>
        </w:rPr>
        <w:t>Accounting theory</w:t>
      </w:r>
      <w:r w:rsidRPr="00B75C48">
        <w:rPr>
          <w:rFonts w:ascii="Calibri" w:hAnsi="Calibri" w:cs="Calibri"/>
          <w:szCs w:val="24"/>
        </w:rPr>
        <w:t xml:space="preserve"> (7th ed.). Wiley.</w:t>
      </w:r>
    </w:p>
    <w:p w14:paraId="08CB5659"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Healy, P. M., &amp; Palepu, K. G. (2001). Information asymmetry, corporate disclosure, and the capital markets. </w:t>
      </w:r>
      <w:r w:rsidRPr="00B75C48">
        <w:rPr>
          <w:rFonts w:ascii="Calibri" w:hAnsi="Calibri" w:cs="Calibri"/>
          <w:i/>
          <w:iCs/>
          <w:szCs w:val="24"/>
        </w:rPr>
        <w:t>Journal of Accounting and Economics, 31</w:t>
      </w:r>
      <w:r w:rsidRPr="00B75C48">
        <w:rPr>
          <w:rFonts w:ascii="Calibri" w:hAnsi="Calibri" w:cs="Calibri"/>
          <w:szCs w:val="24"/>
        </w:rPr>
        <w:t>(1–3), 405–440. https://doi.org/10.1016/S0165-4101(01)00018-0</w:t>
      </w:r>
    </w:p>
    <w:p w14:paraId="7BBC3A05"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Healy, P. M., &amp; Wahlen, J. M. (1999). A review of the earnings management literature and its implications for standard setting. </w:t>
      </w:r>
      <w:r w:rsidRPr="00B75C48">
        <w:rPr>
          <w:rFonts w:ascii="Calibri" w:hAnsi="Calibri" w:cs="Calibri"/>
          <w:i/>
          <w:iCs/>
          <w:szCs w:val="24"/>
        </w:rPr>
        <w:t>Accounting Horizons, 13</w:t>
      </w:r>
      <w:r w:rsidRPr="00B75C48">
        <w:rPr>
          <w:rFonts w:ascii="Calibri" w:hAnsi="Calibri" w:cs="Calibri"/>
          <w:szCs w:val="24"/>
        </w:rPr>
        <w:t>(4), 365–383. https://doi.org/10.2308/acch.1999.13.4.365</w:t>
      </w:r>
    </w:p>
    <w:p w14:paraId="7F0AB9AA" w14:textId="77777777" w:rsidR="00976524" w:rsidRPr="00B75C48" w:rsidRDefault="00976524" w:rsidP="00976524">
      <w:pPr>
        <w:spacing w:line="480" w:lineRule="auto"/>
        <w:rPr>
          <w:rFonts w:ascii="Calibri" w:hAnsi="Calibri" w:cs="Calibri"/>
          <w:szCs w:val="24"/>
        </w:rPr>
      </w:pPr>
      <w:proofErr w:type="spellStart"/>
      <w:r w:rsidRPr="00B75C48">
        <w:rPr>
          <w:rFonts w:ascii="Calibri" w:hAnsi="Calibri" w:cs="Calibri"/>
          <w:szCs w:val="24"/>
        </w:rPr>
        <w:t>Kieso</w:t>
      </w:r>
      <w:proofErr w:type="spellEnd"/>
      <w:r w:rsidRPr="00B75C48">
        <w:rPr>
          <w:rFonts w:ascii="Calibri" w:hAnsi="Calibri" w:cs="Calibri"/>
          <w:szCs w:val="24"/>
        </w:rPr>
        <w:t xml:space="preserve">, D. E., Weygandt, J. J., &amp; Warfield, T. D. (2021). </w:t>
      </w:r>
      <w:r w:rsidRPr="00B75C48">
        <w:rPr>
          <w:rFonts w:ascii="Calibri" w:hAnsi="Calibri" w:cs="Calibri"/>
          <w:i/>
          <w:iCs/>
          <w:szCs w:val="24"/>
        </w:rPr>
        <w:t>Intermediate accounting</w:t>
      </w:r>
      <w:r w:rsidRPr="00B75C48">
        <w:rPr>
          <w:rFonts w:ascii="Calibri" w:hAnsi="Calibri" w:cs="Calibri"/>
          <w:szCs w:val="24"/>
        </w:rPr>
        <w:t xml:space="preserve"> (17th ed.). Wiley.</w:t>
      </w:r>
    </w:p>
    <w:p w14:paraId="5981A5AB"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Kothari, S. P., Leone, A. J., &amp; Wasley, C. E. (2005). Performance matched discretionary accrual measures. </w:t>
      </w:r>
      <w:r w:rsidRPr="00B75C48">
        <w:rPr>
          <w:rFonts w:ascii="Calibri" w:hAnsi="Calibri" w:cs="Calibri"/>
          <w:i/>
          <w:iCs/>
          <w:szCs w:val="24"/>
        </w:rPr>
        <w:t>Journal of Accounting and Economics, 39</w:t>
      </w:r>
      <w:r w:rsidRPr="00B75C48">
        <w:rPr>
          <w:rFonts w:ascii="Calibri" w:hAnsi="Calibri" w:cs="Calibri"/>
          <w:szCs w:val="24"/>
        </w:rPr>
        <w:t xml:space="preserve">(1), 163–197. </w:t>
      </w:r>
      <w:hyperlink r:id="rId6" w:tgtFrame="_new" w:history="1">
        <w:r w:rsidRPr="00B75C48">
          <w:rPr>
            <w:rStyle w:val="Hyperlink"/>
            <w:rFonts w:ascii="Calibri" w:hAnsi="Calibri" w:cs="Calibri"/>
            <w:szCs w:val="24"/>
          </w:rPr>
          <w:t>https://doi.org/10.1016/j.jacceco.2004.11.002</w:t>
        </w:r>
      </w:hyperlink>
    </w:p>
    <w:p w14:paraId="5DBD7526"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Libby, R., Libby, P. A., &amp; Short, D. G. (2017). </w:t>
      </w:r>
      <w:r w:rsidRPr="00B75C48">
        <w:rPr>
          <w:rFonts w:ascii="Calibri" w:hAnsi="Calibri" w:cs="Calibri"/>
          <w:i/>
          <w:iCs/>
          <w:szCs w:val="24"/>
        </w:rPr>
        <w:t>Financial accounting</w:t>
      </w:r>
      <w:r w:rsidRPr="00B75C48">
        <w:rPr>
          <w:rFonts w:ascii="Calibri" w:hAnsi="Calibri" w:cs="Calibri"/>
          <w:szCs w:val="24"/>
        </w:rPr>
        <w:t xml:space="preserve"> (9th ed.). McGraw-Hill Education.</w:t>
      </w:r>
    </w:p>
    <w:p w14:paraId="48441F73"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Littleton, A. C. (1966). </w:t>
      </w:r>
      <w:r w:rsidRPr="00B75C48">
        <w:rPr>
          <w:rFonts w:ascii="Calibri" w:hAnsi="Calibri" w:cs="Calibri"/>
          <w:i/>
          <w:iCs/>
          <w:szCs w:val="24"/>
        </w:rPr>
        <w:t>Accounting evolution to 1900</w:t>
      </w:r>
      <w:r w:rsidRPr="00B75C48">
        <w:rPr>
          <w:rFonts w:ascii="Calibri" w:hAnsi="Calibri" w:cs="Calibri"/>
          <w:szCs w:val="24"/>
        </w:rPr>
        <w:t>. Russell &amp; Russell.</w:t>
      </w:r>
    </w:p>
    <w:p w14:paraId="78776726"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Penman, S. H. (2013). </w:t>
      </w:r>
      <w:r w:rsidRPr="00B75C48">
        <w:rPr>
          <w:rFonts w:ascii="Calibri" w:hAnsi="Calibri" w:cs="Calibri"/>
          <w:i/>
          <w:iCs/>
          <w:szCs w:val="24"/>
        </w:rPr>
        <w:t>Financial statement analysis and security valuation</w:t>
      </w:r>
      <w:r w:rsidRPr="00B75C48">
        <w:rPr>
          <w:rFonts w:ascii="Calibri" w:hAnsi="Calibri" w:cs="Calibri"/>
          <w:szCs w:val="24"/>
        </w:rPr>
        <w:t xml:space="preserve"> (5th ed.). McGraw-Hill Education.</w:t>
      </w:r>
    </w:p>
    <w:p w14:paraId="17BD1DFC"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lastRenderedPageBreak/>
        <w:t xml:space="preserve">Penman, S. H., &amp; Yehuda, N. (2016). A matter of principle: Accounting reports convey both cash-flow news and discount-rate news. </w:t>
      </w:r>
      <w:r w:rsidRPr="00B75C48">
        <w:rPr>
          <w:rFonts w:ascii="Calibri" w:hAnsi="Calibri" w:cs="Calibri"/>
          <w:i/>
          <w:iCs/>
          <w:szCs w:val="24"/>
        </w:rPr>
        <w:t>Journal of Accounting, Auditing &amp; Finance, 31</w:t>
      </w:r>
      <w:r w:rsidRPr="00B75C48">
        <w:rPr>
          <w:rFonts w:ascii="Calibri" w:hAnsi="Calibri" w:cs="Calibri"/>
          <w:szCs w:val="24"/>
        </w:rPr>
        <w:t>(1), 5–39. https://doi.org/10.1177/0148558X15576293</w:t>
      </w:r>
    </w:p>
    <w:p w14:paraId="4D3405B7"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Romney, M. B., &amp; </w:t>
      </w:r>
      <w:proofErr w:type="spellStart"/>
      <w:r w:rsidRPr="00B75C48">
        <w:rPr>
          <w:rFonts w:ascii="Calibri" w:hAnsi="Calibri" w:cs="Calibri"/>
          <w:szCs w:val="24"/>
        </w:rPr>
        <w:t>Steinbart</w:t>
      </w:r>
      <w:proofErr w:type="spellEnd"/>
      <w:r w:rsidRPr="00B75C48">
        <w:rPr>
          <w:rFonts w:ascii="Calibri" w:hAnsi="Calibri" w:cs="Calibri"/>
          <w:szCs w:val="24"/>
        </w:rPr>
        <w:t xml:space="preserve">, P. J. (2021). </w:t>
      </w:r>
      <w:r w:rsidRPr="00B75C48">
        <w:rPr>
          <w:rFonts w:ascii="Calibri" w:hAnsi="Calibri" w:cs="Calibri"/>
          <w:i/>
          <w:iCs/>
          <w:szCs w:val="24"/>
        </w:rPr>
        <w:t>Accounting information systems</w:t>
      </w:r>
      <w:r w:rsidRPr="00B75C48">
        <w:rPr>
          <w:rFonts w:ascii="Calibri" w:hAnsi="Calibri" w:cs="Calibri"/>
          <w:szCs w:val="24"/>
        </w:rPr>
        <w:t xml:space="preserve"> (15th ed.). Pearson Education.</w:t>
      </w:r>
    </w:p>
    <w:p w14:paraId="5FCC2E05"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Scott, W. R. (2015). </w:t>
      </w:r>
      <w:r w:rsidRPr="00B75C48">
        <w:rPr>
          <w:rFonts w:ascii="Calibri" w:hAnsi="Calibri" w:cs="Calibri"/>
          <w:i/>
          <w:iCs/>
          <w:szCs w:val="24"/>
        </w:rPr>
        <w:t>Financial accounting theory</w:t>
      </w:r>
      <w:r w:rsidRPr="00B75C48">
        <w:rPr>
          <w:rFonts w:ascii="Calibri" w:hAnsi="Calibri" w:cs="Calibri"/>
          <w:szCs w:val="24"/>
        </w:rPr>
        <w:t xml:space="preserve"> (7th ed.). Pearson Education.</w:t>
      </w:r>
    </w:p>
    <w:p w14:paraId="370E6F47" w14:textId="77777777" w:rsidR="00976524" w:rsidRPr="00B75C48" w:rsidRDefault="00976524" w:rsidP="00976524">
      <w:pPr>
        <w:spacing w:line="480" w:lineRule="auto"/>
        <w:rPr>
          <w:rFonts w:ascii="Calibri" w:hAnsi="Calibri" w:cs="Calibri"/>
          <w:szCs w:val="24"/>
        </w:rPr>
      </w:pPr>
      <w:proofErr w:type="spellStart"/>
      <w:r w:rsidRPr="00B75C48">
        <w:rPr>
          <w:rFonts w:ascii="Calibri" w:hAnsi="Calibri" w:cs="Calibri"/>
          <w:szCs w:val="24"/>
        </w:rPr>
        <w:t>Tranfield</w:t>
      </w:r>
      <w:proofErr w:type="spellEnd"/>
      <w:r w:rsidRPr="00B75C48">
        <w:rPr>
          <w:rFonts w:ascii="Calibri" w:hAnsi="Calibri" w:cs="Calibri"/>
          <w:szCs w:val="24"/>
        </w:rPr>
        <w:t xml:space="preserve">, D., Denyer, D., &amp; Smart, P. (2003). Towards a methodology for developing evidence-informed management knowledge. </w:t>
      </w:r>
      <w:r w:rsidRPr="00B75C48">
        <w:rPr>
          <w:rFonts w:ascii="Calibri" w:hAnsi="Calibri" w:cs="Calibri"/>
          <w:i/>
          <w:iCs/>
          <w:szCs w:val="24"/>
        </w:rPr>
        <w:t>British Journal of Management, 14</w:t>
      </w:r>
      <w:r w:rsidRPr="00B75C48">
        <w:rPr>
          <w:rFonts w:ascii="Calibri" w:hAnsi="Calibri" w:cs="Calibri"/>
          <w:szCs w:val="24"/>
        </w:rPr>
        <w:t xml:space="preserve">(3), 207–222. </w:t>
      </w:r>
      <w:hyperlink r:id="rId7" w:tgtFrame="_new" w:history="1">
        <w:r w:rsidRPr="00B75C48">
          <w:rPr>
            <w:rStyle w:val="Hyperlink"/>
            <w:rFonts w:ascii="Calibri" w:hAnsi="Calibri" w:cs="Calibri"/>
            <w:szCs w:val="24"/>
          </w:rPr>
          <w:t>https://doi.org/10.1111/1467-8551.00375</w:t>
        </w:r>
      </w:hyperlink>
    </w:p>
    <w:p w14:paraId="3FCFBB21"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Weygandt, J. J., Kimmel, P. D., &amp; </w:t>
      </w:r>
      <w:proofErr w:type="spellStart"/>
      <w:r w:rsidRPr="00B75C48">
        <w:rPr>
          <w:rFonts w:ascii="Calibri" w:hAnsi="Calibri" w:cs="Calibri"/>
          <w:szCs w:val="24"/>
        </w:rPr>
        <w:t>Kieso</w:t>
      </w:r>
      <w:proofErr w:type="spellEnd"/>
      <w:r w:rsidRPr="00B75C48">
        <w:rPr>
          <w:rFonts w:ascii="Calibri" w:hAnsi="Calibri" w:cs="Calibri"/>
          <w:szCs w:val="24"/>
        </w:rPr>
        <w:t xml:space="preserve">, D. E. (2020). </w:t>
      </w:r>
      <w:r w:rsidRPr="00B75C48">
        <w:rPr>
          <w:rFonts w:ascii="Calibri" w:hAnsi="Calibri" w:cs="Calibri"/>
          <w:i/>
          <w:iCs/>
          <w:szCs w:val="24"/>
        </w:rPr>
        <w:t>Financial accounting</w:t>
      </w:r>
      <w:r w:rsidRPr="00B75C48">
        <w:rPr>
          <w:rFonts w:ascii="Calibri" w:hAnsi="Calibri" w:cs="Calibri"/>
          <w:szCs w:val="24"/>
        </w:rPr>
        <w:t xml:space="preserve"> (11th ed.). Wiley.</w:t>
      </w:r>
    </w:p>
    <w:p w14:paraId="1F4AADA4" w14:textId="77777777" w:rsidR="00976524" w:rsidRPr="00B75C48" w:rsidRDefault="00976524" w:rsidP="00976524">
      <w:pPr>
        <w:spacing w:line="480" w:lineRule="auto"/>
        <w:rPr>
          <w:rFonts w:ascii="Calibri" w:hAnsi="Calibri" w:cs="Calibri"/>
          <w:szCs w:val="24"/>
        </w:rPr>
      </w:pPr>
      <w:r w:rsidRPr="00B75C48">
        <w:rPr>
          <w:rFonts w:ascii="Calibri" w:hAnsi="Calibri" w:cs="Calibri"/>
          <w:szCs w:val="24"/>
        </w:rPr>
        <w:t xml:space="preserve">Yamey, B. S. (2004). Pacioli’s double-entry bookkeeping: A critique. </w:t>
      </w:r>
      <w:r w:rsidRPr="00B75C48">
        <w:rPr>
          <w:rFonts w:ascii="Calibri" w:hAnsi="Calibri" w:cs="Calibri"/>
          <w:i/>
          <w:iCs/>
          <w:szCs w:val="24"/>
        </w:rPr>
        <w:t>Accounting, Business &amp; Financial History, 14</w:t>
      </w:r>
      <w:r w:rsidRPr="00B75C48">
        <w:rPr>
          <w:rFonts w:ascii="Calibri" w:hAnsi="Calibri" w:cs="Calibri"/>
          <w:szCs w:val="24"/>
        </w:rPr>
        <w:t>(3), 203–213. https://doi.org/10.1080/0958520042000254720</w:t>
      </w:r>
    </w:p>
    <w:p w14:paraId="0EF43F74" w14:textId="77777777" w:rsidR="00976524" w:rsidRPr="005C55E9" w:rsidRDefault="00976524" w:rsidP="00976524">
      <w:pPr>
        <w:spacing w:line="480" w:lineRule="auto"/>
        <w:rPr>
          <w:rFonts w:ascii="Calibri" w:hAnsi="Calibri" w:cs="Calibri"/>
          <w:szCs w:val="24"/>
        </w:rPr>
      </w:pPr>
    </w:p>
    <w:p w14:paraId="64DD2B83" w14:textId="77777777" w:rsidR="00976524" w:rsidRPr="005C55E9" w:rsidRDefault="00976524">
      <w:pPr>
        <w:rPr>
          <w:rFonts w:ascii="Calibri" w:hAnsi="Calibri" w:cs="Calibri"/>
        </w:rPr>
      </w:pPr>
    </w:p>
    <w:sectPr w:rsidR="00976524" w:rsidRPr="005C55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524"/>
    <w:rsid w:val="005C55E9"/>
    <w:rsid w:val="006748AB"/>
    <w:rsid w:val="0097652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EB63D"/>
  <w15:chartTrackingRefBased/>
  <w15:docId w15:val="{750E2E87-0D94-4D3E-BE64-6F0A891CF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524"/>
  </w:style>
  <w:style w:type="paragraph" w:styleId="Heading1">
    <w:name w:val="heading 1"/>
    <w:basedOn w:val="Normal"/>
    <w:next w:val="Normal"/>
    <w:link w:val="Heading1Char"/>
    <w:uiPriority w:val="9"/>
    <w:qFormat/>
    <w:rsid w:val="0097652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7652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7652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765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5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5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5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5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5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52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7652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7652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765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5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5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5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5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524"/>
    <w:rPr>
      <w:rFonts w:eastAsiaTheme="majorEastAsia" w:cstheme="majorBidi"/>
      <w:color w:val="272727" w:themeColor="text1" w:themeTint="D8"/>
    </w:rPr>
  </w:style>
  <w:style w:type="paragraph" w:styleId="Title">
    <w:name w:val="Title"/>
    <w:basedOn w:val="Normal"/>
    <w:next w:val="Normal"/>
    <w:link w:val="TitleChar"/>
    <w:uiPriority w:val="10"/>
    <w:qFormat/>
    <w:rsid w:val="0097652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7652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7652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7652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76524"/>
    <w:pPr>
      <w:spacing w:before="160"/>
      <w:jc w:val="center"/>
    </w:pPr>
    <w:rPr>
      <w:i/>
      <w:iCs/>
      <w:color w:val="404040" w:themeColor="text1" w:themeTint="BF"/>
    </w:rPr>
  </w:style>
  <w:style w:type="character" w:customStyle="1" w:styleId="QuoteChar">
    <w:name w:val="Quote Char"/>
    <w:basedOn w:val="DefaultParagraphFont"/>
    <w:link w:val="Quote"/>
    <w:uiPriority w:val="29"/>
    <w:rsid w:val="00976524"/>
    <w:rPr>
      <w:i/>
      <w:iCs/>
      <w:color w:val="404040" w:themeColor="text1" w:themeTint="BF"/>
    </w:rPr>
  </w:style>
  <w:style w:type="paragraph" w:styleId="ListParagraph">
    <w:name w:val="List Paragraph"/>
    <w:basedOn w:val="Normal"/>
    <w:uiPriority w:val="34"/>
    <w:qFormat/>
    <w:rsid w:val="00976524"/>
    <w:pPr>
      <w:ind w:left="720"/>
      <w:contextualSpacing/>
    </w:pPr>
  </w:style>
  <w:style w:type="character" w:styleId="IntenseEmphasis">
    <w:name w:val="Intense Emphasis"/>
    <w:basedOn w:val="DefaultParagraphFont"/>
    <w:uiPriority w:val="21"/>
    <w:qFormat/>
    <w:rsid w:val="00976524"/>
    <w:rPr>
      <w:i/>
      <w:iCs/>
      <w:color w:val="0F4761" w:themeColor="accent1" w:themeShade="BF"/>
    </w:rPr>
  </w:style>
  <w:style w:type="paragraph" w:styleId="IntenseQuote">
    <w:name w:val="Intense Quote"/>
    <w:basedOn w:val="Normal"/>
    <w:next w:val="Normal"/>
    <w:link w:val="IntenseQuoteChar"/>
    <w:uiPriority w:val="30"/>
    <w:qFormat/>
    <w:rsid w:val="009765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524"/>
    <w:rPr>
      <w:i/>
      <w:iCs/>
      <w:color w:val="0F4761" w:themeColor="accent1" w:themeShade="BF"/>
    </w:rPr>
  </w:style>
  <w:style w:type="character" w:styleId="IntenseReference">
    <w:name w:val="Intense Reference"/>
    <w:basedOn w:val="DefaultParagraphFont"/>
    <w:uiPriority w:val="32"/>
    <w:qFormat/>
    <w:rsid w:val="00976524"/>
    <w:rPr>
      <w:b/>
      <w:bCs/>
      <w:smallCaps/>
      <w:color w:val="0F4761" w:themeColor="accent1" w:themeShade="BF"/>
      <w:spacing w:val="5"/>
    </w:rPr>
  </w:style>
  <w:style w:type="character" w:styleId="Hyperlink">
    <w:name w:val="Hyperlink"/>
    <w:basedOn w:val="DefaultParagraphFont"/>
    <w:uiPriority w:val="99"/>
    <w:unhideWhenUsed/>
    <w:rsid w:val="00976524"/>
    <w:rPr>
      <w:color w:val="467886" w:themeColor="hyperlink"/>
      <w:u w:val="single"/>
    </w:rPr>
  </w:style>
  <w:style w:type="paragraph" w:styleId="TOC1">
    <w:name w:val="toc 1"/>
    <w:basedOn w:val="Normal"/>
    <w:next w:val="Normal"/>
    <w:autoRedefine/>
    <w:uiPriority w:val="39"/>
    <w:unhideWhenUsed/>
    <w:rsid w:val="00976524"/>
    <w:pPr>
      <w:spacing w:after="100" w:line="259" w:lineRule="auto"/>
    </w:pPr>
    <w:rPr>
      <w:rFonts w:eastAsiaTheme="minorEastAsia" w:cs="Times New Roman"/>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1467-8551.0037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jacceco.2004.11.002" TargetMode="External"/><Relationship Id="rId5" Type="http://schemas.openxmlformats.org/officeDocument/2006/relationships/hyperlink" Target="https://doi.org/10.2308/accr-10102"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4618</Words>
  <Characters>26324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2026-02-06T07:26:00Z</dcterms:created>
  <dcterms:modified xsi:type="dcterms:W3CDTF">2026-02-06T07:37:00Z</dcterms:modified>
</cp:coreProperties>
</file>