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before="0"/>
        <w:jc w:val="center"/>
      </w:pPr>
      <w:r>
        <w:drawing>
          <wp:inline distT="0" distB="0" distL="0" distR="0">
            <wp:extent cx="3048000" cy="590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3048000" cy="590550"/>
                    </a:xfrm>
                    <a:prstGeom prst="rect">
                      <a:avLst/>
                    </a:prstGeom>
                  </pic:spPr>
                </pic:pic>
              </a:graphicData>
            </a:graphic>
          </wp:inline>
        </w:drawing>
      </w:r>
    </w:p>
    <w:p>
      <w:pPr>
        <w:spacing w:line="480" w:lineRule="auto"/>
      </w:pPr>
      <w:r>
        <w:rPr>
          <w:rFonts w:ascii="Times New Roman" w:cs="Times New Roman" w:eastAsia="Times New Roman" w:hAnsi="Times New Roman"/>
          <w:sz w:val="24"/>
          <w:szCs w:val="24"/>
        </w:rPr>
        <w:t xml:space="preserve"/>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color w:val="1F3864"/>
          <w:sz w:val="24"/>
          <w:szCs w:val="24"/>
        </w:rPr>
        <w:t xml:space="preserve">European Institute of Innovation, Entrepreneurship, and Technology</w:t>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color w:val="1F3864"/>
          <w:sz w:val="32"/>
          <w:szCs w:val="32"/>
        </w:rPr>
        <w:t xml:space="preserve">Tourism Law and Legislation</w:t>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sz w:val="28"/>
          <w:szCs w:val="28"/>
        </w:rPr>
        <w:t xml:space="preserve">Assignment 9</w:t>
      </w:r>
    </w:p>
    <w:p>
      <w:pPr>
        <w:spacing w:line="480" w:lineRule="auto"/>
      </w:pPr>
      <w:r>
        <w:rPr>
          <w:rFonts w:ascii="Times New Roman" w:cs="Times New Roman" w:eastAsia="Times New Roman" w:hAnsi="Times New Roman"/>
          <w:sz w:val="24"/>
          <w:szCs w:val="24"/>
        </w:rPr>
        <w:t xml:space="preserve"/>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sz w:val="24"/>
          <w:szCs w:val="24"/>
        </w:rPr>
        <w:t xml:space="preserve">Submitted By:</w:t>
      </w:r>
    </w:p>
    <w:p>
      <w:pPr>
        <w:spacing w:line="480" w:lineRule="auto"/>
        <w:jc w:val="center"/>
      </w:pPr>
      <w:r>
        <w:rPr>
          <w:rFonts w:ascii="Times New Roman" w:cs="Times New Roman" w:eastAsia="Times New Roman" w:hAnsi="Times New Roman"/>
          <w:sz w:val="24"/>
          <w:szCs w:val="24"/>
        </w:rPr>
        <w:t xml:space="preserve">Harsh Kumar</w:t>
      </w:r>
    </w:p>
    <w:p>
      <w:pPr>
        <w:spacing w:line="480" w:lineRule="auto"/>
        <w:jc w:val="center"/>
      </w:pPr>
      <w:r>
        <w:rPr>
          <w:rFonts w:ascii="Times New Roman" w:cs="Times New Roman" w:eastAsia="Times New Roman" w:hAnsi="Times New Roman"/>
          <w:sz w:val="24"/>
          <w:szCs w:val="24"/>
        </w:rPr>
        <w:t xml:space="preserve">Student ID: DE240086</w:t>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sz w:val="24"/>
          <w:szCs w:val="24"/>
        </w:rPr>
        <w:t xml:space="preserve">Course: Tourism Law and Legislation</w:t>
      </w:r>
    </w:p>
    <w:p>
      <w:pPr>
        <w:spacing w:line="480" w:lineRule="auto"/>
        <w:jc w:val="center"/>
      </w:pPr>
      <w:r>
        <w:rPr>
          <w:rFonts w:ascii="Times New Roman" w:cs="Times New Roman" w:eastAsia="Times New Roman" w:hAnsi="Times New Roman"/>
          <w:sz w:val="24"/>
          <w:szCs w:val="24"/>
        </w:rPr>
        <w:t xml:space="preserve">Submission Date: 25th February 2026</w:t>
      </w:r>
    </w:p>
    <w:p>
      <w:r>
        <w:br w:type="page"/>
      </w:r>
    </w:p>
    <w:p>
      <w:pPr>
        <w:pStyle w:val="Heading1"/>
        <w:spacing w:after="180" w:before="360"/>
      </w:pPr>
      <w:r>
        <w:rPr>
          <w:rFonts w:ascii="Times New Roman" w:cs="Times New Roman" w:eastAsia="Times New Roman" w:hAnsi="Times New Roman"/>
          <w:b/>
          <w:bCs/>
          <w:color w:val="1F3864"/>
          <w:sz w:val="28"/>
          <w:szCs w:val="28"/>
        </w:rPr>
        <w:t xml:space="preserve">Question 1: The Accommodation Contract — Definition and Legal Validity</w:t>
      </w:r>
    </w:p>
    <w:p>
      <w:pPr>
        <w:pStyle w:val="Heading2"/>
        <w:spacing w:after="120" w:before="240"/>
      </w:pPr>
      <w:r>
        <w:rPr>
          <w:rFonts w:ascii="Times New Roman" w:cs="Times New Roman" w:eastAsia="Times New Roman" w:hAnsi="Times New Roman"/>
          <w:b/>
          <w:bCs/>
          <w:color w:val="1F3864"/>
          <w:sz w:val="24"/>
          <w:szCs w:val="24"/>
        </w:rPr>
        <w:t xml:space="preserve">1.1 Defining the Accommodation Contract</w:t>
      </w:r>
    </w:p>
    <w:p>
      <w:pPr>
        <w:spacing w:line="480" w:lineRule="auto"/>
        <w:jc w:val="both"/>
      </w:pPr>
      <w:r>
        <w:rPr>
          <w:rFonts w:ascii="Times New Roman" w:cs="Times New Roman" w:eastAsia="Times New Roman" w:hAnsi="Times New Roman"/>
          <w:b w:val="false"/>
          <w:bCs w:val="false"/>
          <w:i w:val="false"/>
          <w:iCs w:val="false"/>
          <w:sz w:val="24"/>
          <w:szCs w:val="24"/>
        </w:rPr>
        <w:t xml:space="preserve">An accommodation contract is a legally binding agreement between a hospitality service provider — typically a hotel, hostel, guesthouse, or similar lodging establishment — and a guest, whereby the provider undertakes to furnish temporary lodging in exchange for monetary consideration. Unlike a standard lease or rental agreement, which transfers exclusive possessory rights over a property for an extended period, the accommodation contract is fundamentally transient in nature. It grants the guest a license to occupy a specific room or suite for a defined, usually short, duration, while the hotel retains control over the premises and continues to provide associated services such as housekeeping, security, and access to communal facilities (Frumer &amp; Friedman, 2020).</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accommodation contract occupies a distinctive position within the broader landscape of contract law because it blends elements of several legal categories. It carries characteristics of a service contract insofar as the hotel commits to providing cleaning, reception, food and beverage, and other personal services. It simultaneously resembles a contract for the hire of goods — specifically the use of furnishings, linen, and room amenities. In many European jurisdictions, including Germany, France, and Spain, the accommodation contract is explicitly recognized as a sui generis contract, meaning it is treated as a category in its own right and is governed by a combination of general contract law, sector-specific hospitality legislation, and, where relevant, consumer protection statutes (Muñoz Fernández, 2018).</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From a practical standpoint, the accommodation contract is formed the moment a guest makes a reservation that is accepted by the hotel, whether that acceptance is communicated in writing, verbally, or through an automated booking confirmation. The physical act of checking in at the front desk does not create the contract — it merely performs it. This distinction matters enormously in disputes involving late cancellations, no-shows, and overbooking, all of which arise with some regularity in the hospitality industry.</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1.2 Essential Legal Elements for Validity</w:t>
      </w:r>
    </w:p>
    <w:p>
      <w:pPr>
        <w:spacing w:line="480" w:lineRule="auto"/>
        <w:jc w:val="both"/>
      </w:pPr>
      <w:r>
        <w:rPr>
          <w:rFonts w:ascii="Times New Roman" w:cs="Times New Roman" w:eastAsia="Times New Roman" w:hAnsi="Times New Roman"/>
          <w:b w:val="false"/>
          <w:bCs w:val="false"/>
          <w:i w:val="false"/>
          <w:iCs w:val="false"/>
          <w:sz w:val="24"/>
          <w:szCs w:val="24"/>
        </w:rPr>
        <w:t xml:space="preserve">For an accommodation contract to be legally valid and enforceable, it must satisfy the same foundational requirements as any other contract under general civil and commercial law. While the precise terminology and emphasis may vary between common law and civil law systems, the following core elements are universally required.</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first essential element is offer and acceptance. A valid contract requires that one party — in this case, the hotel — makes a clear and definite offer of accommodation, specifying at minimum the dates of stay, the type of room, and the price. The guest must then accept that offer unconditionally. Any qualification or modification of the offer by the guest constitutes a counter-offer rather than acceptance and restarts the negotiation process. In practice, online booking platforms automate this exchange, but the legal logic remains unchanged (Oughton &amp; Davis, 2013).</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second element is consideration, which refers to the exchange of something of value between the contracting parties. In an accommodation contract, the hotel's consideration is the provision of lodging and associated services; the guest's consideration is the agreed price. Without consideration, the agreement is merely a gratuitous promise and is not legally enforceable in most common law jurisdictions. Civil law systems achieve a similar outcome through the concept of cause.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third element is the capacity of the parties to contract. Both the hotel — acting through its authorized representatives — and the guest must have full legal capacity. Minors and persons lacking mental capacity cannot enter into binding contracts independently, and special rules may apply when a hotel accepts a booking from such an individual.</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fourth element is the legality of the object and purpose. The contract must not require either party to perform an illegal act. A hotel that accepts payment for accommodation intended to facilitate criminal activity, for example, would be entering into a void contract.</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Finally, in some jurisdictions, particularly those operating under civil law traditions, the contract must be concluded with genuine consent — free from fraud, duress, or material misrepresentation. If a guest was induced to book based on materially false information about the hotel's facilities, the contract may be rendered voidable at the guest's election (Muñoz Fernández, 2018).</w:t>
      </w:r>
    </w:p>
    <w:p>
      <w:pPr>
        <w:spacing w:line="480" w:lineRule="auto"/>
      </w:pPr>
      <w:r>
        <w:rPr>
          <w:rFonts w:ascii="Times New Roman" w:cs="Times New Roman" w:eastAsia="Times New Roman" w:hAnsi="Times New Roman"/>
          <w:sz w:val="24"/>
          <w:szCs w:val="24"/>
        </w:rPr>
        <w:t xml:space="preserve"/>
      </w:r>
    </w:p>
    <w:p>
      <w:pPr>
        <w:pStyle w:val="Heading1"/>
        <w:spacing w:after="180" w:before="360"/>
      </w:pPr>
      <w:r>
        <w:rPr>
          <w:rFonts w:ascii="Times New Roman" w:cs="Times New Roman" w:eastAsia="Times New Roman" w:hAnsi="Times New Roman"/>
          <w:b/>
          <w:bCs/>
          <w:color w:val="1F3864"/>
          <w:sz w:val="28"/>
          <w:szCs w:val="28"/>
        </w:rPr>
        <w:t xml:space="preserve">Question 2: Main Parties in Accommodation Bookings</w:t>
      </w:r>
    </w:p>
    <w:p>
      <w:pPr>
        <w:pStyle w:val="Heading2"/>
        <w:spacing w:after="120" w:before="240"/>
      </w:pPr>
      <w:r>
        <w:rPr>
          <w:rFonts w:ascii="Times New Roman" w:cs="Times New Roman" w:eastAsia="Times New Roman" w:hAnsi="Times New Roman"/>
          <w:b/>
          <w:bCs/>
          <w:color w:val="1F3864"/>
          <w:sz w:val="24"/>
          <w:szCs w:val="24"/>
        </w:rPr>
        <w:t xml:space="preserve">2.1 Direct Hotel Booking</w:t>
      </w:r>
    </w:p>
    <w:p>
      <w:pPr>
        <w:spacing w:line="480" w:lineRule="auto"/>
        <w:jc w:val="both"/>
      </w:pPr>
      <w:r>
        <w:rPr>
          <w:rFonts w:ascii="Times New Roman" w:cs="Times New Roman" w:eastAsia="Times New Roman" w:hAnsi="Times New Roman"/>
          <w:b w:val="false"/>
          <w:bCs w:val="false"/>
          <w:i w:val="false"/>
          <w:iCs w:val="false"/>
          <w:sz w:val="24"/>
          <w:szCs w:val="24"/>
        </w:rPr>
        <w:t xml:space="preserve">When a guest books accommodation directly with a hotel — whether through the hotel's own website, by telephone, by email, or by walking in — the contractual and legal landscape is relatively straightforward. The principal parties are the hotel (or its owning entity) and the guest, and there is no intermediary standing between them.</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hotel, as one principal party, is the service provider and assumes all legal obligations arising from the accommodation contract. These obligations include the duty to provide the room as agreed, to maintain it in a safe and habitable condition, to protect the guest's personal safety while on the premises, and to exercise reasonable care over property deposited by the guest. In many countries, hoteliers bear a statutory strict or near-strict liability for the loss or damage of guests' belongings, subject to certain monetary caps. In the United Kingdom, for instance, the Hotel Proprietors Act 1956 imposes liability on hotel proprietors for guests' property, subject to limitations set out therein (Oughton &amp; Davis, 2013).</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guest, as the other principal party, is the individual or legal entity that has made the reservation and will occupy — or cause to be occupied — the accommodation. The guest's primary obligation is to pay the agreed price, but secondary obligations include using the room in a reasonable manner, complying with the hotel's house rules, and not causing damage to the property or disturbance to other guests. Where a corporate entity books rooms for employees, the corporation typically assumes the financial obligations while the individual employees become the actual occupants; this distinction can matter in disputes over damage or misconduct.</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One additional party occasionally present in direct bookings is the hotel's parent company or franchisor. Many hotels operate under a franchise arrangement with a major international brand such as Marriott or Hilton. In this scenario, the franchisee — the legal owner and operator of the hotel — is the contractual counterparty to the guest, not the brand itself, even though the brand's standards and reservation systems may have been used to make the booking (Frumer &amp; Friedman, 2020).</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2.2 Booking Through an Online Platform</w:t>
      </w:r>
    </w:p>
    <w:p>
      <w:pPr>
        <w:spacing w:line="480" w:lineRule="auto"/>
        <w:jc w:val="both"/>
      </w:pPr>
      <w:r>
        <w:rPr>
          <w:rFonts w:ascii="Times New Roman" w:cs="Times New Roman" w:eastAsia="Times New Roman" w:hAnsi="Times New Roman"/>
          <w:b w:val="false"/>
          <w:bCs w:val="false"/>
          <w:i w:val="false"/>
          <w:iCs w:val="false"/>
          <w:sz w:val="24"/>
          <w:szCs w:val="24"/>
        </w:rPr>
        <w:t xml:space="preserve">The emergence of online travel agencies and accommodation platforms — including Booking.com, Expedia, and Airbnb — has significantly expanded the range of parties involved in the formation and performance of an accommodation contract, introducing new legal complexities around agency, liability, and consumer protection.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first party is the guest or traveller, whose role remains essentially the same as in a direct booking. However, the guest must now interact primarily with the platform's interface, terms and conditions, and cancellation policies, which may differ materially from those of the hotel itself. The guest's contractual relationship is typically bifurcated: one contract is formed with the platform (covering the booking transaction and the platform's own service terms) and a separate contract is formed with the hotel (covering the actual accommodation).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second party is the online platform, which acts in the capacity of an intermediary or agent. The precise legal characterization of the platform's role — as a disclosed agent, an undisclosed agent, or an independent contractor — has been heavily litigated in multiple jurisdictions and has important consequences for liability. If the platform acts as a disclosed agent for the hotel, the hotel bears primary contractual liability for any failures of service. If the platform acts in a more independent capacity — as some platforms argue — then the guest's recourse in the event of a dispute may be more complicated (Tosi, 2017).</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third party is the hotel or accommodation provider, which remains the entity ultimately responsible for delivering the promised lodging. Even where the booking is made through a third-party platform, the hotel's fundamental legal obligations to the guest — including duties of care, safety, and service quality — are not diminished. The hotel's relationship with the platform is governed by a separate commercial agreement, typically a commission-based contract that grants the platform certain rights to display, market, and accept bookings on the hotel's behalf.</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In the context of home-sharing platforms such as Airbnb, a fourth party may be introduced: the individual property owner or host. In this three-sided relationship — platform, host, and guest — the allocation of liability for personal injury, property damage, and service failures is considerably more complex and continues to evolve as courts and regulators in various jurisdictions develop clearer frameworks (Tosi, 2017).</w:t>
      </w:r>
    </w:p>
    <w:p>
      <w:pPr>
        <w:spacing w:line="480" w:lineRule="auto"/>
      </w:pPr>
      <w:r>
        <w:rPr>
          <w:rFonts w:ascii="Times New Roman" w:cs="Times New Roman" w:eastAsia="Times New Roman" w:hAnsi="Times New Roman"/>
          <w:sz w:val="24"/>
          <w:szCs w:val="24"/>
        </w:rPr>
        <w:t xml:space="preserve"/>
      </w:r>
    </w:p>
    <w:p>
      <w:pPr>
        <w:pStyle w:val="Heading1"/>
        <w:spacing w:after="180" w:before="360"/>
      </w:pPr>
      <w:r>
        <w:rPr>
          <w:rFonts w:ascii="Times New Roman" w:cs="Times New Roman" w:eastAsia="Times New Roman" w:hAnsi="Times New Roman"/>
          <w:b/>
          <w:bCs/>
          <w:color w:val="1F3864"/>
          <w:sz w:val="28"/>
          <w:szCs w:val="28"/>
        </w:rPr>
        <w:t xml:space="preserve">References</w:t>
      </w:r>
    </w:p>
    <w:p>
      <w:pPr>
        <w:spacing w:line="480" w:lineRule="auto"/>
        <w:jc w:val="both"/>
      </w:pPr>
      <w:r>
        <w:rPr>
          <w:rFonts w:ascii="Times New Roman" w:cs="Times New Roman" w:eastAsia="Times New Roman" w:hAnsi="Times New Roman"/>
          <w:b w:val="false"/>
          <w:bCs w:val="false"/>
          <w:i w:val="false"/>
          <w:iCs w:val="false"/>
          <w:sz w:val="24"/>
          <w:szCs w:val="24"/>
        </w:rPr>
        <w:t xml:space="preserve">Frumer, S., &amp; Friedman, M. (2020). Hotel and motel law: Rights and remedies (4th ed.). Juris Publishing.</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Muñoz Fernández, A. (2018). El contrato de hospedaje en el derecho privado europeo [The accommodation contract in European private law]. Tirant lo Blanch.</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Oughton, D., &amp; Davis, M. (2013). Consumer law: Text, cases and materials (3rd ed.). Oxford University Press.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Tosi, E. (2017). Online platforms, sharing economy and consumer contracts: Regulatory challenges and future perspectives. European Journal of Consumer Law, 6(2), 45–72. https://doi.org/10.3935/ejcl.v6i2.345</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80" w:before="360"/>
      <w:outlineLvl w:val="0"/>
    </w:pPr>
    <w:rPr>
      <w:rFonts w:ascii="Times New Roman" w:cs="Times New Roman" w:eastAsia="Times New Roman" w:hAnsi="Times New Roman"/>
      <w:b/>
      <w:bCs/>
      <w:color w:val="1F3864"/>
      <w:sz w:val="28"/>
      <w:szCs w:val="28"/>
    </w:rPr>
  </w:style>
  <w:style w:type="paragraph" w:styleId="Heading2">
    <w:name w:val="Heading 2"/>
    <w:basedOn w:val="Normal"/>
    <w:next w:val="Normal"/>
    <w:qFormat/>
    <w:pPr>
      <w:spacing w:after="120" w:before="240"/>
      <w:outlineLvl w:val="1"/>
    </w:pPr>
    <w:rPr>
      <w:rFonts w:ascii="Times New Roman" w:cs="Times New Roman" w:eastAsia="Times New Roman" w:hAnsi="Times New Roman"/>
      <w:b/>
      <w:bCs/>
      <w:color w:val="1F3864"/>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1eae34b73767612d6ff9db6d35e67a5eab6b3350.jp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2026-04-01T19:02:38.901Z</dcterms:created>
  <dcterms:modified xsi:type="dcterms:W3CDTF">2026-04-01T19:02:38.904Z</dcterms:modified>
</cp:coreProperties>
</file>

<file path=docProps/custom.xml><?xml version="1.0" encoding="utf-8"?>
<Properties xmlns="http://schemas.openxmlformats.org/officeDocument/2006/custom-properties" xmlns:vt="http://schemas.openxmlformats.org/officeDocument/2006/docPropsVTypes"/>
</file>