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media/image1.webp" ContentType="image/webp"/>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798965">
      <w:pPr>
        <w:spacing w:line="72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M22 - Cultural Heritage Management</w:t>
      </w:r>
    </w:p>
    <w:p w14:paraId="3A7664EA">
      <w:pPr>
        <w:spacing w:line="72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Option 2: Intangible Cultural Heritage and Community Participation</w:t>
      </w:r>
    </w:p>
    <w:p w14:paraId="30BBAEBC">
      <w:pPr>
        <w:jc w:val="center"/>
        <w:rPr>
          <w:rFonts w:ascii="SimSun" w:hAnsi="SimSun" w:eastAsia="SimSun" w:cs="SimSun"/>
          <w:sz w:val="24"/>
          <w:szCs w:val="24"/>
        </w:rPr>
      </w:pPr>
    </w:p>
    <w:p w14:paraId="434D8773">
      <w:pPr>
        <w:jc w:val="center"/>
        <w:rPr>
          <w:rFonts w:ascii="SimSun" w:hAnsi="SimSun" w:eastAsia="SimSun" w:cs="SimSun"/>
          <w:sz w:val="24"/>
          <w:szCs w:val="24"/>
        </w:rPr>
      </w:pPr>
    </w:p>
    <w:p w14:paraId="65455A8C">
      <w:pPr>
        <w:jc w:val="center"/>
        <w:rPr>
          <w:rFonts w:ascii="SimSun" w:hAnsi="SimSun" w:eastAsia="SimSun" w:cs="SimSun"/>
          <w:sz w:val="24"/>
          <w:szCs w:val="24"/>
        </w:rPr>
      </w:pPr>
    </w:p>
    <w:p w14:paraId="25A4D2D4">
      <w:pPr>
        <w:jc w:val="center"/>
        <w:rPr>
          <w:rFonts w:ascii="SimSun" w:hAnsi="SimSun" w:eastAsia="SimSun" w:cs="SimSun"/>
          <w:sz w:val="24"/>
          <w:szCs w:val="24"/>
        </w:rPr>
      </w:pPr>
    </w:p>
    <w:p w14:paraId="149B860B">
      <w:pPr>
        <w:jc w:val="center"/>
      </w:pPr>
      <w:r>
        <w:rPr>
          <w:rFonts w:ascii="SimSun" w:hAnsi="SimSun" w:eastAsia="SimSun" w:cs="SimSun"/>
          <w:sz w:val="24"/>
          <w:szCs w:val="24"/>
        </w:rPr>
        <w:drawing>
          <wp:inline distT="0" distB="0" distL="114300" distR="114300">
            <wp:extent cx="3581400" cy="2390775"/>
            <wp:effectExtent l="0" t="0" r="0" b="1905"/>
            <wp:docPr id="1" name="Picture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 descr="IMG_256"/>
                    <pic:cNvPicPr>
                      <a:picLocks noChangeAspect="1"/>
                    </pic:cNvPicPr>
                  </pic:nvPicPr>
                  <pic:blipFill>
                    <a:blip r:embed="rId6"/>
                    <a:stretch>
                      <a:fillRect/>
                    </a:stretch>
                  </pic:blipFill>
                  <pic:spPr>
                    <a:xfrm>
                      <a:off x="0" y="0"/>
                      <a:ext cx="3581400" cy="2390775"/>
                    </a:xfrm>
                    <a:prstGeom prst="rect">
                      <a:avLst/>
                    </a:prstGeom>
                    <a:noFill/>
                    <a:ln w="9525">
                      <a:noFill/>
                    </a:ln>
                  </pic:spPr>
                </pic:pic>
              </a:graphicData>
            </a:graphic>
          </wp:inline>
        </w:drawing>
      </w:r>
    </w:p>
    <w:p w14:paraId="566C6441">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0" w:name="_Toc19811"/>
    </w:p>
    <w:p w14:paraId="642A5F1C">
      <w:pPr>
        <w:pStyle w:val="3"/>
        <w:keepNext w:val="0"/>
        <w:keepLines w:val="0"/>
        <w:widowControl/>
        <w:suppressLineNumbers w:val="0"/>
        <w:spacing w:line="480" w:lineRule="auto"/>
        <w:jc w:val="both"/>
        <w:rPr>
          <w:rFonts w:hint="default" w:ascii="Times New Roman" w:hAnsi="Times New Roman" w:cs="Times New Roman"/>
          <w:sz w:val="24"/>
          <w:szCs w:val="24"/>
        </w:rPr>
      </w:pPr>
    </w:p>
    <w:p w14:paraId="1A66D981">
      <w:pPr>
        <w:pStyle w:val="3"/>
        <w:keepNext w:val="0"/>
        <w:keepLines w:val="0"/>
        <w:widowControl/>
        <w:suppressLineNumbers w:val="0"/>
        <w:spacing w:line="480" w:lineRule="auto"/>
        <w:jc w:val="both"/>
        <w:rPr>
          <w:rFonts w:hint="default" w:ascii="Times New Roman" w:hAnsi="Times New Roman" w:cs="Times New Roman"/>
          <w:sz w:val="24"/>
          <w:szCs w:val="24"/>
        </w:rPr>
      </w:pPr>
    </w:p>
    <w:p w14:paraId="28B44939">
      <w:pPr>
        <w:pStyle w:val="3"/>
        <w:keepNext w:val="0"/>
        <w:keepLines w:val="0"/>
        <w:widowControl/>
        <w:suppressLineNumbers w:val="0"/>
        <w:spacing w:line="480" w:lineRule="auto"/>
        <w:jc w:val="both"/>
        <w:rPr>
          <w:rFonts w:hint="default" w:ascii="Times New Roman" w:hAnsi="Times New Roman" w:cs="Times New Roman"/>
          <w:sz w:val="24"/>
          <w:szCs w:val="24"/>
        </w:rPr>
      </w:pPr>
    </w:p>
    <w:p w14:paraId="15D3134E">
      <w:pPr>
        <w:pStyle w:val="3"/>
        <w:keepNext w:val="0"/>
        <w:keepLines w:val="0"/>
        <w:widowControl/>
        <w:suppressLineNumbers w:val="0"/>
        <w:spacing w:line="480" w:lineRule="auto"/>
        <w:jc w:val="both"/>
        <w:rPr>
          <w:rFonts w:hint="default" w:ascii="Times New Roman" w:hAnsi="Times New Roman" w:cs="Times New Roman"/>
          <w:sz w:val="24"/>
          <w:szCs w:val="24"/>
        </w:rPr>
      </w:pPr>
    </w:p>
    <w:p w14:paraId="589DA209">
      <w:pPr>
        <w:pStyle w:val="3"/>
        <w:keepNext w:val="0"/>
        <w:keepLines w:val="0"/>
        <w:widowControl/>
        <w:suppressLineNumbers w:val="0"/>
        <w:spacing w:line="480" w:lineRule="auto"/>
        <w:jc w:val="both"/>
        <w:rPr>
          <w:rFonts w:hint="default" w:ascii="Times New Roman" w:hAnsi="Times New Roman" w:cs="Times New Roman"/>
          <w:sz w:val="24"/>
          <w:szCs w:val="24"/>
        </w:rPr>
      </w:pPr>
    </w:p>
    <w:p w14:paraId="2A619AF2">
      <w:pPr>
        <w:pStyle w:val="3"/>
        <w:keepNext w:val="0"/>
        <w:keepLines w:val="0"/>
        <w:widowControl/>
        <w:suppressLineNumbers w:val="0"/>
        <w:spacing w:line="480" w:lineRule="auto"/>
        <w:jc w:val="both"/>
        <w:rPr>
          <w:rFonts w:hint="default" w:ascii="Times New Roman" w:hAnsi="Times New Roman" w:cs="Times New Roman"/>
          <w:sz w:val="24"/>
          <w:szCs w:val="24"/>
        </w:rPr>
      </w:pPr>
    </w:p>
    <w:p w14:paraId="3A92690F">
      <w:pPr>
        <w:pStyle w:val="3"/>
        <w:keepNext w:val="0"/>
        <w:keepLines w:val="0"/>
        <w:widowControl/>
        <w:suppressLineNumbers w:val="0"/>
        <w:spacing w:line="480" w:lineRule="auto"/>
        <w:jc w:val="both"/>
        <w:rPr>
          <w:rFonts w:hint="default" w:ascii="Times New Roman" w:hAnsi="Times New Roman" w:cs="Times New Roman"/>
          <w:sz w:val="24"/>
          <w:szCs w:val="24"/>
        </w:rPr>
      </w:pPr>
    </w:p>
    <w:p w14:paraId="4DA1D950">
      <w:pPr>
        <w:pStyle w:val="3"/>
        <w:keepNext w:val="0"/>
        <w:keepLines w:val="0"/>
        <w:widowControl/>
        <w:suppressLineNumbers w:val="0"/>
        <w:spacing w:line="480" w:lineRule="auto"/>
        <w:jc w:val="both"/>
        <w:rPr>
          <w:rFonts w:hint="default" w:ascii="Times New Roman" w:hAnsi="Times New Roman" w:cs="Times New Roman"/>
          <w:sz w:val="24"/>
          <w:szCs w:val="24"/>
        </w:rPr>
      </w:pPr>
    </w:p>
    <w:p w14:paraId="41A3E35A">
      <w:pPr>
        <w:pStyle w:val="3"/>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ABSTRACT</w:t>
      </w:r>
      <w:bookmarkEnd w:id="0"/>
    </w:p>
    <w:p w14:paraId="68ABDD7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cultural heritage represents the living cultural expressions and traditions that communities inherit from previous generations and continue to practice in their daily lives. These traditions include oral histories, performing arts, traditional craftsmanship, rituals, festivals, languages, culinary practices, and indigenous knowledge systems. Unlike monuments and historical structures, intangible heritage exists through human interaction, participation, and social transmission. It plays a vital role in preserving cultural identity, strengthening social relationships, and maintaining continuity between the past and present. Intangible cultural heritage also contributes to creativity, education, environmental sustainability, and intercultural understanding across societies.</w:t>
      </w:r>
    </w:p>
    <w:p w14:paraId="4FDCDF1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recent decades, intangible heritage has faced increasing threats due to globalization, urbanization, technological transformation, migration, and commercialization (Vecco, 2010). Many traditional practices are disappearing because younger generations are becoming less involved in cultural activities and local traditions. At the same time, tourism and digital media have transformed the way cultural expressions are presented and experienced worldwide.</w:t>
      </w:r>
    </w:p>
    <w:p w14:paraId="6203875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has emerged as a fundamental approach for safeguarding intangible cultural heritage. Communities are the custodians and practitioners of traditional knowledge and cultural practices. Their active involvement ensures the authenticity, continuity, and sustainability of heritage conservation efforts (Bortolotto, 2011). This report examines the importance of intangible cultural heritage, the challenges affecting its survival, and the role of local communities in preserving traditional cultural expressions. The study also explores educational initiatives, digital preservation methods, tourism impacts, government policies, and sustainable safeguarding strategies for protecting cultural diversity in contemporary society.</w:t>
      </w:r>
    </w:p>
    <w:p w14:paraId="7D4AEC90">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7BF9481C">
      <w:pPr>
        <w:pStyle w:val="12"/>
        <w:tabs>
          <w:tab w:val="right" w:leader="dot" w:pos="8306"/>
        </w:tabs>
        <w:spacing w:line="480" w:lineRule="auto"/>
        <w:ind w:left="0" w:leftChars="0" w:firstLine="0" w:firstLineChars="0"/>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_Toc19811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_Toc19811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6BB5554">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_Toc3477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_Toc3477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895D4D6">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_Toc2561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250FF7E">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_Toc13348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_Toc13348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23DBEE6">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_Toc5172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_Toc5172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4602B10">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_Toc23569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_Toc23569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991BFD2">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_Toc15512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_Toc15512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4FC57A2">
      <w:pPr>
        <w:pStyle w:val="11"/>
        <w:tabs>
          <w:tab w:val="right" w:leader="dot" w:pos="8306"/>
        </w:tabs>
        <w:spacing w:line="48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_Toc5809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_Toc5809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8546F9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Cs w:val="24"/>
        </w:rPr>
        <w:fldChar w:fldCharType="end"/>
      </w:r>
    </w:p>
    <w:p w14:paraId="4B1546C1">
      <w:pPr>
        <w:keepNext w:val="0"/>
        <w:keepLines w:val="0"/>
        <w:widowControl/>
        <w:suppressLineNumbers w:val="0"/>
        <w:spacing w:line="480" w:lineRule="auto"/>
        <w:jc w:val="both"/>
        <w:rPr>
          <w:rFonts w:hint="default" w:ascii="Times New Roman" w:hAnsi="Times New Roman" w:cs="Times New Roman"/>
          <w:sz w:val="24"/>
          <w:szCs w:val="24"/>
        </w:rPr>
      </w:pPr>
    </w:p>
    <w:p w14:paraId="7A29C13E">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7FC5EBE1">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3477"/>
      <w:r>
        <w:rPr>
          <w:rFonts w:hint="default" w:ascii="Times New Roman" w:hAnsi="Times New Roman" w:cs="Times New Roman"/>
          <w:sz w:val="24"/>
          <w:szCs w:val="24"/>
        </w:rPr>
        <w:t>INTRODUCTION</w:t>
      </w:r>
      <w:bookmarkEnd w:id="1"/>
    </w:p>
    <w:p w14:paraId="2A42BE0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cultural heritage forms an essential part of human civilization because it reflects the traditions, creativity, values, and social practices of communities across generations. It includes non-material aspects of culture such as oral traditions, folk music, dance, language, rituals, ceremonies, festive events, craftsmanship, traditional medicine, and indigenous knowledge systems. These cultural expressions preserve the identity and historical experiences of societies while promoting cultural continuity and diversity (UNESCO, 2003).</w:t>
      </w:r>
    </w:p>
    <w:p w14:paraId="2A6DDFE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Unlike physical heritage, intangible cultural heritage survives only through active participation and cultural transmission. Traditional customs remain meaningful when communities continue practicing, teaching, and adapting them according to changing social conditions. Cultural practices are therefore dynamic and constantly evolving rather than fixed historical objects (Kirshenblatt-Gimblett, 2004). This living nature makes intangible heritage highly dependent on communities and intergenerational learning.</w:t>
      </w:r>
    </w:p>
    <w:p w14:paraId="36D4942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importance of intangible heritage extends beyond cultural preservation. Traditional knowledge systems contribute significantly to environmental sustainability, social unity, education, and local economic development. Indigenous agricultural practices, folk medicine, water conservation techniques, and artisanal skills often contain valuable ecological knowledge developed through centuries of community experience (Lenzerini, 2011). Traditional festivals, music, and storytelling activities also strengthen social relationships and emotional connections among individuals.</w:t>
      </w:r>
    </w:p>
    <w:p w14:paraId="782F371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modern society, however, many cultural traditions are under serious threat. Globalization and modernization have transformed lifestyles, communication patterns, and entertainment preferences. Younger generations are increasingly influenced by digital media and global popular culture, reducing their participation in traditional customs and local cultural activities (Smith &amp; Akagawa, 2009). Migration and urbanization have further weakened connections between communities and their traditional practices.</w:t>
      </w:r>
    </w:p>
    <w:p w14:paraId="37F4415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Language extinction is another major concern in intangible heritage preservation. Indigenous and minority languages contain oral histories, social values, and traditional knowledge systems that are difficult to preserve once languages disappear. According to Harrison (2007), thousands of languages worldwide are endangered because of modernization and social change.</w:t>
      </w:r>
    </w:p>
    <w:p w14:paraId="2583D81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has created both opportunities and challenges for cultural preservation. Cultural tourism helps communities gain economic benefits through festivals, performances, handicrafts, and culinary traditions. It also increases public awareness regarding cultural diversity and local traditions (Timothy, 2011). However, commercialization sometimes changes the original meaning and authenticity of traditions when cultural practices are modified mainly for tourist entertainment.</w:t>
      </w:r>
    </w:p>
    <w:p w14:paraId="049EAB8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is therefore considered essential for safeguarding intangible cultural heritage. Communities possess emotional attachment, practical knowledge, and cultural responsibility toward their traditions. Preservation becomes more effective when local residents actively participate in cultural education, awareness campaigns, heritage festivals, and decision-making processes (Waterton &amp; Smith, 2010).</w:t>
      </w:r>
    </w:p>
    <w:p w14:paraId="7ED336C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introduced new possibilities for preserving and sharing intangible heritage. Digital archives, online exhibitions, podcasts, social media platforms, and audiovisual documentation systems allow communities to record and promote their traditions globally. These tools improve accessibility and help younger generations engage with traditional cultural practices through modern communication methods (Giaccardi, 2012).</w:t>
      </w:r>
    </w:p>
    <w:p w14:paraId="149B52B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explores the significance of intangible cultural heritage and analyzes the role of community participation in cultural preservation. It further examines the impact of globalization, tourism, education, technology, and policy frameworks on safeguarding cultural traditions in the contemporary world.</w:t>
      </w:r>
    </w:p>
    <w:p w14:paraId="53B6D6F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Additionally, intangible heritage contributes to promoting social inclusion and cultural dialogue in multicultural societies. Cultural festivals, community rituals, and traditional performances encourage interaction between people from different cultural backgrounds and strengthen mutual respect among communities (Deacon et al., 2004). Such activities support peaceful coexistence and encourage appreciation of cultural diversity.</w:t>
      </w:r>
    </w:p>
    <w:p w14:paraId="47A129C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aspect of intangible heritage is its role in strengthening local economies. Traditional craftsmanship, textile production, folk performances, and culinary practices generate employment opportunities for artisans and cultural practitioners. Heritage-based tourism supports small businesses and encourages preservation of local artistic traditions. Many communities depend economically on the continuation of traditional crafts and cultural events.</w:t>
      </w:r>
    </w:p>
    <w:p w14:paraId="6161927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Furthermore, intangible heritage preservation contributes to psychological well-being and community resilience. Shared traditions and rituals create emotional stability and a sense of belonging during periods of social and economic change. Communities often use cultural activities to maintain identity and continuity despite modernization and migration pressures. Therefore, safeguarding intangible cultural heritage is not only about protecting traditions but also about preserving human creativity, cultural dignity, and collective memory for future generations.</w:t>
      </w:r>
    </w:p>
    <w:p w14:paraId="27CAB4E0">
      <w:pPr>
        <w:keepNext w:val="0"/>
        <w:keepLines w:val="0"/>
        <w:widowControl/>
        <w:suppressLineNumbers w:val="0"/>
        <w:spacing w:line="480" w:lineRule="auto"/>
        <w:jc w:val="both"/>
        <w:rPr>
          <w:rFonts w:hint="default" w:ascii="Times New Roman" w:hAnsi="Times New Roman" w:cs="Times New Roman"/>
          <w:sz w:val="24"/>
          <w:szCs w:val="24"/>
        </w:rPr>
      </w:pPr>
    </w:p>
    <w:p w14:paraId="137607B8">
      <w:pPr>
        <w:pStyle w:val="2"/>
        <w:keepNext w:val="0"/>
        <w:keepLines w:val="0"/>
        <w:widowControl/>
        <w:suppressLineNumbers w:val="0"/>
        <w:spacing w:line="480" w:lineRule="auto"/>
        <w:jc w:val="both"/>
        <w:rPr>
          <w:rFonts w:hint="default" w:ascii="Times New Roman" w:hAnsi="Times New Roman" w:cs="Times New Roman"/>
          <w:sz w:val="24"/>
          <w:szCs w:val="24"/>
        </w:rPr>
      </w:pPr>
    </w:p>
    <w:p w14:paraId="0C05E6A7">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2629436C">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2561"/>
      <w:r>
        <w:rPr>
          <w:rFonts w:hint="default" w:ascii="Times New Roman" w:hAnsi="Times New Roman" w:cs="Times New Roman"/>
          <w:sz w:val="24"/>
          <w:szCs w:val="24"/>
        </w:rPr>
        <w:t>LITERATURE REVIEW</w:t>
      </w:r>
      <w:bookmarkEnd w:id="2"/>
    </w:p>
    <w:p w14:paraId="556203B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Academic discussions regarding intangible cultural heritage have expanded significantly in recent years due to concerns about cultural loss and globalization. Traditional heritage studies mainly focused on preserving monuments, historical architecture, archaeological sites, and museum collections. However, scholars later recognized that culture also exists in living traditions, social practices, oral expressions, and indigenous knowledge systems (Vecco, 2010).</w:t>
      </w:r>
    </w:p>
    <w:p w14:paraId="28BB51B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UNESCO Convention for the Safeguarding of the Intangible Cultural Heritage adopted in 2003 became a major turning point in heritage studies. The convention defined intangible heritage as living cultural practices recognized by communities as part of their cultural identity (UNESCO, 2003). Researchers believe this convention increased international awareness regarding the importance of protecting non-material cultural expressions.</w:t>
      </w:r>
    </w:p>
    <w:p w14:paraId="44D11C4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Kirshenblatt-Gimblett (2004) described intangible heritage as “living heritage” because it survives through performance and participation rather than physical preservation. According to this perspective, cultural traditions remain meaningful only when communities continue practicing and transmitting them within everyday social life.</w:t>
      </w:r>
    </w:p>
    <w:p w14:paraId="220929D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Scholars have emphasized the strong relationship between intangible heritage and community identity. Oral traditions, rituals, languages, and performing arts preserve collective memory and strengthen social belonging (Smith &amp; Akagawa, 2009). Communities often consider cultural practices as symbols of historical continuity and cultural pride.</w:t>
      </w:r>
    </w:p>
    <w:p w14:paraId="044B8C6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Globalization has emerged as one of the major themes in heritage literature. Mass media, migration, industrialization, and digital communication have transformed cultural lifestyles worldwide. Researchers argue that global cultural influences often reduce interest in local traditions among younger generations (Hafstein, 2009). This has resulted in declining participation in folk traditions, indigenous languages, and artisanal occupations.</w:t>
      </w:r>
    </w:p>
    <w:p w14:paraId="7B710B9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Several scholars have studied the impact of tourism on intangible cultural heritage. Tourism generates economic opportunities for communities through cultural festivals, handicraft markets, traditional cuisine, and folk performances (Timothy, 2011). Heritage tourism also increases awareness regarding local traditions and cultural diversity. However, commercialization can threaten authenticity if traditions are modified primarily for commercial entertainment purposes.</w:t>
      </w:r>
    </w:p>
    <w:p w14:paraId="04A673D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is consistently recognized as the foundation of successful safeguarding programs. Bortolotto (2011) argued that communities are not passive beneficiaries but active creators and custodians of heritage. Preservation efforts become more sustainable when communities participate in planning, documentation, education, and cultural activities.</w:t>
      </w:r>
    </w:p>
    <w:p w14:paraId="462F9DD4">
      <w:pPr>
        <w:pStyle w:val="10"/>
        <w:keepNext w:val="0"/>
        <w:keepLines w:val="0"/>
        <w:widowControl/>
        <w:suppressLineNumbers w:val="0"/>
        <w:spacing w:line="480" w:lineRule="auto"/>
        <w:jc w:val="both"/>
      </w:pPr>
      <w:r>
        <w:t>Recent academic literature has also focused on the relationship between intangible cultural heritage and digital globalization. Social media platforms, video-sharing websites, podcasts, and virtual communities have transformed the ways cultural traditions are documented and transmitted across generations. Researchers argue that digital technology can both support and challenge heritage preservation. On one hand, online platforms help communities record endangered languages, folk songs, rituals, and oral histories for educational purposes. On the other hand, rapid digital commercialization may simplify or alter cultural expressions to attract online audiences (Zhang, 2018). Scholars therefore recommend ethical digital documentation practices that respect community ownership and cultural authenticity.</w:t>
      </w:r>
    </w:p>
    <w:p w14:paraId="5F15048C">
      <w:pPr>
        <w:pStyle w:val="10"/>
        <w:keepNext w:val="0"/>
        <w:keepLines w:val="0"/>
        <w:widowControl/>
        <w:suppressLineNumbers w:val="0"/>
        <w:spacing w:line="480" w:lineRule="auto"/>
        <w:jc w:val="both"/>
      </w:pPr>
      <w:r>
        <w:t>Another important area of discussion is the contribution of intangible cultural heritage to peacebuilding and conflict resolution. Shared cultural traditions often create opportunities for dialogue and cooperation among diverse social groups. Festivals, traditional music, storytelling, and community rituals encourage interaction and mutual respect between people from different ethnic and cultural backgrounds (Deacon et al., 2004). Researchers suggest that heritage programs can therefore strengthen social harmony and reduce cultural tensions within multicultural societies.</w:t>
      </w:r>
    </w:p>
    <w:p w14:paraId="569CF947">
      <w:pPr>
        <w:pStyle w:val="10"/>
        <w:keepNext w:val="0"/>
        <w:keepLines w:val="0"/>
        <w:widowControl/>
        <w:suppressLineNumbers w:val="0"/>
        <w:spacing w:line="480" w:lineRule="auto"/>
        <w:jc w:val="both"/>
      </w:pPr>
      <w:r>
        <w:t>Scholars have further examined the role of intangible heritage in public health and psychological well-being. Traditional healing practices, meditation techniques, spiritual ceremonies, and collective rituals often provide emotional support and social stability within communities. Participation in cultural festivals and community events also improves social connectedness and reduces feelings of isolation, especially among elderly populations and indigenous groups (Ruggles &amp; Silverman, 2009). Researchers argue that safeguarding cultural traditions contributes to mental and emotional resilience during periods of social and economic change.</w:t>
      </w:r>
    </w:p>
    <w:p w14:paraId="5E6E60D5">
      <w:pPr>
        <w:pStyle w:val="10"/>
        <w:keepNext w:val="0"/>
        <w:keepLines w:val="0"/>
        <w:widowControl/>
        <w:suppressLineNumbers w:val="0"/>
        <w:spacing w:line="480" w:lineRule="auto"/>
        <w:jc w:val="both"/>
      </w:pPr>
      <w:r>
        <w:t>The economic dimensions of intangible cultural heritage have also gained increasing academic attention. Cultural industries related to handicrafts, performing arts, traditional cuisine, and folk festivals contribute significantly to employment generation and local entrepreneurship. Heritage-based creative industries provide financial opportunities for artisans, musicians, dancers, and traditional practitioners while encouraging preservation of cultural skills (Timothy, 2011). However, scholars emphasize that economic development should not compromise cultural meaning and authenticity.</w:t>
      </w:r>
    </w:p>
    <w:p w14:paraId="6617F681">
      <w:pPr>
        <w:pStyle w:val="10"/>
        <w:keepNext w:val="0"/>
        <w:keepLines w:val="0"/>
        <w:widowControl/>
        <w:suppressLineNumbers w:val="0"/>
        <w:spacing w:line="480" w:lineRule="auto"/>
        <w:jc w:val="both"/>
      </w:pPr>
      <w:r>
        <w:t>Another significant issue discussed in the literature is intellectual property rights and cultural ownership. Many indigenous communities have expressed concerns regarding unauthorized commercial use of traditional knowledge, designs, music, and rituals by external organizations and companies. Researchers therefore recommend stronger legal frameworks to protect community ownership and prevent exploitation of cultural expressions (Torsen &amp; Anderson, 2010). International organizations such as the World Intellectual Property Organization have also introduced discussions regarding traditional cultural expression rights and community protection.</w:t>
      </w:r>
    </w:p>
    <w:p w14:paraId="60A8D249">
      <w:pPr>
        <w:pStyle w:val="10"/>
        <w:keepNext w:val="0"/>
        <w:keepLines w:val="0"/>
        <w:widowControl/>
        <w:suppressLineNumbers w:val="0"/>
        <w:spacing w:line="480" w:lineRule="auto"/>
        <w:jc w:val="both"/>
      </w:pPr>
      <w:r>
        <w:t>Academic studies additionally emphasize the importance of local governance in heritage safeguarding. Decentralized heritage management systems that involve local councils, community leaders, and grassroots cultural organizations often achieve better preservation outcomes than centralized administrative models. Local governance improves communication between policymakers and cultural practitioners while ensuring that safeguarding strategies reflect community needs and priorities (Davis, 2011).</w:t>
      </w:r>
    </w:p>
    <w:p w14:paraId="6AD70C7E">
      <w:pPr>
        <w:pStyle w:val="10"/>
        <w:keepNext w:val="0"/>
        <w:keepLines w:val="0"/>
        <w:widowControl/>
        <w:suppressLineNumbers w:val="0"/>
        <w:spacing w:line="480" w:lineRule="auto"/>
        <w:jc w:val="both"/>
      </w:pPr>
      <w:r>
        <w:t>Researchers have also highlighted the growing importance of cultural mapping and documentation projects. Cultural mapping involves identifying and recording local traditions, languages, rituals, historical narratives, and artistic practices within communities. Such projects help governments and organizations develop targeted safeguarding strategies for endangered traditions (Ahmad, 2006). Documentation also supports educational activities and public awareness programs.</w:t>
      </w:r>
    </w:p>
    <w:p w14:paraId="79281C7E">
      <w:pPr>
        <w:pStyle w:val="10"/>
        <w:keepNext w:val="0"/>
        <w:keepLines w:val="0"/>
        <w:widowControl/>
        <w:suppressLineNumbers w:val="0"/>
        <w:spacing w:line="480" w:lineRule="auto"/>
        <w:jc w:val="both"/>
        <w:rPr>
          <w:rFonts w:hint="default" w:ascii="Times New Roman" w:hAnsi="Times New Roman" w:cs="Times New Roman"/>
          <w:sz w:val="24"/>
          <w:szCs w:val="24"/>
        </w:rPr>
      </w:pPr>
    </w:p>
    <w:p w14:paraId="4E10C84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 has become another important area of heritage research. Scholars believe that schools, museums, and universities play a vital role in transmitting traditional knowledge to younger generations. Cultural education programs improve awareness regarding local traditions and encourage youth participation in community activities (Lenzerini, 2011).</w:t>
      </w:r>
    </w:p>
    <w:p w14:paraId="7FA3768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have also highlighted the importance of digital technology in heritage preservation. Audiovisual recording systems, digital archives, online storytelling projects, and social media platforms allow communities to document and share cultural traditions globally (Giaccardi, 2012). Technology improves accessibility and creates opportunities for intercultural communication.</w:t>
      </w:r>
    </w:p>
    <w:p w14:paraId="45E1FFA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Language preservation has received increasing attention in academic literature. Languages contain historical narratives, indigenous knowledge, and cultural values that are difficult to preserve once languages disappear. Harrison (2007) explained that language extinction contributes directly to cultural loss and reduction of human knowledge diversity.</w:t>
      </w:r>
    </w:p>
    <w:p w14:paraId="5EF7066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significant area of research involves traditional ecological knowledge. Indigenous communities possess environmental practices related to agriculture, biodiversity, climate adaptation, and natural resource management. Scholars suggest that integrating traditional ecological knowledge into environmental policies can support sustainable development (UNESCO, 2021).</w:t>
      </w:r>
    </w:p>
    <w:p w14:paraId="69E9234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Gender perspectives are also important in heritage studies. Women play a major role in preserving culinary traditions, oral histories, textile arts, rituals, and family customs. Researchers therefore emphasize women’s participation in cultural policymaking and community heritage programs (Blake, 2015).</w:t>
      </w:r>
    </w:p>
    <w:p w14:paraId="690C98D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Migration and urbanization have transformed traditional cultural practices in many societies. Rural populations moving to cities often experience reduced participation in local traditions and community rituals. At the same time, migrant communities create new forms of cultural expression and intercultural exchange (Smith &amp; Akagawa, 2009).</w:t>
      </w:r>
    </w:p>
    <w:p w14:paraId="62BB525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Ethical concerns are another important topic in heritage studies. Scholars argue that heritage preservation should respect community ownership, intellectual property rights, and cultural dignity. Cultural traditions should not be exploited or misrepresented for commercial gain (Hafstein, 2009).</w:t>
      </w:r>
    </w:p>
    <w:p w14:paraId="385A259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 policies and international cooperation are considered essential for effective safeguarding. Many countries have developed heritage inventories, cultural grants, language revitalization programs, and legal frameworks to support endangered traditions (Blake, 2015). UNESCO and other international organizations provide technical and financial support for safeguarding projects.</w:t>
      </w:r>
    </w:p>
    <w:p w14:paraId="075688F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studies also emphasize the importance of youth engagement in heritage conservation. Digital storytelling projects, music workshops, cultural camps, and community festivals encourage younger generations to reconnect with traditional practices. Long-term preservation depends heavily on youth participation and cultural awareness programs.</w:t>
      </w:r>
    </w:p>
    <w:p w14:paraId="5F27F71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Scholars further discuss the relationship between intangible heritage and human rights. Cultural participation is increasingly recognized as a cultural right that allows communities to express identity and maintain social dignity. Protecting intangible heritage therefore supports cultural inclusion and diversity in democratic societies.</w:t>
      </w:r>
    </w:p>
    <w:p w14:paraId="2AB79B7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Museums and cultural institutions have also changed their role in heritage preservation. Modern museums now organize live performances, storytelling sessions, oral history projects, and participatory exhibitions rather than only displaying objects (Giaccardi, 2012). This interactive approach encourages active public engagement with living traditions.</w:t>
      </w:r>
    </w:p>
    <w:p w14:paraId="2543995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researchers conclude that safeguarding intangible cultural heritage requires interdisciplinary collaboration involving communities, educators, policymakers, tourism authorities, and digital media experts. Successful preservation strategies must balance cultural continuity with adaptation to modern social realities.</w:t>
      </w:r>
    </w:p>
    <w:p w14:paraId="7E71E40F">
      <w:pPr>
        <w:keepNext w:val="0"/>
        <w:keepLines w:val="0"/>
        <w:widowControl/>
        <w:suppressLineNumbers w:val="0"/>
        <w:spacing w:line="480" w:lineRule="auto"/>
        <w:jc w:val="both"/>
        <w:rPr>
          <w:rFonts w:hint="default" w:ascii="Times New Roman" w:hAnsi="Times New Roman" w:cs="Times New Roman"/>
          <w:sz w:val="24"/>
          <w:szCs w:val="24"/>
        </w:rPr>
      </w:pPr>
    </w:p>
    <w:p w14:paraId="5DE1B426">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3AB76824">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 w:name="_Toc13348"/>
      <w:r>
        <w:rPr>
          <w:rFonts w:hint="default" w:ascii="Times New Roman" w:hAnsi="Times New Roman" w:cs="Times New Roman"/>
          <w:sz w:val="24"/>
          <w:szCs w:val="24"/>
        </w:rPr>
        <w:t>METHODOLOGY</w:t>
      </w:r>
      <w:bookmarkEnd w:id="3"/>
    </w:p>
    <w:p w14:paraId="423B1813">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uses qualitative research methods and secondary data analysis to examine intangible cultural heritage and the importance of community participation in preserving traditional cultural expressions. Secondary research was selected because it provides access to a wide range of scholarly articles, cultural reports, government documents, heritage conventions, and educational studies related to intangible heritage safeguarding.</w:t>
      </w:r>
    </w:p>
    <w:p w14:paraId="016DEDA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Information for this report was collected from academic journals, books, UNESCO publications, online research databases, and reports prepared by international cultural organizations. Peer-reviewed and reliable sources were selected to ensure the academic quality and authenticity of the study.</w:t>
      </w:r>
    </w:p>
    <w:p w14:paraId="0935E42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followed a descriptive and analytical approach. The descriptive method was used to explain concepts such as oral traditions, performing arts, language preservation, festivals, rituals, craftsmanship, and indigenous knowledge systems. The analytical approach helped examine the major challenges affecting intangible heritage, including globalization, urbanization, tourism commercialization, migration, and technological change.</w:t>
      </w:r>
    </w:p>
    <w:p w14:paraId="77C9CB3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evaluated the role of communities, governments, educational institutions, museums, tourism authorities, and international organizations in heritage preservation. Various safeguarding programs, cultural festivals, digital documentation projects, and educational initiatives were analyzed to identify effective preservation practices.</w:t>
      </w:r>
    </w:p>
    <w:p w14:paraId="418ADED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Comparative analysis was applied to examine different cultural preservation models adopted by countries and communities worldwide. Examples related to folk traditions, indigenous languages, and cultural tourism were studied to understand global safeguarding strategies.</w:t>
      </w:r>
    </w:p>
    <w:p w14:paraId="21F1DCA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APA referencing style and in-text citations were included throughout the report to maintain academic standards and acknowledge original authors and organizations. UNESCO publications and heritage research literature were widely used due to their relevance and reliability in the field of intangible cultural heritage.</w:t>
      </w:r>
    </w:p>
    <w:p w14:paraId="66BFB8F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limitation of this study is that it relies entirely on secondary information and does not include field visits or interviews with cultural practitioners. However, the use of multiple scholarly and institutional sources provides comprehensive understanding of the topic.</w:t>
      </w:r>
    </w:p>
    <w:p w14:paraId="6281206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selected methodology supports detailed analysis of cultural preservation strategies, community participation, tourism impacts, educational initiatives, and technological developments associated with safeguarding intangible cultural heritage.</w:t>
      </w:r>
    </w:p>
    <w:p w14:paraId="11A365E9">
      <w:pPr>
        <w:keepNext w:val="0"/>
        <w:keepLines w:val="0"/>
        <w:widowControl/>
        <w:suppressLineNumbers w:val="0"/>
        <w:spacing w:line="480" w:lineRule="auto"/>
        <w:jc w:val="both"/>
        <w:rPr>
          <w:rFonts w:hint="default" w:ascii="Times New Roman" w:hAnsi="Times New Roman" w:cs="Times New Roman"/>
          <w:sz w:val="24"/>
          <w:szCs w:val="24"/>
        </w:rPr>
      </w:pPr>
    </w:p>
    <w:p w14:paraId="5FB045B1">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65484E1D">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4" w:name="_Toc5172"/>
      <w:r>
        <w:rPr>
          <w:rFonts w:hint="default" w:ascii="Times New Roman" w:hAnsi="Times New Roman" w:cs="Times New Roman"/>
          <w:sz w:val="24"/>
          <w:szCs w:val="24"/>
        </w:rPr>
        <w:t>FINDINGS</w:t>
      </w:r>
      <w:bookmarkEnd w:id="4"/>
    </w:p>
    <w:p w14:paraId="1FDB5D14">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5" w:name="_Toc25225"/>
      <w:r>
        <w:rPr>
          <w:rFonts w:hint="default" w:ascii="Times New Roman" w:hAnsi="Times New Roman" w:cs="Times New Roman"/>
          <w:sz w:val="24"/>
          <w:szCs w:val="24"/>
        </w:rPr>
        <w:t>Cultural Identity and Historical Continuity</w:t>
      </w:r>
      <w:bookmarkEnd w:id="5"/>
    </w:p>
    <w:p w14:paraId="04E3FFF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reveal that intangible cultural heritage plays a significant role in preserving community identity and historical continuity. Oral traditions, festivals, rituals, music, dance, and languages help communities maintain connections with their ancestors and cultural history (Smith &amp; Akagawa, 2009). These traditions strengthen collective memory and create emotional attachment among community members.</w:t>
      </w:r>
    </w:p>
    <w:p w14:paraId="01820EB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6" w:name="_Toc20018"/>
      <w:r>
        <w:rPr>
          <w:rFonts w:hint="default" w:ascii="Times New Roman" w:hAnsi="Times New Roman" w:cs="Times New Roman"/>
          <w:sz w:val="24"/>
          <w:szCs w:val="24"/>
        </w:rPr>
        <w:t>Importance of Community Involvement</w:t>
      </w:r>
      <w:bookmarkEnd w:id="6"/>
    </w:p>
    <w:p w14:paraId="1098BC0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emerged as one of the strongest factors influencing successful heritage preservation. Communities possess practical knowledge, cultural experience, and emotional responsibility toward traditional practices. Cultural traditions survive only when people continue practicing and teaching them to younger generations (Bortolotto, 2011).</w:t>
      </w:r>
    </w:p>
    <w:p w14:paraId="377D9BA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Local festivals, storytelling events, cultural workshops, and traditional performances encourage intergenerational learning and strengthen cultural continuity within communities.</w:t>
      </w:r>
    </w:p>
    <w:p w14:paraId="0B2A6AB3">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7" w:name="_Toc24752"/>
      <w:r>
        <w:rPr>
          <w:rFonts w:hint="default" w:ascii="Times New Roman" w:hAnsi="Times New Roman" w:cs="Times New Roman"/>
          <w:sz w:val="24"/>
          <w:szCs w:val="24"/>
        </w:rPr>
        <w:t>Educational and Social Benefits</w:t>
      </w:r>
      <w:bookmarkEnd w:id="7"/>
    </w:p>
    <w:p w14:paraId="5839ACA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indicate that intangible cultural heritage contributes significantly to education and social development. Schools, museums, and cultural institutions organize heritage programs that promote awareness regarding local traditions and cultural diversity.</w:t>
      </w:r>
    </w:p>
    <w:p w14:paraId="3802FD2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Traditional knowledge systems also provide important environmental and ethical lessons related to agriculture, biodiversity, water conservation, and community cooperation. Heritage education strengthens respect for cultural diversity and encourages youth participation in traditional practices.</w:t>
      </w:r>
    </w:p>
    <w:p w14:paraId="32D2FD85">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8" w:name="_Toc23673"/>
      <w:r>
        <w:rPr>
          <w:rFonts w:hint="default" w:ascii="Times New Roman" w:hAnsi="Times New Roman" w:cs="Times New Roman"/>
          <w:sz w:val="24"/>
          <w:szCs w:val="24"/>
        </w:rPr>
        <w:t>Threats from Globalization</w:t>
      </w:r>
      <w:bookmarkEnd w:id="8"/>
    </w:p>
    <w:p w14:paraId="23519EC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Globalization and modernization were identified as major threats affecting intangible heritage preservation. Urban lifestyles, digital entertainment, migration, and industrialization have reduced community participation in traditional customs and local cultural activities (Hafstein, 2009).</w:t>
      </w:r>
    </w:p>
    <w:p w14:paraId="5E64922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Many indigenous languages and artisanal occupations are disappearing because younger generations increasingly prefer global cultural influences and modern employment opportunities.</w:t>
      </w:r>
    </w:p>
    <w:p w14:paraId="03124FB8">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9" w:name="_Toc29762"/>
      <w:r>
        <w:rPr>
          <w:rFonts w:hint="default" w:ascii="Times New Roman" w:hAnsi="Times New Roman" w:cs="Times New Roman"/>
          <w:sz w:val="24"/>
          <w:szCs w:val="24"/>
        </w:rPr>
        <w:t>Tourism and Cultural Commercialization</w:t>
      </w:r>
      <w:bookmarkEnd w:id="9"/>
    </w:p>
    <w:p w14:paraId="7A79EE0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creates economic opportunities for communities through cultural festivals, folk performances, handicraft production, and traditional cuisine (Timothy, 2011). Heritage tourism supports local businesses and increases public awareness regarding cultural diversity.</w:t>
      </w:r>
    </w:p>
    <w:p w14:paraId="5637C5E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excessive commercialization often changes the meaning and authenticity of traditions. Some cultural performances are simplified or modified mainly to attract tourists rather than preserve original cultural values.</w:t>
      </w:r>
    </w:p>
    <w:p w14:paraId="5491A7BD">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0" w:name="_Toc23726"/>
      <w:r>
        <w:rPr>
          <w:rFonts w:hint="default" w:ascii="Times New Roman" w:hAnsi="Times New Roman" w:cs="Times New Roman"/>
          <w:sz w:val="24"/>
          <w:szCs w:val="24"/>
        </w:rPr>
        <w:t>Role of Technology</w:t>
      </w:r>
      <w:bookmarkEnd w:id="10"/>
    </w:p>
    <w:p w14:paraId="525744A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become an important tool for preserving and promoting intangible cultural heritage. Digital archives, audiovisual recordings, podcasts, online museums, and social media platforms help communities document and share cultural traditions globally (Giaccardi, 2012).</w:t>
      </w:r>
    </w:p>
    <w:p w14:paraId="4F01471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Digital storytelling projects and virtual exhibitions improve educational access and encourage youth engagement with traditional culture.</w:t>
      </w:r>
    </w:p>
    <w:p w14:paraId="0C115D61">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24704"/>
      <w:r>
        <w:rPr>
          <w:rFonts w:hint="default" w:ascii="Times New Roman" w:hAnsi="Times New Roman" w:cs="Times New Roman"/>
          <w:sz w:val="24"/>
          <w:szCs w:val="24"/>
        </w:rPr>
        <w:t>Government and Institutional Support</w:t>
      </w:r>
      <w:bookmarkEnd w:id="11"/>
    </w:p>
    <w:p w14:paraId="7DF6EA9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and international organizations contribute significantly to safeguarding programs through policies, legal frameworks, grants, awareness campaigns, and heritage inventories. UNESCO’s safeguarding convention encourages countries to identify and protect endangered traditions (UNESCO, 2003).</w:t>
      </w:r>
    </w:p>
    <w:p w14:paraId="3016981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Many countries have introduced language revitalization programs, folk art initiatives, and traditional craft training centers to support cultural continuity.</w:t>
      </w:r>
    </w:p>
    <w:p w14:paraId="1BF250B7">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2" w:name="_Toc30840"/>
      <w:r>
        <w:rPr>
          <w:rFonts w:hint="default" w:ascii="Times New Roman" w:hAnsi="Times New Roman" w:cs="Times New Roman"/>
          <w:sz w:val="24"/>
          <w:szCs w:val="24"/>
        </w:rPr>
        <w:t>Women and Cultural Preservation</w:t>
      </w:r>
      <w:bookmarkEnd w:id="12"/>
    </w:p>
    <w:p w14:paraId="510919B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Women were identified as important contributors to heritage transmission. They preserve culinary traditions, textile arts, oral histories, rituals, and family customs within communities. Women’s participation therefore strengthens cultural continuity and social cohesion.</w:t>
      </w:r>
    </w:p>
    <w:p w14:paraId="285019DC">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3" w:name="_Toc30270"/>
      <w:r>
        <w:rPr>
          <w:rFonts w:hint="default" w:ascii="Times New Roman" w:hAnsi="Times New Roman" w:cs="Times New Roman"/>
          <w:sz w:val="24"/>
          <w:szCs w:val="24"/>
        </w:rPr>
        <w:t>Sustainable Safeguarding Strategies</w:t>
      </w:r>
      <w:bookmarkEnd w:id="13"/>
    </w:p>
    <w:p w14:paraId="4946DEA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suggest that sustainable preservation depends on collaboration between communities, educational institutions, governments, museums, and tourism authorities. Community-centered safeguarding models, cultural education programs, digital preservation, and responsible tourism management improve long-term conservation outcomes.</w:t>
      </w:r>
    </w:p>
    <w:p w14:paraId="07FCA0DC">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7B18F271">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4" w:name="_Toc23569"/>
      <w:r>
        <w:rPr>
          <w:rFonts w:hint="default" w:ascii="Times New Roman" w:hAnsi="Times New Roman" w:cs="Times New Roman"/>
          <w:sz w:val="24"/>
          <w:szCs w:val="24"/>
        </w:rPr>
        <w:t>DISCUSSION</w:t>
      </w:r>
      <w:bookmarkEnd w:id="14"/>
    </w:p>
    <w:p w14:paraId="6294F47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demonstrates that intangible cultural heritage is essential for preserving cultural diversity, historical continuity, and social identity. Living traditions such as festivals, oral histories, rituals, performing arts, and indigenous knowledge systems strengthen emotional and social relationships within communities.</w:t>
      </w:r>
    </w:p>
    <w:p w14:paraId="2B7563C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Community participation emerged as the foundation of successful safeguarding efforts. Local communities possess cultural knowledge, practical experience, and emotional attachment toward traditional practices. Their active involvement improves authenticity and sustainability of heritage preservation programs (Bortolotto, 2011).</w:t>
      </w:r>
    </w:p>
    <w:p w14:paraId="5A83350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Globalization and modernization continue to create major challenges for intangible heritage conservation. Global media influences, migration, industrialization, and urban lifestyles have reduced participation in traditional practices among younger generations (Hafstein, 2009). Many communities struggle to maintain traditional customs in rapidly changing societies.</w:t>
      </w:r>
    </w:p>
    <w:p w14:paraId="46FD3FC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Tourism provides both economic benefits and cultural risks. Cultural tourism creates employment opportunities and increases awareness regarding local traditions. However, commercialization may transform cultural expressions into entertainment products designed mainly for tourist consumption (Timothy, 2011). Responsible tourism policies are therefore necessary to protect authenticity and community values.</w:t>
      </w:r>
    </w:p>
    <w:p w14:paraId="12C4AE3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significantly improved documentation and accessibility of cultural traditions. Digital archives, social media, virtual exhibitions, and audiovisual recording systems allow communities to preserve and share heritage globally (Giaccardi, 2012). Technology also encourages youth participation through modern communication platforms.</w:t>
      </w:r>
    </w:p>
    <w:p w14:paraId="6AD8BFB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Education plays a major role in long-term safeguarding. Heritage education programs improve cultural awareness and encourage respect for diversity. Schools, museums, and universities help transmit traditional knowledge to younger generations.</w:t>
      </w:r>
    </w:p>
    <w:p w14:paraId="270132F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Governments and international organizations must continue supporting safeguarding programs through legal protection, funding, cultural policies, and awareness campaigns. UNESCO’s convention provides important guidance for preserving endangered traditions and promoting community-centered approaches.</w:t>
      </w:r>
    </w:p>
    <w:p w14:paraId="31BB5CA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Furthermore, intangible cultural heritage contributes significantly to sustainable economic and social development. Traditional crafts, performing arts, culinary traditions, and local festivals support creative industries and generate employment opportunities for cultural practitioners. Heritage-based economic activities encourage preservation of artisanal skills and local entrepreneurship.</w:t>
      </w:r>
    </w:p>
    <w:p w14:paraId="514249F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issue highlighted in the discussion is the relationship between heritage and social inclusion. Cultural traditions create opportunities for dialogue and cooperation among diverse communities. Shared participation in festivals, rituals, and artistic performances strengthens social harmony and mutual understanding in multicultural societies.</w:t>
      </w:r>
    </w:p>
    <w:p w14:paraId="27C9B7CD">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also emphasizes the importance of balancing preservation with cultural adaptation. Traditions naturally evolve over time according to changing social realities. Effective safeguarding strategies should therefore protect cultural values while allowing communities to adapt traditions creatively to modern circumstances.</w:t>
      </w:r>
    </w:p>
    <w:p w14:paraId="359FFE10">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interdisciplinary collaboration is essential for sustainable heritage management. Successful preservation depends on cooperation between communities, researchers, educators, policymakers, tourism authorities, and digital media organizations. Long-term safeguarding requires continuous public awareness, cultural education, technological innovation, and active community participation.</w:t>
      </w:r>
    </w:p>
    <w:p w14:paraId="1C7498A0">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5" w:name="_Toc15512"/>
      <w:r>
        <w:rPr>
          <w:rFonts w:hint="default" w:ascii="Times New Roman" w:hAnsi="Times New Roman" w:cs="Times New Roman"/>
          <w:sz w:val="24"/>
          <w:szCs w:val="24"/>
        </w:rPr>
        <w:t>CONCLUSION</w:t>
      </w:r>
      <w:bookmarkEnd w:id="15"/>
    </w:p>
    <w:p w14:paraId="739632B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Intangible cultural heritage represents the living traditions, practices, and knowledge systems that preserve cultural identity and historical continuity within societies. Oral traditions, festivals, music, dance, rituals, craftsmanship, and indigenous knowledge contribute significantly to social cohesion, creativity, and cultural diversity.</w:t>
      </w:r>
    </w:p>
    <w:p w14:paraId="0C7F8CF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examined the importance of intangible cultural heritage and highlighted the central role of community participation in safeguarding traditional cultural expressions. Communities are the creators and custodians of cultural traditions, making their involvement essential for preserving authenticity and continuity.</w:t>
      </w:r>
    </w:p>
    <w:p w14:paraId="5DE6BCF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analyzed the major threats affecting intangible heritage, including globalization, migration, modernization, commercialization, and declining youth participation. These factors have placed many traditional practices and languages at risk of disappearance.</w:t>
      </w:r>
    </w:p>
    <w:p w14:paraId="219668C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education, tourism management, and government support were identified as important tools for safeguarding cultural traditions. Digital preservation methods, heritage education programs, cultural festivals, and community workshops improve public awareness and encourage participation in traditional practices.</w:t>
      </w:r>
    </w:p>
    <w:p w14:paraId="2ACF140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concludes that sustainable safeguarding requires collaboration between communities, educational institutions, governments, museums, tourism authorities, and international organizations. Preservation strategies should respect cultural authenticity while allowing traditions to evolve naturally according to contemporary social conditions.</w:t>
      </w:r>
    </w:p>
    <w:p w14:paraId="4C828F3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Protecting intangible cultural heritage is essential for maintaining cultural diversity, promoting intercultural understanding, supporting local economies, and preserving the creativity and collective memory of humanity for future generations.</w:t>
      </w:r>
    </w:p>
    <w:p w14:paraId="0DE3165C">
      <w:pPr>
        <w:keepNext w:val="0"/>
        <w:keepLines w:val="0"/>
        <w:widowControl/>
        <w:suppressLineNumbers w:val="0"/>
        <w:spacing w:line="480" w:lineRule="auto"/>
        <w:jc w:val="both"/>
        <w:rPr>
          <w:rFonts w:hint="default" w:ascii="Times New Roman" w:hAnsi="Times New Roman" w:cs="Times New Roman"/>
          <w:sz w:val="24"/>
          <w:szCs w:val="24"/>
        </w:rPr>
      </w:pPr>
    </w:p>
    <w:p w14:paraId="5DAAACB6">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3657B3D2">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6" w:name="_Toc5809"/>
      <w:r>
        <w:rPr>
          <w:rFonts w:hint="default" w:ascii="Times New Roman" w:hAnsi="Times New Roman" w:cs="Times New Roman"/>
          <w:sz w:val="24"/>
          <w:szCs w:val="24"/>
        </w:rPr>
        <w:t>REFERENCES</w:t>
      </w:r>
      <w:bookmarkEnd w:id="16"/>
    </w:p>
    <w:p w14:paraId="1437A216">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Blake, J. (2015). </w:t>
      </w:r>
      <w:r>
        <w:rPr>
          <w:rStyle w:val="6"/>
          <w:rFonts w:hint="default" w:ascii="Times New Roman" w:hAnsi="Times New Roman" w:cs="Times New Roman"/>
          <w:sz w:val="24"/>
          <w:szCs w:val="24"/>
        </w:rPr>
        <w:t>International cultural heritage law</w:t>
      </w:r>
      <w:r>
        <w:rPr>
          <w:rFonts w:hint="default" w:ascii="Times New Roman" w:hAnsi="Times New Roman" w:cs="Times New Roman"/>
          <w:sz w:val="24"/>
          <w:szCs w:val="24"/>
        </w:rPr>
        <w:t>. Oxford University Press.</w:t>
      </w:r>
    </w:p>
    <w:p w14:paraId="7656AA3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Bortolotto, C. (2011). The participation of communities in the safeguarding of intangible cultural heritage. </w:t>
      </w:r>
      <w:r>
        <w:rPr>
          <w:rStyle w:val="6"/>
          <w:rFonts w:hint="default" w:ascii="Times New Roman" w:hAnsi="Times New Roman" w:cs="Times New Roman"/>
          <w:sz w:val="24"/>
          <w:szCs w:val="24"/>
        </w:rPr>
        <w:t>Ethnologies, 33</w:t>
      </w:r>
      <w:r>
        <w:rPr>
          <w:rFonts w:hint="default" w:ascii="Times New Roman" w:hAnsi="Times New Roman" w:cs="Times New Roman"/>
          <w:sz w:val="24"/>
          <w:szCs w:val="24"/>
        </w:rPr>
        <w:t xml:space="preserve">(1), 21–47.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"https://doi.org/10.7202/1007801ar"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https://doi.org/10.7202/1007801ar</w:t>
      </w:r>
      <w:r>
        <w:rPr>
          <w:rFonts w:hint="default" w:ascii="Times New Roman" w:hAnsi="Times New Roman" w:cs="Times New Roman"/>
          <w:sz w:val="24"/>
          <w:szCs w:val="24"/>
        </w:rPr>
        <w:fldChar w:fldCharType="end"/>
      </w:r>
    </w:p>
    <w:p w14:paraId="10A4AF5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Deacon, H., Dondolo, L., Mrubata, M., &amp; Prosalendis, S. (2004). </w:t>
      </w:r>
      <w:r>
        <w:rPr>
          <w:rStyle w:val="6"/>
          <w:rFonts w:hint="default" w:ascii="Times New Roman" w:hAnsi="Times New Roman" w:cs="Times New Roman"/>
          <w:sz w:val="24"/>
          <w:szCs w:val="24"/>
        </w:rPr>
        <w:t>The subtle power of intangible heritage</w:t>
      </w:r>
      <w:r>
        <w:rPr>
          <w:rFonts w:hint="default" w:ascii="Times New Roman" w:hAnsi="Times New Roman" w:cs="Times New Roman"/>
          <w:sz w:val="24"/>
          <w:szCs w:val="24"/>
        </w:rPr>
        <w:t>. HSRC Press.</w:t>
      </w:r>
    </w:p>
    <w:p w14:paraId="19E3986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Giaccardi, E. (2012). </w:t>
      </w:r>
      <w:r>
        <w:rPr>
          <w:rStyle w:val="6"/>
          <w:rFonts w:hint="default" w:ascii="Times New Roman" w:hAnsi="Times New Roman" w:cs="Times New Roman"/>
          <w:sz w:val="24"/>
          <w:szCs w:val="24"/>
        </w:rPr>
        <w:t>Heritage and social media: Understanding heritage in a participatory culture</w:t>
      </w:r>
      <w:r>
        <w:rPr>
          <w:rFonts w:hint="default" w:ascii="Times New Roman" w:hAnsi="Times New Roman" w:cs="Times New Roman"/>
          <w:sz w:val="24"/>
          <w:szCs w:val="24"/>
        </w:rPr>
        <w:t xml:space="preserve">. Routledge.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"https://doi.org/10.4324/9780203119648"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https://doi.org/10.4324/9780203119648</w:t>
      </w:r>
      <w:r>
        <w:rPr>
          <w:rFonts w:hint="default" w:ascii="Times New Roman" w:hAnsi="Times New Roman" w:cs="Times New Roman"/>
          <w:sz w:val="24"/>
          <w:szCs w:val="24"/>
        </w:rPr>
        <w:fldChar w:fldCharType="end"/>
      </w:r>
    </w:p>
    <w:p w14:paraId="4370AABA">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Hafstein, V. (2009). Intangible heritage as a list: From masterpieces to representation. In L. Smith &amp; N. Akagawa (Eds.), </w:t>
      </w:r>
      <w:r>
        <w:rPr>
          <w:rStyle w:val="6"/>
          <w:rFonts w:hint="default" w:ascii="Times New Roman" w:hAnsi="Times New Roman" w:cs="Times New Roman"/>
          <w:sz w:val="24"/>
          <w:szCs w:val="24"/>
        </w:rPr>
        <w:t>Intangible heritage</w:t>
      </w:r>
      <w:r>
        <w:rPr>
          <w:rFonts w:hint="default" w:ascii="Times New Roman" w:hAnsi="Times New Roman" w:cs="Times New Roman"/>
          <w:sz w:val="24"/>
          <w:szCs w:val="24"/>
        </w:rPr>
        <w:t xml:space="preserve"> (pp. 93–111). Routledge.</w:t>
      </w:r>
    </w:p>
    <w:p w14:paraId="517DACF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Harrison, K. D. (2007). </w:t>
      </w:r>
      <w:r>
        <w:rPr>
          <w:rStyle w:val="6"/>
          <w:rFonts w:hint="default" w:ascii="Times New Roman" w:hAnsi="Times New Roman" w:cs="Times New Roman"/>
          <w:sz w:val="24"/>
          <w:szCs w:val="24"/>
        </w:rPr>
        <w:t>When languages die: The extinction of the world’s languages and the erosion of human knowledge</w:t>
      </w:r>
      <w:r>
        <w:rPr>
          <w:rFonts w:hint="default" w:ascii="Times New Roman" w:hAnsi="Times New Roman" w:cs="Times New Roman"/>
          <w:sz w:val="24"/>
          <w:szCs w:val="24"/>
        </w:rPr>
        <w:t>. Oxford University Press.</w:t>
      </w:r>
    </w:p>
    <w:p w14:paraId="0045627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Kirshenblatt-Gimblett, B. (2004). Intangible heritage as metacultural production. </w:t>
      </w:r>
      <w:r>
        <w:rPr>
          <w:rStyle w:val="6"/>
          <w:rFonts w:hint="default" w:ascii="Times New Roman" w:hAnsi="Times New Roman" w:cs="Times New Roman"/>
          <w:sz w:val="24"/>
          <w:szCs w:val="24"/>
        </w:rPr>
        <w:t>Museum International, 56</w:t>
      </w:r>
      <w:r>
        <w:rPr>
          <w:rFonts w:hint="default" w:ascii="Times New Roman" w:hAnsi="Times New Roman" w:cs="Times New Roman"/>
          <w:sz w:val="24"/>
          <w:szCs w:val="24"/>
        </w:rPr>
        <w:t xml:space="preserve">(1–2), 52–65.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"https://doi.org/10.1111/j.1350-0775.2004.00458.x"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https://doi.org/10.1111/j.1350-0775.2004.00458.x</w:t>
      </w:r>
      <w:r>
        <w:rPr>
          <w:rFonts w:hint="default" w:ascii="Times New Roman" w:hAnsi="Times New Roman" w:cs="Times New Roman"/>
          <w:sz w:val="24"/>
          <w:szCs w:val="24"/>
        </w:rPr>
        <w:fldChar w:fldCharType="end"/>
      </w:r>
    </w:p>
    <w:p w14:paraId="2DC04D98">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Lenzerini, F. (2011). Intangible cultural heritage: The living culture of peoples. </w:t>
      </w:r>
      <w:r>
        <w:rPr>
          <w:rStyle w:val="6"/>
          <w:rFonts w:hint="default" w:ascii="Times New Roman" w:hAnsi="Times New Roman" w:cs="Times New Roman"/>
          <w:sz w:val="24"/>
          <w:szCs w:val="24"/>
        </w:rPr>
        <w:t>European Journal of International Law, 22</w:t>
      </w:r>
      <w:r>
        <w:rPr>
          <w:rFonts w:hint="default" w:ascii="Times New Roman" w:hAnsi="Times New Roman" w:cs="Times New Roman"/>
          <w:sz w:val="24"/>
          <w:szCs w:val="24"/>
        </w:rPr>
        <w:t xml:space="preserve">(1), 101–120.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"https://doi.org/10.1093/ejil/chr006"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https://doi.org/10.1093/ejil/chr006</w:t>
      </w:r>
      <w:r>
        <w:rPr>
          <w:rFonts w:hint="default" w:ascii="Times New Roman" w:hAnsi="Times New Roman" w:cs="Times New Roman"/>
          <w:sz w:val="24"/>
          <w:szCs w:val="24"/>
        </w:rPr>
        <w:fldChar w:fldCharType="end"/>
      </w:r>
    </w:p>
    <w:p w14:paraId="4055D8E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Smith, L., &amp; Akagawa, N. (2009). </w:t>
      </w:r>
      <w:r>
        <w:rPr>
          <w:rStyle w:val="6"/>
          <w:rFonts w:hint="default" w:ascii="Times New Roman" w:hAnsi="Times New Roman" w:cs="Times New Roman"/>
          <w:sz w:val="24"/>
          <w:szCs w:val="24"/>
        </w:rPr>
        <w:t>Intangible heritage</w:t>
      </w:r>
      <w:r>
        <w:rPr>
          <w:rFonts w:hint="default" w:ascii="Times New Roman" w:hAnsi="Times New Roman" w:cs="Times New Roman"/>
          <w:sz w:val="24"/>
          <w:szCs w:val="24"/>
        </w:rPr>
        <w:t>. Routledge.</w:t>
      </w:r>
    </w:p>
    <w:p w14:paraId="099FE80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Timothy, D. J. (2011). </w:t>
      </w:r>
      <w:r>
        <w:rPr>
          <w:rStyle w:val="6"/>
          <w:rFonts w:hint="default" w:ascii="Times New Roman" w:hAnsi="Times New Roman" w:cs="Times New Roman"/>
          <w:sz w:val="24"/>
          <w:szCs w:val="24"/>
        </w:rPr>
        <w:t>Cultural heritage and tourism: An introduction</w:t>
      </w:r>
      <w:r>
        <w:rPr>
          <w:rFonts w:hint="default" w:ascii="Times New Roman" w:hAnsi="Times New Roman" w:cs="Times New Roman"/>
          <w:sz w:val="24"/>
          <w:szCs w:val="24"/>
        </w:rPr>
        <w:t>. Channel View Publications.</w:t>
      </w:r>
    </w:p>
    <w:p w14:paraId="7ECCC4CC">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UNESCO. (2003). </w:t>
      </w:r>
      <w:r>
        <w:rPr>
          <w:rStyle w:val="6"/>
          <w:rFonts w:hint="default" w:ascii="Times New Roman" w:hAnsi="Times New Roman" w:cs="Times New Roman"/>
          <w:sz w:val="24"/>
          <w:szCs w:val="24"/>
        </w:rPr>
        <w:t>Convention for the safeguarding of the intangible cultural heritage</w:t>
      </w:r>
      <w:r>
        <w:rPr>
          <w:rFonts w:hint="default" w:ascii="Times New Roman" w:hAnsi="Times New Roman" w:cs="Times New Roman"/>
          <w:sz w:val="24"/>
          <w:szCs w:val="24"/>
        </w:rPr>
        <w:t>. UNESCO Publishing.</w:t>
      </w:r>
    </w:p>
    <w:p w14:paraId="2B9E8C91">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UNESCO. (2021). </w:t>
      </w:r>
      <w:r>
        <w:rPr>
          <w:rStyle w:val="6"/>
          <w:rFonts w:hint="default" w:ascii="Times New Roman" w:hAnsi="Times New Roman" w:cs="Times New Roman"/>
          <w:sz w:val="24"/>
          <w:szCs w:val="24"/>
        </w:rPr>
        <w:t>Intangible cultural heritage and sustainable development</w:t>
      </w:r>
      <w:r>
        <w:rPr>
          <w:rFonts w:hint="default" w:ascii="Times New Roman" w:hAnsi="Times New Roman" w:cs="Times New Roman"/>
          <w:sz w:val="24"/>
          <w:szCs w:val="24"/>
        </w:rPr>
        <w:t>. UNESCO Publications.</w:t>
      </w:r>
    </w:p>
    <w:p w14:paraId="72AAE7EB">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Vecco, M. (2010). A definition of cultural heritage: From the tangible to the intangible. </w:t>
      </w:r>
      <w:r>
        <w:rPr>
          <w:rStyle w:val="6"/>
          <w:rFonts w:hint="default" w:ascii="Times New Roman" w:hAnsi="Times New Roman" w:cs="Times New Roman"/>
          <w:sz w:val="24"/>
          <w:szCs w:val="24"/>
        </w:rPr>
        <w:t>Journal of Cultural Heritage, 11</w:t>
      </w:r>
      <w:r>
        <w:rPr>
          <w:rFonts w:hint="default" w:ascii="Times New Roman" w:hAnsi="Times New Roman" w:cs="Times New Roman"/>
          <w:sz w:val="24"/>
          <w:szCs w:val="24"/>
        </w:rPr>
        <w:t xml:space="preserve">(3), 321–324.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"https://doi.org/10.1016/j.culher.2010.01.006"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https://doi.org/10.1016/j.culher.2010.01.006</w:t>
      </w:r>
      <w:r>
        <w:rPr>
          <w:rFonts w:hint="default" w:ascii="Times New Roman" w:hAnsi="Times New Roman" w:cs="Times New Roman"/>
          <w:sz w:val="24"/>
          <w:szCs w:val="24"/>
        </w:rPr>
        <w:fldChar w:fldCharType="end"/>
      </w:r>
    </w:p>
    <w:p w14:paraId="02DBF5CF">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Waterton, E., &amp; Smith, L. (2010). The recognition and misrecognition of community heritage. </w:t>
      </w:r>
      <w:r>
        <w:rPr>
          <w:rStyle w:val="6"/>
          <w:rFonts w:hint="default" w:ascii="Times New Roman" w:hAnsi="Times New Roman" w:cs="Times New Roman"/>
          <w:sz w:val="24"/>
          <w:szCs w:val="24"/>
        </w:rPr>
        <w:t>International Journal of Heritage Studies, 16</w:t>
      </w:r>
      <w:r>
        <w:rPr>
          <w:rFonts w:hint="default" w:ascii="Times New Roman" w:hAnsi="Times New Roman" w:cs="Times New Roman"/>
          <w:sz w:val="24"/>
          <w:szCs w:val="24"/>
        </w:rPr>
        <w:t xml:space="preserve">(1–2), 4–15.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"https://doi.org/10.1080/13527250903441671" \t "_new" </w:instrText>
      </w:r>
      <w:r>
        <w:rPr>
          <w:rFonts w:hint="default" w:ascii="Times New Roman" w:hAnsi="Times New Roman" w:cs="Times New Roman"/>
          <w:sz w:val="24"/>
          <w:szCs w:val="24"/>
        </w:rPr>
        <w:fldChar w:fldCharType="separate"/>
      </w:r>
      <w:r>
        <w:rPr>
          <w:rStyle w:val="9"/>
          <w:rFonts w:hint="default" w:ascii="Times New Roman" w:hAnsi="Times New Roman" w:cs="Times New Roman"/>
          <w:sz w:val="24"/>
          <w:szCs w:val="24"/>
        </w:rPr>
        <w:t>https://doi.org/10.1080/13527250903441671</w:t>
      </w:r>
      <w:r>
        <w:rPr>
          <w:rFonts w:hint="default" w:ascii="Times New Roman" w:hAnsi="Times New Roman" w:cs="Times New Roman"/>
          <w:sz w:val="24"/>
          <w:szCs w:val="24"/>
        </w:rPr>
        <w:fldChar w:fldCharType="end"/>
      </w:r>
    </w:p>
    <w:p w14:paraId="69FF52DE">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Zhang, X. (2018). Digital preservation of intangible cultural heritage. </w:t>
      </w:r>
      <w:r>
        <w:rPr>
          <w:rStyle w:val="6"/>
          <w:rFonts w:hint="default" w:ascii="Times New Roman" w:hAnsi="Times New Roman" w:cs="Times New Roman"/>
          <w:sz w:val="24"/>
          <w:szCs w:val="24"/>
        </w:rPr>
        <w:t>Journal of Cultural Heritage Management and Sustainable Development, 8</w:t>
      </w:r>
      <w:r>
        <w:rPr>
          <w:rFonts w:hint="default" w:ascii="Times New Roman" w:hAnsi="Times New Roman" w:cs="Times New Roman"/>
          <w:sz w:val="24"/>
          <w:szCs w:val="24"/>
        </w:rPr>
        <w:t>(4), 412–426. https://doi.org/10.1108/JCHMSD-06-2017-0038</w:t>
      </w:r>
    </w:p>
    <w:p w14:paraId="350FC194">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Ahmad, Y. (2006). The scope and definitions of heritage. </w:t>
      </w:r>
      <w:r>
        <w:rPr>
          <w:rStyle w:val="6"/>
          <w:rFonts w:hint="default" w:ascii="Times New Roman" w:hAnsi="Times New Roman" w:cs="Times New Roman"/>
          <w:sz w:val="24"/>
          <w:szCs w:val="24"/>
        </w:rPr>
        <w:t>International Journal of Heritage Studies, 12</w:t>
      </w:r>
      <w:r>
        <w:rPr>
          <w:rFonts w:hint="default" w:ascii="Times New Roman" w:hAnsi="Times New Roman" w:cs="Times New Roman"/>
          <w:sz w:val="24"/>
          <w:szCs w:val="24"/>
        </w:rPr>
        <w:t>(3), 292–300. https://doi.org/10.1080/13527250600604639</w:t>
      </w:r>
    </w:p>
    <w:p w14:paraId="3CA075E7">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Bouchenaki, M. (2003). The interdependency of the tangible and intangible cultural heritage. </w:t>
      </w:r>
      <w:r>
        <w:rPr>
          <w:rStyle w:val="6"/>
          <w:rFonts w:hint="default" w:ascii="Times New Roman" w:hAnsi="Times New Roman" w:cs="Times New Roman"/>
          <w:sz w:val="24"/>
          <w:szCs w:val="24"/>
        </w:rPr>
        <w:t>ICOM News Magazine, 4</w:t>
      </w:r>
      <w:r>
        <w:rPr>
          <w:rFonts w:hint="default" w:ascii="Times New Roman" w:hAnsi="Times New Roman" w:cs="Times New Roman"/>
          <w:sz w:val="24"/>
          <w:szCs w:val="24"/>
        </w:rPr>
        <w:t>, 14–17.</w:t>
      </w:r>
    </w:p>
    <w:p w14:paraId="23ECFD32">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Davis, P. (2011). </w:t>
      </w:r>
      <w:r>
        <w:rPr>
          <w:rStyle w:val="6"/>
          <w:rFonts w:hint="default" w:ascii="Times New Roman" w:hAnsi="Times New Roman" w:cs="Times New Roman"/>
          <w:sz w:val="24"/>
          <w:szCs w:val="24"/>
        </w:rPr>
        <w:t>Ecomuseums: A sense of place</w:t>
      </w:r>
      <w:r>
        <w:rPr>
          <w:rFonts w:hint="default" w:ascii="Times New Roman" w:hAnsi="Times New Roman" w:cs="Times New Roman"/>
          <w:sz w:val="24"/>
          <w:szCs w:val="24"/>
        </w:rPr>
        <w:t>. Continuum International Publishing.</w:t>
      </w:r>
    </w:p>
    <w:p w14:paraId="7E758F05">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Logan, W., Nic Craith, M., &amp; Kockel, U. (2015). </w:t>
      </w:r>
      <w:r>
        <w:rPr>
          <w:rStyle w:val="6"/>
          <w:rFonts w:hint="default" w:ascii="Times New Roman" w:hAnsi="Times New Roman" w:cs="Times New Roman"/>
          <w:sz w:val="24"/>
          <w:szCs w:val="24"/>
        </w:rPr>
        <w:t>A companion to heritage studies</w:t>
      </w:r>
      <w:r>
        <w:rPr>
          <w:rFonts w:hint="default" w:ascii="Times New Roman" w:hAnsi="Times New Roman" w:cs="Times New Roman"/>
          <w:sz w:val="24"/>
          <w:szCs w:val="24"/>
        </w:rPr>
        <w:t>. Wiley Blackwell. https://doi.org/10.1002/9781118486634</w:t>
      </w:r>
    </w:p>
    <w:p w14:paraId="111C9709">
      <w:pPr>
        <w:pStyle w:val="10"/>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Ruggles, D. F., &amp; Silverman, H. (2009). </w:t>
      </w:r>
      <w:r>
        <w:rPr>
          <w:rStyle w:val="6"/>
          <w:rFonts w:hint="default" w:ascii="Times New Roman" w:hAnsi="Times New Roman" w:cs="Times New Roman"/>
          <w:sz w:val="24"/>
          <w:szCs w:val="24"/>
        </w:rPr>
        <w:t>Intangible heritage embodied</w:t>
      </w:r>
      <w:r>
        <w:rPr>
          <w:rFonts w:hint="default" w:ascii="Times New Roman" w:hAnsi="Times New Roman" w:cs="Times New Roman"/>
          <w:sz w:val="24"/>
          <w:szCs w:val="24"/>
        </w:rPr>
        <w:t>. Springer.</w:t>
      </w:r>
    </w:p>
    <w:p w14:paraId="43F7E2FA">
      <w:pPr>
        <w:pStyle w:val="13"/>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窗体顶端</w:t>
      </w:r>
    </w:p>
    <w:p w14:paraId="4FD239B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object>
          <v:shape id="_x0000_i1032" o:spt="201" type="#_x0000_t201" style="height:0pt;width:0.05pt;" o:ole="t" filled="f" coordsize="21600,21600">
            <v:path/>
            <v:fill on="f" focussize="0,0"/>
            <v:stroke/>
            <v:imagedata o:title=""/>
            <o:lock v:ext="edit" aspectratio="t"/>
            <w10:wrap type="none"/>
            <w10:anchorlock/>
          </v:shape>
        </w:object>
      </w:r>
    </w:p>
    <w:p w14:paraId="4EFCE2FD">
      <w:pPr>
        <w:pStyle w:val="14"/>
      </w:pPr>
      <w:r>
        <w:t>窗体底端</w:t>
      </w:r>
    </w:p>
    <w:p w14:paraId="68D96F2D"/>
    <w:sectPr>
      <w:headerReference r:id="rId3" w:type="default"/>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6F0FA">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C0307">
    <w:pPr>
      <w:pStyle w:val="8"/>
    </w:pPr>
    <w:bookmarkStart w:id="17" w:name="_GoBack"/>
    <w:bookmarkEnd w:id="17"/>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0587B8D">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PX0393MAgAA&#10;IwYAAA4AAAAAAAAAAQAgAAAAHwEAAGRycy9lMm9Eb2MueG1sUEsFBgAAAAAGAAYAWQEAAF0GAAAA&#10;AA==&#10;">
              <v:fill on="f" focussize="0,0"/>
              <v:stroke on="f" weight="0.5pt"/>
              <v:imagedata o:title=""/>
              <o:lock v:ext="edit" aspectratio="f"/>
              <v:textbox inset="0mm,0mm,0mm,0mm" style="mso-fit-shape-to-text:t;">
                <w:txbxContent>
                  <w:p w14:paraId="60587B8D">
                    <w:pPr>
                      <w:pStyle w:val="8"/>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62709D"/>
    <w:rsid w:val="2C6270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
    <w:lsdException w:unhideWhenUsed="0" w:uiPriority="0" w:semiHidden="0" w:nam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Emphasis"/>
    <w:basedOn w:val="4"/>
    <w:qFormat/>
    <w:uiPriority w:val="0"/>
    <w:rPr>
      <w:i/>
      <w:iCs/>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uiPriority w:val="0"/>
    <w:pPr>
      <w:tabs>
        <w:tab w:val="center" w:pos="4153"/>
        <w:tab w:val="right" w:pos="8306"/>
      </w:tabs>
      <w:snapToGrid w:val="0"/>
    </w:pPr>
    <w:rPr>
      <w:sz w:val="18"/>
      <w:szCs w:val="18"/>
    </w:rPr>
  </w:style>
  <w:style w:type="character" w:styleId="9">
    <w:name w:val="Hyperlink"/>
    <w:basedOn w:val="4"/>
    <w:uiPriority w:val="0"/>
    <w:rPr>
      <w:color w:val="0000FF"/>
      <w:u w:val="single"/>
    </w:rPr>
  </w:style>
  <w:style w:type="paragraph" w:styleId="10">
    <w:name w:val="Normal (Web)"/>
    <w:uiPriority w:val="0"/>
    <w:pPr>
      <w:spacing w:before="0" w:beforeAutospacing="1" w:after="0" w:afterAutospacing="1"/>
      <w:ind w:left="0" w:right="0"/>
      <w:jc w:val="left"/>
    </w:pPr>
    <w:rPr>
      <w:kern w:val="0"/>
      <w:sz w:val="24"/>
      <w:szCs w:val="24"/>
      <w:lang w:val="en-US" w:eastAsia="zh-CN" w:bidi="ar"/>
    </w:rPr>
  </w:style>
  <w:style w:type="paragraph" w:styleId="11">
    <w:name w:val="toc 1"/>
    <w:basedOn w:val="1"/>
    <w:next w:val="1"/>
    <w:uiPriority w:val="0"/>
  </w:style>
  <w:style w:type="paragraph" w:styleId="12">
    <w:name w:val="toc 2"/>
    <w:basedOn w:val="1"/>
    <w:next w:val="1"/>
    <w:uiPriority w:val="0"/>
    <w:pPr>
      <w:ind w:left="420" w:leftChars="200"/>
    </w:pPr>
  </w:style>
  <w:style w:type="paragraph" w:styleId="13">
    <w:name w:val=""/>
    <w:basedOn w:val="1"/>
    <w:next w:val="1"/>
    <w:uiPriority w:val="0"/>
    <w:pPr>
      <w:pBdr>
        <w:bottom w:val="single" w:color="auto" w:sz="6" w:space="1"/>
      </w:pBdr>
      <w:jc w:val="center"/>
    </w:pPr>
    <w:rPr>
      <w:rFonts w:ascii="Arial" w:eastAsia="SimSun"/>
      <w:vanish/>
      <w:sz w:val="16"/>
    </w:rPr>
  </w:style>
  <w:style w:type="paragraph" w:styleId="14">
    <w:name w:val=""/>
    <w:basedOn w:val="1"/>
    <w:next w:val="1"/>
    <w:uiPriority w:val="0"/>
    <w:pPr>
      <w:pBdr>
        <w:top w:val="single" w:color="auto" w:sz="6" w:space="1"/>
      </w:pBdr>
      <w:jc w:val="center"/>
    </w:pPr>
    <w:rPr>
      <w:rFonts w:ascii="Arial" w:eastAsia="SimSun"/>
      <w:vanish/>
      <w:sz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webp"/><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12</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2026-05-16T17:16:00Z</dcterms:created>
  <dc:creator>Priyanshi Gupta</dc:creator>
  <cp:lastModifiedBy>Priyanshi Gupta</cp:lastModifiedBy>
  <dcterms:modified xsi:type="dcterms:W3CDTF">2026-05-16T17:29:44Z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BF5F3F84CAF643E8A0A5E3991DA7B058_11</vt:lpwstr>
  </property>
</Properties>
</file>