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23DF0" w14:textId="77777777" w:rsidR="00426865" w:rsidRDefault="00672345" w:rsidP="007A4B0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6ED815" w14:textId="77777777" w:rsidR="00672345" w:rsidRPr="0019504D" w:rsidRDefault="00672345" w:rsidP="007A4B0D">
      <w:pPr>
        <w:spacing w:line="360" w:lineRule="auto"/>
        <w:rPr>
          <w:b/>
          <w:bCs/>
          <w:lang w:val="en-US"/>
        </w:rPr>
      </w:pPr>
      <w:r>
        <w:rPr>
          <w:b/>
          <w:bCs/>
          <w:lang w:val="en-US"/>
        </w:rPr>
        <w:t xml:space="preserve">Cultural Heritage Management </w:t>
      </w:r>
    </w:p>
    <w:p w14:paraId="23648ACD" w14:textId="77777777" w:rsidR="00672345" w:rsidRDefault="00672345" w:rsidP="007A4B0D">
      <w:pPr>
        <w:spacing w:line="360" w:lineRule="auto"/>
        <w:rPr>
          <w:lang w:val="en-US"/>
        </w:rPr>
      </w:pPr>
      <w:r w:rsidRPr="0019504D">
        <w:rPr>
          <w:lang w:val="en-US"/>
        </w:rPr>
        <w:t>Ass</w:t>
      </w:r>
      <w:r>
        <w:rPr>
          <w:lang w:val="en-US"/>
        </w:rPr>
        <w:t xml:space="preserve">ignment </w:t>
      </w:r>
      <w:r w:rsidR="00CF34F8">
        <w:rPr>
          <w:lang w:val="en-US"/>
        </w:rPr>
        <w:t>3</w:t>
      </w:r>
    </w:p>
    <w:p w14:paraId="632DA6E6" w14:textId="77777777" w:rsidR="00672345" w:rsidRPr="0019504D" w:rsidRDefault="00CF34F8" w:rsidP="007A4B0D">
      <w:pPr>
        <w:spacing w:line="360" w:lineRule="auto"/>
        <w:rPr>
          <w:lang w:val="en-US"/>
        </w:rPr>
      </w:pPr>
      <w:r>
        <w:rPr>
          <w:lang w:val="en-US"/>
        </w:rPr>
        <w:t>22</w:t>
      </w:r>
      <w:r w:rsidR="00672345">
        <w:rPr>
          <w:lang w:val="en-US"/>
        </w:rPr>
        <w:t>.0</w:t>
      </w:r>
      <w:r w:rsidR="00942251">
        <w:rPr>
          <w:lang w:val="en-US"/>
        </w:rPr>
        <w:t>4</w:t>
      </w:r>
      <w:r w:rsidR="00672345">
        <w:rPr>
          <w:lang w:val="en-US"/>
        </w:rPr>
        <w:t>.2026</w:t>
      </w:r>
    </w:p>
    <w:p w14:paraId="6968A9E2" w14:textId="77777777" w:rsidR="00672345" w:rsidRDefault="00672345" w:rsidP="007A4B0D">
      <w:pPr>
        <w:spacing w:line="360" w:lineRule="auto"/>
      </w:pPr>
    </w:p>
    <w:p w14:paraId="6F4A2541" w14:textId="77777777" w:rsidR="00672345" w:rsidRDefault="00672345" w:rsidP="007A4B0D">
      <w:pPr>
        <w:spacing w:line="360" w:lineRule="auto"/>
      </w:pPr>
    </w:p>
    <w:p w14:paraId="0A842CDF" w14:textId="77777777" w:rsidR="00672345" w:rsidRDefault="00672345" w:rsidP="007A4B0D">
      <w:pPr>
        <w:spacing w:line="360" w:lineRule="auto"/>
      </w:pPr>
    </w:p>
    <w:p w14:paraId="0BBA1D0A" w14:textId="77777777" w:rsidR="00672345" w:rsidRDefault="00672345" w:rsidP="007A4B0D">
      <w:pPr>
        <w:spacing w:line="360" w:lineRule="auto"/>
      </w:pPr>
    </w:p>
    <w:p w14:paraId="7DF8BAAE" w14:textId="77777777" w:rsidR="00672345" w:rsidRDefault="00672345" w:rsidP="007A4B0D">
      <w:pPr>
        <w:spacing w:line="360" w:lineRule="auto"/>
      </w:pPr>
    </w:p>
    <w:p w14:paraId="4A1EB24D" w14:textId="77777777" w:rsidR="00672345" w:rsidRDefault="00672345" w:rsidP="007A4B0D">
      <w:pPr>
        <w:spacing w:line="360" w:lineRule="auto"/>
      </w:pPr>
    </w:p>
    <w:p w14:paraId="16AB0F03" w14:textId="77777777" w:rsidR="00672345" w:rsidRDefault="00672345" w:rsidP="007A4B0D">
      <w:pPr>
        <w:spacing w:line="360" w:lineRule="auto"/>
      </w:pPr>
    </w:p>
    <w:p w14:paraId="3B6BB42A" w14:textId="77777777" w:rsidR="00672345" w:rsidRDefault="00672345" w:rsidP="007A4B0D">
      <w:pPr>
        <w:spacing w:line="360" w:lineRule="auto"/>
      </w:pPr>
    </w:p>
    <w:p w14:paraId="2DEB9370" w14:textId="77777777" w:rsidR="00672345" w:rsidRDefault="00672345" w:rsidP="007A4B0D">
      <w:pPr>
        <w:spacing w:line="360" w:lineRule="auto"/>
      </w:pPr>
    </w:p>
    <w:p w14:paraId="418403E8" w14:textId="77777777" w:rsidR="00672345" w:rsidRDefault="00672345" w:rsidP="007A4B0D">
      <w:pPr>
        <w:spacing w:line="360" w:lineRule="auto"/>
      </w:pPr>
    </w:p>
    <w:p w14:paraId="0096BB6B" w14:textId="77777777" w:rsidR="00672345" w:rsidRDefault="00672345" w:rsidP="007A4B0D">
      <w:pPr>
        <w:spacing w:line="360" w:lineRule="auto"/>
      </w:pPr>
    </w:p>
    <w:p w14:paraId="31A0AD12" w14:textId="77777777" w:rsidR="00672345" w:rsidRDefault="00672345" w:rsidP="007A4B0D">
      <w:pPr>
        <w:spacing w:line="360" w:lineRule="auto"/>
      </w:pPr>
    </w:p>
    <w:p w14:paraId="7C1C6407" w14:textId="77777777" w:rsidR="00672345" w:rsidRDefault="00672345" w:rsidP="007A4B0D">
      <w:pPr>
        <w:spacing w:line="360" w:lineRule="auto"/>
      </w:pPr>
    </w:p>
    <w:p w14:paraId="683659BD" w14:textId="77777777" w:rsidR="00016EE8" w:rsidRDefault="00016EE8" w:rsidP="007A4B0D">
      <w:pPr>
        <w:spacing w:line="360" w:lineRule="auto"/>
        <w:rPr>
          <w:b/>
          <w:bCs/>
          <w:lang w:val="en-US"/>
        </w:rPr>
      </w:pPr>
      <w:r w:rsidRPr="00EA737F">
        <w:rPr>
          <w:b/>
          <w:bCs/>
          <w:lang w:val="en-US"/>
        </w:rPr>
        <w:t>In no more than 500 words</w:t>
      </w:r>
      <w:r>
        <w:rPr>
          <w:b/>
          <w:bCs/>
          <w:lang w:val="en-US"/>
        </w:rPr>
        <w:t xml:space="preserve"> each, explain and 2-4 references:</w:t>
      </w:r>
    </w:p>
    <w:p w14:paraId="081D8D31" w14:textId="77777777" w:rsidR="00016EE8" w:rsidRDefault="00016EE8" w:rsidP="007A4B0D">
      <w:pPr>
        <w:spacing w:line="360" w:lineRule="auto"/>
        <w:rPr>
          <w:lang w:val="en-US"/>
        </w:rPr>
      </w:pPr>
    </w:p>
    <w:p w14:paraId="70BE48FF" w14:textId="77777777" w:rsidR="00016EE8" w:rsidRPr="004C5A76" w:rsidRDefault="00016EE8" w:rsidP="007A4B0D">
      <w:pPr>
        <w:spacing w:line="360" w:lineRule="auto"/>
        <w:rPr>
          <w:b/>
          <w:bCs/>
          <w:lang w:val="en-US"/>
        </w:rPr>
      </w:pPr>
      <w:r>
        <w:rPr>
          <w:b/>
          <w:bCs/>
          <w:lang w:val="en-US"/>
        </w:rPr>
        <w:t xml:space="preserve">1- </w:t>
      </w:r>
      <w:r w:rsidRPr="004C5A76">
        <w:rPr>
          <w:b/>
          <w:bCs/>
          <w:lang w:val="en-US"/>
        </w:rPr>
        <w:t>Choose a World Heritage Site and:</w:t>
      </w:r>
    </w:p>
    <w:p w14:paraId="4F034151" w14:textId="77777777" w:rsidR="00016EE8" w:rsidRPr="004C5A76" w:rsidRDefault="00016EE8" w:rsidP="007A4B0D">
      <w:pPr>
        <w:pStyle w:val="ListParagraph"/>
        <w:numPr>
          <w:ilvl w:val="0"/>
          <w:numId w:val="2"/>
        </w:numPr>
        <w:spacing w:line="360" w:lineRule="auto"/>
        <w:rPr>
          <w:lang w:val="en-US"/>
        </w:rPr>
      </w:pPr>
      <w:r w:rsidRPr="004C5A76">
        <w:rPr>
          <w:lang w:val="en-US"/>
        </w:rPr>
        <w:t>Identify its key heritage values</w:t>
      </w:r>
    </w:p>
    <w:p w14:paraId="4AEDA2CE" w14:textId="77777777" w:rsidR="00016EE8" w:rsidRPr="004C5A76" w:rsidRDefault="00016EE8" w:rsidP="007A4B0D">
      <w:pPr>
        <w:pStyle w:val="ListParagraph"/>
        <w:numPr>
          <w:ilvl w:val="0"/>
          <w:numId w:val="2"/>
        </w:numPr>
        <w:spacing w:line="360" w:lineRule="auto"/>
        <w:rPr>
          <w:lang w:val="en-US"/>
        </w:rPr>
      </w:pPr>
      <w:r w:rsidRPr="004C5A76">
        <w:rPr>
          <w:lang w:val="en-US"/>
        </w:rPr>
        <w:t>Describe the attributes that express these values</w:t>
      </w:r>
    </w:p>
    <w:p w14:paraId="198BA5A2" w14:textId="77777777" w:rsidR="00016EE8" w:rsidRPr="004C5A76" w:rsidRDefault="00016EE8" w:rsidP="007A4B0D">
      <w:pPr>
        <w:pStyle w:val="ListParagraph"/>
        <w:numPr>
          <w:ilvl w:val="0"/>
          <w:numId w:val="2"/>
        </w:numPr>
        <w:spacing w:line="360" w:lineRule="auto"/>
        <w:rPr>
          <w:lang w:val="en-US"/>
        </w:rPr>
      </w:pPr>
      <w:r w:rsidRPr="004C5A76">
        <w:rPr>
          <w:lang w:val="en-US"/>
        </w:rPr>
        <w:t>Assess its authenticity and integrity</w:t>
      </w:r>
    </w:p>
    <w:p w14:paraId="1D5E07CD" w14:textId="77777777" w:rsidR="00016EE8" w:rsidRPr="004C5A76" w:rsidRDefault="00016EE8" w:rsidP="007A4B0D">
      <w:pPr>
        <w:spacing w:line="360" w:lineRule="auto"/>
        <w:rPr>
          <w:lang w:val="en-US"/>
        </w:rPr>
      </w:pPr>
    </w:p>
    <w:p w14:paraId="3B5E160B" w14:textId="77777777" w:rsidR="00016EE8" w:rsidRDefault="00016EE8" w:rsidP="007A4B0D">
      <w:pPr>
        <w:spacing w:line="360" w:lineRule="auto"/>
        <w:rPr>
          <w:lang w:val="en-US"/>
        </w:rPr>
      </w:pPr>
      <w:r>
        <w:rPr>
          <w:lang w:val="en-US"/>
        </w:rPr>
        <w:t xml:space="preserve">2- </w:t>
      </w:r>
      <w:r w:rsidRPr="004C5A76">
        <w:rPr>
          <w:lang w:val="en-US"/>
        </w:rPr>
        <w:t>Using the example of Ise Grand Shrine,</w:t>
      </w:r>
    </w:p>
    <w:p w14:paraId="23808448" w14:textId="77777777" w:rsidR="00016EE8" w:rsidRPr="004C5A76" w:rsidRDefault="00016EE8" w:rsidP="007A4B0D">
      <w:pPr>
        <w:pStyle w:val="ListParagraph"/>
        <w:numPr>
          <w:ilvl w:val="0"/>
          <w:numId w:val="3"/>
        </w:numPr>
        <w:spacing w:line="360" w:lineRule="auto"/>
        <w:rPr>
          <w:lang w:val="en-US"/>
        </w:rPr>
      </w:pPr>
      <w:r w:rsidRPr="004C5A76">
        <w:rPr>
          <w:lang w:val="en-US"/>
        </w:rPr>
        <w:t>discuss how authenticity can be understood beyond material originality.</w:t>
      </w:r>
    </w:p>
    <w:p w14:paraId="145F814C" w14:textId="77777777" w:rsidR="00CF34F8" w:rsidRDefault="00CF34F8" w:rsidP="007A4B0D">
      <w:pPr>
        <w:spacing w:line="360" w:lineRule="auto"/>
        <w:rPr>
          <w:lang w:val="en-US"/>
        </w:rPr>
      </w:pPr>
    </w:p>
    <w:p w14:paraId="676FF549" w14:textId="77777777" w:rsidR="00DC27AB" w:rsidRDefault="00DC27AB" w:rsidP="007A4B0D">
      <w:pPr>
        <w:spacing w:line="360" w:lineRule="auto"/>
        <w:rPr>
          <w:lang w:val="en-US"/>
        </w:rPr>
      </w:pPr>
    </w:p>
    <w:p w14:paraId="260768A3" w14:textId="77777777" w:rsidR="00DC27AB" w:rsidRDefault="00DC27AB" w:rsidP="007A4B0D">
      <w:pPr>
        <w:spacing w:line="360" w:lineRule="auto"/>
        <w:rPr>
          <w:lang w:val="en-US"/>
        </w:rPr>
      </w:pPr>
    </w:p>
    <w:p w14:paraId="7D9BCDFC" w14:textId="77777777" w:rsidR="00DC27AB" w:rsidRDefault="00DC27AB" w:rsidP="007A4B0D">
      <w:pPr>
        <w:spacing w:line="360" w:lineRule="auto"/>
        <w:rPr>
          <w:lang w:val="en-US"/>
        </w:rPr>
      </w:pPr>
    </w:p>
    <w:p w14:paraId="6C935889" w14:textId="77777777" w:rsidR="007A4B0D" w:rsidRDefault="007A4B0D" w:rsidP="007A4B0D">
      <w:pPr>
        <w:spacing w:line="360" w:lineRule="auto"/>
        <w:rPr>
          <w:lang w:val="en-US"/>
        </w:rPr>
      </w:pPr>
    </w:p>
    <w:p w14:paraId="3670382C" w14:textId="77777777" w:rsidR="00DC27AB" w:rsidRPr="00DC27AB" w:rsidRDefault="00DC27AB" w:rsidP="007A4B0D">
      <w:pPr>
        <w:spacing w:line="360" w:lineRule="auto"/>
        <w:rPr>
          <w:b/>
          <w:bCs/>
        </w:rPr>
      </w:pPr>
      <w:r w:rsidRPr="00DC27AB">
        <w:rPr>
          <w:b/>
          <w:bCs/>
        </w:rPr>
        <w:lastRenderedPageBreak/>
        <w:t>World Heritage Site and Authenticity in Heritage Conservation</w:t>
      </w:r>
    </w:p>
    <w:p w14:paraId="47E05FA3" w14:textId="77777777" w:rsidR="008433C4" w:rsidRPr="008433C4" w:rsidRDefault="008433C4" w:rsidP="008433C4">
      <w:pPr>
        <w:spacing w:line="360" w:lineRule="auto"/>
      </w:pPr>
      <w:r w:rsidRPr="008433C4">
        <w:t xml:space="preserve">1. The World Heritage Site status of the Taj Mahal </w:t>
      </w:r>
      <w:r w:rsidRPr="008433C4">
        <w:br/>
        <w:t>One of the most well-known UNESCO World Heritage Sites in the world is the Taj Mahal in Agra, India. The monument, which was constructed between 1632 and 1653 by the Mughal Emperor Shah Jahan in honour of his wife Mumtaz Mahal, is considered a masterwork of Mughal architecture. The Taj Mahal's exceptional global value and cultural significance led to its inclusion on UNESCO's World Heritage List in 1983. The monument's rich symbolic value, historical significance, and creative brilliance are all evident.</w:t>
      </w:r>
      <w:r w:rsidRPr="008433C4">
        <w:br/>
        <w:t xml:space="preserve">The Taj Mahal's magnificent architecture is one of its most important cultural assets. The building's harmonious design blends Islamic, Persian, and Indian architectural traditions. Its symmetrical design, elaborate carvings, ornate inlay work, and white marble dome all show remarkable creative expertise and craftsmanship (Asher, 1992). Its metaphorical portrayal of unending love and devotion is another significant cultural asset. The monument's emotional and cultural value has increased as it has come to represent love on a global scale. The Taj Mahal also symbolizes the wealth and political might of the Mughal Empire in the seventeenth century. </w:t>
      </w:r>
      <w:r w:rsidRPr="008433C4">
        <w:br/>
      </w:r>
      <w:r w:rsidRPr="008433C4">
        <w:br/>
        <w:t xml:space="preserve">These legacy values are expressed in </w:t>
      </w:r>
      <w:proofErr w:type="gramStart"/>
      <w:r w:rsidRPr="008433C4">
        <w:t>a number of</w:t>
      </w:r>
      <w:proofErr w:type="gramEnd"/>
      <w:r w:rsidRPr="008433C4">
        <w:t xml:space="preserve"> physical and cultural characteristics. The centre mausoleum exhibits geometric perfection and balance with its four minarets and enormous marble dome. According to Islamic customs, the Charbagh garden design represents heaven. Pietra dura stone inlays, floral designs, and decorative Quranic inscriptions all contribute to the building's exceptional artistic quality. The monument's scenic setting and historical background are further enhanced by its riverbank location by the Yamuna River. When combined, these qualities convey the Taj Mahal's exceptional worldwide worth. </w:t>
      </w:r>
      <w:r w:rsidRPr="008433C4">
        <w:br/>
        <w:t>When assessing World Heritage Sites, the ideas of authenticity and integrity are crucial. When a heritage property expresses its cultural value through design, materials, craftsmanship, and context, it is said to be authentic (</w:t>
      </w:r>
      <w:proofErr w:type="spellStart"/>
      <w:r w:rsidRPr="008433C4">
        <w:t>Jokilehto</w:t>
      </w:r>
      <w:proofErr w:type="spellEnd"/>
      <w:r w:rsidRPr="008433C4">
        <w:t xml:space="preserve">, 2006). A large portion of the Taj Mahal's original construction, materials, and artistic workmanship are still present, giving it a high degree of authenticity. The monument's historical character has been preserved thanks to conservation efforts that have mostly honoured traditional building methods and materials. </w:t>
      </w:r>
      <w:r w:rsidRPr="008433C4">
        <w:br/>
      </w:r>
      <w:r w:rsidRPr="008433C4">
        <w:lastRenderedPageBreak/>
        <w:t xml:space="preserve">Integrity describes the heritage property's totality and wholeness. The main tomb, mosque, guest house, gardens, and surrounding landscape are all still mostly intact, giving the Taj Mahal strong integrity. However, the monument's long-term preservation is threatened by urbanization, tourism, and environmental contamination. Authorities have implemented conservation initiatives and protection measures because to the fading and deterioration of marble surfaces induced by air pollution (UNESCO, 2023). The Taj Mahal is nevertheless able to effectively communicate its architectural, cultural, and symbolic value </w:t>
      </w:r>
      <w:proofErr w:type="gramStart"/>
      <w:r w:rsidRPr="008433C4">
        <w:t>in spite of</w:t>
      </w:r>
      <w:proofErr w:type="gramEnd"/>
      <w:r w:rsidRPr="008433C4">
        <w:t xml:space="preserve"> these obstacles. </w:t>
      </w:r>
      <w:r w:rsidRPr="008433C4">
        <w:br/>
        <w:t xml:space="preserve">A World Heritage Site can have both material and intangible values, as the Taj Mahal illustrates. It is one of the most significant heritage monuments in the world because of its natural beauty, cultural significance, and maintained authenticity. The website also emphasizes the necessity of long-term conservation plans that shield cultural assets from contemporary environmental and societal stresses. </w:t>
      </w:r>
      <w:r w:rsidRPr="008433C4">
        <w:br/>
        <w:t xml:space="preserve">2. Authenticity Beyond Material Originality: Ise Grand Shrine as an Example </w:t>
      </w:r>
      <w:r w:rsidRPr="008433C4">
        <w:br/>
        <w:t xml:space="preserve">An excellent illustration of how authenticity in historical conservation can go beyond maintaining original materials is the Ise Grand Shrine in Japan. Maintaining the original physical fabric has always been a major priority of heritage conservation. But as the Ise Shrine shows, authenticity can also be maintained by maintaining customs, rituals, and cultural knowledge. </w:t>
      </w:r>
      <w:r w:rsidRPr="008433C4">
        <w:br/>
        <w:t xml:space="preserve">One of the most revered locations in Shintoism is the Ise Grand Shrine. The shrine has been restored every 20 years for over 1,300 years using a ceremonial procedure called </w:t>
      </w:r>
      <w:proofErr w:type="spellStart"/>
      <w:r w:rsidRPr="008433C4">
        <w:t>Shikinen</w:t>
      </w:r>
      <w:proofErr w:type="spellEnd"/>
      <w:r w:rsidRPr="008433C4">
        <w:t xml:space="preserve"> </w:t>
      </w:r>
      <w:proofErr w:type="spellStart"/>
      <w:r w:rsidRPr="008433C4">
        <w:t>Sengu</w:t>
      </w:r>
      <w:proofErr w:type="spellEnd"/>
      <w:r w:rsidRPr="008433C4">
        <w:t xml:space="preserve">. Using ancient techniques, materials, and craftsmanship, a brand-new shrine is built next to the old one during this event. Following completion, the old shrine is </w:t>
      </w:r>
      <w:proofErr w:type="gramStart"/>
      <w:r w:rsidRPr="008433C4">
        <w:t>disassembled</w:t>
      </w:r>
      <w:proofErr w:type="gramEnd"/>
      <w:r w:rsidRPr="008433C4">
        <w:t xml:space="preserve"> and holy items are moved to the new building (Lowenthal, 1998). Because the original materials are replaced, continuously rebuilding a structure may seem to diminish authenticity from a Western conservation standpoint. But authenticity is seen differently in Japanese heritage thought. </w:t>
      </w:r>
      <w:r w:rsidRPr="008433C4">
        <w:br/>
        <w:t xml:space="preserve">The Ise Shrine demonstrates that cultural practices, as opposed to material durability, can sustain authenticity. The Nara Document on Authenticity (1994) states that authenticity should be interpreted within cultural settings and might encompass not only physical fabric but also traditions, spirit, function, and skill. Authenticity is maintained at Ise Shrine by the generational transmission of religious rites, carpentry skills, and spiritual significance. </w:t>
      </w:r>
      <w:r w:rsidRPr="008433C4">
        <w:lastRenderedPageBreak/>
        <w:t>Because it maintains cultural continuity and strengthens communal identity, the reconstruction process itself is regarded as authentic (</w:t>
      </w:r>
      <w:proofErr w:type="spellStart"/>
      <w:r w:rsidRPr="008433C4">
        <w:t>Avrami</w:t>
      </w:r>
      <w:proofErr w:type="spellEnd"/>
      <w:r w:rsidRPr="008433C4">
        <w:t xml:space="preserve">, Mason, &amp; de la Torre, 2000). </w:t>
      </w:r>
      <w:r w:rsidRPr="008433C4">
        <w:br/>
        <w:t xml:space="preserve">Additionally, the shrine emphasizes the value of intangible cultural assets. Master artisans transmit religious rites, ceremonial rituals, and traditional woodworking skills to the next generation. The shrine's heritage significance revolves around these ongoing customs. As a result, the cultural process of reconstruction takes precedence over the preservation of historic architectural materials. This perspective is different from many conservation strategies used in the West, which place a higher priority on maintaining the original physical fabric as proof of age and history. </w:t>
      </w:r>
      <w:r w:rsidRPr="008433C4">
        <w:br/>
        <w:t xml:space="preserve">Additionally, the Ise Shrine example shows that the ideas of heritage conservation are not universal but rather culturally specific. Because reconstruction may diminish historical validity, Western conservation philosophies, which have been influenced by philosophers like John Ruskin, frequently oppose it. On the other hand, renewal, impermanence, and cyclical continuation are valued in Japanese customs influenced by Shinto beliefs. The preservation of the site's spiritual and cultural continuity, rather than the preservation of old wood, is what gives the shrine its authenticity. </w:t>
      </w:r>
      <w:r w:rsidRPr="008433C4">
        <w:br/>
        <w:t>To sum up, the Ise Grand Shrine questions conventional material conceptions of authenticity. It shows that live customs, rituals, craftsmanship, and cultural continuity can also be the foundation of authenticity. The shrine highlights the value of honouring various cultural perspectives when assessing authenticity in World Heritage Sites and expands global awareness of heritage conservation.</w:t>
      </w:r>
    </w:p>
    <w:p w14:paraId="0C632BF9" w14:textId="77777777" w:rsidR="007A4B0D" w:rsidRDefault="007A4B0D" w:rsidP="007A4B0D">
      <w:pPr>
        <w:spacing w:line="360" w:lineRule="auto"/>
        <w:rPr>
          <w:b/>
          <w:bCs/>
        </w:rPr>
      </w:pPr>
    </w:p>
    <w:p w14:paraId="63492FEE" w14:textId="77777777" w:rsidR="008433C4" w:rsidRDefault="008433C4" w:rsidP="007A4B0D">
      <w:pPr>
        <w:spacing w:line="360" w:lineRule="auto"/>
        <w:rPr>
          <w:b/>
          <w:bCs/>
        </w:rPr>
      </w:pPr>
    </w:p>
    <w:p w14:paraId="71CD9570" w14:textId="77777777" w:rsidR="007A4B0D" w:rsidRDefault="007A4B0D" w:rsidP="007A4B0D">
      <w:pPr>
        <w:spacing w:line="360" w:lineRule="auto"/>
        <w:rPr>
          <w:b/>
          <w:bCs/>
        </w:rPr>
      </w:pPr>
    </w:p>
    <w:p w14:paraId="2A80BF95" w14:textId="77777777" w:rsidR="007A4B0D" w:rsidRDefault="007A4B0D" w:rsidP="007A4B0D">
      <w:pPr>
        <w:spacing w:line="360" w:lineRule="auto"/>
        <w:rPr>
          <w:b/>
          <w:bCs/>
        </w:rPr>
      </w:pPr>
    </w:p>
    <w:p w14:paraId="178A87C7" w14:textId="77777777" w:rsidR="007A4B0D" w:rsidRDefault="007A4B0D" w:rsidP="007A4B0D">
      <w:pPr>
        <w:spacing w:line="360" w:lineRule="auto"/>
        <w:rPr>
          <w:b/>
          <w:bCs/>
        </w:rPr>
      </w:pPr>
    </w:p>
    <w:p w14:paraId="42D2725C" w14:textId="77777777" w:rsidR="007A4B0D" w:rsidRDefault="007A4B0D" w:rsidP="007A4B0D">
      <w:pPr>
        <w:spacing w:line="360" w:lineRule="auto"/>
        <w:rPr>
          <w:b/>
          <w:bCs/>
        </w:rPr>
      </w:pPr>
    </w:p>
    <w:p w14:paraId="4CA90602" w14:textId="77777777" w:rsidR="007A4B0D" w:rsidRDefault="007A4B0D" w:rsidP="007A4B0D">
      <w:pPr>
        <w:spacing w:line="360" w:lineRule="auto"/>
        <w:rPr>
          <w:b/>
          <w:bCs/>
        </w:rPr>
      </w:pPr>
    </w:p>
    <w:p w14:paraId="59B92D6E" w14:textId="77777777" w:rsidR="007A4B0D" w:rsidRDefault="007A4B0D" w:rsidP="007A4B0D">
      <w:pPr>
        <w:spacing w:line="360" w:lineRule="auto"/>
        <w:rPr>
          <w:b/>
          <w:bCs/>
        </w:rPr>
      </w:pPr>
    </w:p>
    <w:p w14:paraId="0AF7C12F" w14:textId="77777777" w:rsidR="007A4B0D" w:rsidRDefault="007A4B0D" w:rsidP="007A4B0D">
      <w:pPr>
        <w:spacing w:line="360" w:lineRule="auto"/>
        <w:rPr>
          <w:b/>
          <w:bCs/>
        </w:rPr>
      </w:pPr>
    </w:p>
    <w:p w14:paraId="63A54BFB" w14:textId="77777777" w:rsidR="007A4B0D" w:rsidRDefault="007A4B0D" w:rsidP="007A4B0D">
      <w:pPr>
        <w:spacing w:line="360" w:lineRule="auto"/>
        <w:rPr>
          <w:b/>
          <w:bCs/>
        </w:rPr>
      </w:pPr>
    </w:p>
    <w:p w14:paraId="36503D8A" w14:textId="77777777" w:rsidR="007A4B0D" w:rsidRPr="007A4B0D" w:rsidRDefault="007A4B0D" w:rsidP="007A4B0D">
      <w:pPr>
        <w:spacing w:line="360" w:lineRule="auto"/>
        <w:rPr>
          <w:b/>
          <w:bCs/>
        </w:rPr>
      </w:pPr>
    </w:p>
    <w:p w14:paraId="1CC79945" w14:textId="77777777" w:rsidR="007A4B0D" w:rsidRPr="007A4B0D" w:rsidRDefault="007A4B0D" w:rsidP="007A4B0D">
      <w:pPr>
        <w:spacing w:line="360" w:lineRule="auto"/>
        <w:rPr>
          <w:b/>
          <w:bCs/>
        </w:rPr>
      </w:pPr>
      <w:r w:rsidRPr="007A4B0D">
        <w:rPr>
          <w:b/>
          <w:bCs/>
        </w:rPr>
        <w:lastRenderedPageBreak/>
        <w:t>References</w:t>
      </w:r>
    </w:p>
    <w:p w14:paraId="304FAF47" w14:textId="77777777" w:rsidR="007A4B0D" w:rsidRPr="007A4B0D" w:rsidRDefault="007A4B0D" w:rsidP="007A4B0D">
      <w:pPr>
        <w:spacing w:line="360" w:lineRule="auto"/>
      </w:pPr>
      <w:r w:rsidRPr="007A4B0D">
        <w:t xml:space="preserve">Asher, C. B. (1992). </w:t>
      </w:r>
      <w:r w:rsidRPr="007A4B0D">
        <w:rPr>
          <w:i/>
          <w:iCs/>
        </w:rPr>
        <w:t>Architecture of Mughal India</w:t>
      </w:r>
      <w:r w:rsidRPr="007A4B0D">
        <w:t>. Cambridge University Press. https://doi.org/10.1017/CBO9780511584080</w:t>
      </w:r>
    </w:p>
    <w:p w14:paraId="7C040E02" w14:textId="77777777" w:rsidR="007A4B0D" w:rsidRPr="007A4B0D" w:rsidRDefault="007A4B0D" w:rsidP="007A4B0D">
      <w:pPr>
        <w:spacing w:line="360" w:lineRule="auto"/>
      </w:pPr>
      <w:proofErr w:type="spellStart"/>
      <w:r w:rsidRPr="007A4B0D">
        <w:t>Avrami</w:t>
      </w:r>
      <w:proofErr w:type="spellEnd"/>
      <w:r w:rsidRPr="007A4B0D">
        <w:t xml:space="preserve">, E., Mason, R., &amp; de la Torre, M. (2000). </w:t>
      </w:r>
      <w:r w:rsidRPr="007A4B0D">
        <w:rPr>
          <w:i/>
          <w:iCs/>
        </w:rPr>
        <w:t>Values and Heritage Conservation</w:t>
      </w:r>
      <w:r w:rsidRPr="007A4B0D">
        <w:t>. Getty Conservation Institute. https://doi.org/10.1179/135562007X188753</w:t>
      </w:r>
    </w:p>
    <w:p w14:paraId="429A4D0D" w14:textId="77777777" w:rsidR="007A4B0D" w:rsidRPr="007A4B0D" w:rsidRDefault="007A4B0D" w:rsidP="007A4B0D">
      <w:pPr>
        <w:spacing w:line="360" w:lineRule="auto"/>
      </w:pPr>
      <w:proofErr w:type="spellStart"/>
      <w:r w:rsidRPr="007A4B0D">
        <w:t>Jokilehto</w:t>
      </w:r>
      <w:proofErr w:type="spellEnd"/>
      <w:r w:rsidRPr="007A4B0D">
        <w:t xml:space="preserve">, J. (2006). Considerations on authenticity and integrity in world heritage context. </w:t>
      </w:r>
      <w:r w:rsidRPr="007A4B0D">
        <w:rPr>
          <w:i/>
          <w:iCs/>
        </w:rPr>
        <w:t>City &amp; Time, 2</w:t>
      </w:r>
      <w:r w:rsidRPr="007A4B0D">
        <w:t>(1), 1–16. https://doi.org/10.13140/RG.2.1.4209.0405</w:t>
      </w:r>
    </w:p>
    <w:p w14:paraId="348ABBF9" w14:textId="77777777" w:rsidR="007A4B0D" w:rsidRPr="007A4B0D" w:rsidRDefault="007A4B0D" w:rsidP="007A4B0D">
      <w:pPr>
        <w:spacing w:line="360" w:lineRule="auto"/>
      </w:pPr>
      <w:r w:rsidRPr="007A4B0D">
        <w:t xml:space="preserve">Larsen, K. E. (Ed.). (1995). </w:t>
      </w:r>
      <w:r w:rsidRPr="007A4B0D">
        <w:rPr>
          <w:i/>
          <w:iCs/>
        </w:rPr>
        <w:t>Nara Conference on Authenticity in Relation to the World Heritage Convention</w:t>
      </w:r>
      <w:r w:rsidRPr="007A4B0D">
        <w:t>. UNESCO. https://doi.org/10.1163/9789004375327</w:t>
      </w:r>
    </w:p>
    <w:p w14:paraId="495A078A" w14:textId="77777777" w:rsidR="007A4B0D" w:rsidRPr="007A4B0D" w:rsidRDefault="007A4B0D" w:rsidP="007A4B0D">
      <w:pPr>
        <w:spacing w:line="360" w:lineRule="auto"/>
      </w:pPr>
      <w:r w:rsidRPr="007A4B0D">
        <w:t xml:space="preserve">Lowenthal, D. (1998). </w:t>
      </w:r>
      <w:r w:rsidRPr="007A4B0D">
        <w:rPr>
          <w:i/>
          <w:iCs/>
        </w:rPr>
        <w:t>The Heritage Crusade and the Spoils of History</w:t>
      </w:r>
      <w:r w:rsidRPr="007A4B0D">
        <w:t>. Cambridge University Press. https://doi.org/10.1017/CBO9780511523805</w:t>
      </w:r>
    </w:p>
    <w:p w14:paraId="1DE008EF" w14:textId="77777777" w:rsidR="007A4B0D" w:rsidRPr="007A4B0D" w:rsidRDefault="007A4B0D" w:rsidP="007A4B0D">
      <w:pPr>
        <w:spacing w:line="360" w:lineRule="auto"/>
      </w:pPr>
      <w:r w:rsidRPr="007A4B0D">
        <w:t xml:space="preserve">UNESCO. (2023). </w:t>
      </w:r>
      <w:r w:rsidRPr="007A4B0D">
        <w:rPr>
          <w:i/>
          <w:iCs/>
        </w:rPr>
        <w:t>Taj Mahal World Heritage Listing</w:t>
      </w:r>
      <w:r w:rsidRPr="007A4B0D">
        <w:t xml:space="preserve">. Retrieved from </w:t>
      </w:r>
      <w:hyperlink r:id="rId6" w:tgtFrame="_new" w:history="1">
        <w:r w:rsidRPr="007A4B0D">
          <w:rPr>
            <w:rStyle w:val="Hyperlink"/>
          </w:rPr>
          <w:t>https://whc.unesco.org/en/list/252</w:t>
        </w:r>
      </w:hyperlink>
    </w:p>
    <w:p w14:paraId="1DDD67A3" w14:textId="77777777" w:rsidR="00DC27AB" w:rsidRPr="00016EE8" w:rsidRDefault="00DC27AB" w:rsidP="007A4B0D">
      <w:pPr>
        <w:spacing w:line="360" w:lineRule="auto"/>
        <w:rPr>
          <w:lang w:val="en-US"/>
        </w:rPr>
      </w:pPr>
    </w:p>
    <w:sectPr w:rsidR="00DC27AB" w:rsidRPr="00016E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B2A79A0-C494-4D32-AB9E-3687477D5442}"/>
    <w:embedBold r:id="rId2" w:fontKey="{9AAB1EEB-D506-47BC-8E54-B0FBD3289B0D}"/>
    <w:embedItalic r:id="rId3" w:fontKey="{04427AFB-AED8-4079-B548-9D32E657C6B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51FD6E3-BA6E-4102-8465-0D4A3A726D7F}"/>
  </w:font>
  <w:font w:name="Calibri Light">
    <w:panose1 w:val="020F0302020204030204"/>
    <w:charset w:val="00"/>
    <w:family w:val="swiss"/>
    <w:pitch w:val="variable"/>
    <w:sig w:usb0="E4002EFF" w:usb1="C000247B" w:usb2="00000009" w:usb3="00000000" w:csb0="000001FF" w:csb1="00000000"/>
    <w:embedRegular r:id="rId5" w:fontKey="{B3EA5129-A737-4375-AFCA-B5D156E0BFA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1"/>
  </w:num>
  <w:num w:numId="2" w16cid:durableId="1882092387">
    <w:abstractNumId w:val="2"/>
  </w:num>
  <w:num w:numId="3" w16cid:durableId="1544052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D03F1"/>
    <w:rsid w:val="001700EC"/>
    <w:rsid w:val="00174BB1"/>
    <w:rsid w:val="00224FD9"/>
    <w:rsid w:val="002F4AE0"/>
    <w:rsid w:val="00384E8A"/>
    <w:rsid w:val="003D1074"/>
    <w:rsid w:val="00426865"/>
    <w:rsid w:val="00477CAA"/>
    <w:rsid w:val="004B5C3E"/>
    <w:rsid w:val="00502E29"/>
    <w:rsid w:val="005E458B"/>
    <w:rsid w:val="00672345"/>
    <w:rsid w:val="007A4B0D"/>
    <w:rsid w:val="008433C4"/>
    <w:rsid w:val="00844EC2"/>
    <w:rsid w:val="008516FE"/>
    <w:rsid w:val="00942251"/>
    <w:rsid w:val="009C1D0A"/>
    <w:rsid w:val="00A044F7"/>
    <w:rsid w:val="00A8150E"/>
    <w:rsid w:val="00B20343"/>
    <w:rsid w:val="00B72D24"/>
    <w:rsid w:val="00B85EA7"/>
    <w:rsid w:val="00BE65DD"/>
    <w:rsid w:val="00C612A4"/>
    <w:rsid w:val="00CC6AD1"/>
    <w:rsid w:val="00CF34F8"/>
    <w:rsid w:val="00DC27A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61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DC27AB"/>
    <w:rPr>
      <w:color w:val="0563C1" w:themeColor="hyperlink"/>
      <w:u w:val="single"/>
    </w:rPr>
  </w:style>
  <w:style w:type="character" w:styleId="UnresolvedMention">
    <w:name w:val="Unresolved Mention"/>
    <w:basedOn w:val="DefaultParagraphFont"/>
    <w:uiPriority w:val="99"/>
    <w:semiHidden/>
    <w:unhideWhenUsed/>
    <w:rsid w:val="00DC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252"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1214</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2026-05-11T11:22:00Z</dcterms:created>
  <dcterms:modified xsi:type="dcterms:W3CDTF">2026-05-11T11:22:00Z</dcterms:modified>
</cp:coreProperties>
</file>