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Borders>
          <w:top w:val="nil"/>
          <w:left w:val="nil"/>
          <w:bottom w:val="nil"/>
          <w:right w:val="nil"/>
          <w:insideH w:val="nil"/>
          <w:insideV w:val="nil"/>
        </w:tblBorders>
      </w:tblPr>
      <w:tblGrid>
        <w:gridCol w:w="7920"/>
        <w:gridCol w:w="1800"/>
      </w:tblGrid>
      <w:tr>
        <w:tc>
          <w:tcPr>
            <w:tcW w:type="dxa" w:w="7920"/>
          </w:tcPr>
          <w:p>
            <w:r>
              <w:rPr>
                <w:rFonts w:ascii="Arial" w:hAnsi="Arial"/>
                <w:b/>
                <w:color w:val="183773"/>
                <w:sz w:val="32"/>
              </w:rPr>
              <w:t>Cultural Heritage Management</w:t>
            </w:r>
          </w:p>
          <w:p>
            <w:pPr>
              <w:spacing w:after="0"/>
            </w:pPr>
            <w:r>
              <w:rPr>
                <w:rFonts w:ascii="Arial" w:hAnsi="Arial"/>
                <w:sz w:val="20"/>
              </w:rPr>
              <w:t>Assignment 3</w:t>
            </w:r>
          </w:p>
          <w:p>
            <w:pPr>
              <w:spacing w:after="0"/>
            </w:pPr>
            <w:r>
              <w:rPr>
                <w:rFonts w:ascii="Arial" w:hAnsi="Arial"/>
                <w:sz w:val="20"/>
              </w:rPr>
              <w:t>22.04.2026</w:t>
            </w:r>
          </w:p>
        </w:tc>
        <w:tc>
          <w:tcPr>
            <w:tcW w:type="dxa" w:w="1800"/>
            <w:vAlign w:val="center"/>
          </w:tcPr>
          <w:p>
            <w:pPr>
              <w:jc w:val="right"/>
            </w:pPr>
            <w:r>
              <w:drawing>
                <wp:inline xmlns:a="http://schemas.openxmlformats.org/drawingml/2006/main" xmlns:pic="http://schemas.openxmlformats.org/drawingml/2006/picture">
                  <wp:extent cx="960120" cy="916478"/>
                  <wp:docPr id="1" name="Picture 1"/>
                  <wp:cNvGraphicFramePr>
                    <a:graphicFrameLocks noChangeAspect="1"/>
                  </wp:cNvGraphicFramePr>
                  <a:graphic>
                    <a:graphicData uri="http://schemas.openxmlformats.org/drawingml/2006/picture">
                      <pic:pic>
                        <pic:nvPicPr>
                          <pic:cNvPr id="0" name="eiiET_logo_assignment3.png"/>
                          <pic:cNvPicPr/>
                        </pic:nvPicPr>
                        <pic:blipFill>
                          <a:blip r:embed="rId9"/>
                          <a:stretch>
                            <a:fillRect/>
                          </a:stretch>
                        </pic:blipFill>
                        <pic:spPr>
                          <a:xfrm>
                            <a:off x="0" y="0"/>
                            <a:ext cx="960120" cy="916478"/>
                          </a:xfrm>
                          <a:prstGeom prst="rect"/>
                        </pic:spPr>
                      </pic:pic>
                    </a:graphicData>
                  </a:graphic>
                </wp:inline>
              </w:drawing>
            </w:r>
          </w:p>
        </w:tc>
      </w:tr>
    </w:tbl>
    <w:p>
      <w:pPr>
        <w:pBdr>
          <w:bottom w:val="single" w:sz="8" w:space="1" w:color="777777"/>
        </w:pBdr>
        <w:spacing w:after="160"/>
      </w:pPr>
    </w:p>
    <w:p>
      <w:pPr>
        <w:spacing w:after="160"/>
      </w:pPr>
      <w:r>
        <w:rPr>
          <w:rFonts w:ascii="Arial" w:hAnsi="Arial"/>
          <w:b/>
          <w:sz w:val="19"/>
        </w:rPr>
        <w:t xml:space="preserve">Instructions: </w:t>
      </w:r>
      <w:r>
        <w:rPr>
          <w:rFonts w:ascii="Arial" w:hAnsi="Arial"/>
          <w:sz w:val="19"/>
        </w:rPr>
        <w:t>Answer each question in no more than 500 words and provide 2–4 references.</w:t>
      </w:r>
    </w:p>
    <w:p>
      <w:pPr>
        <w:spacing w:before="100" w:after="60"/>
      </w:pPr>
      <w:r>
        <w:rPr>
          <w:rFonts w:ascii="Arial" w:hAnsi="Arial"/>
          <w:b/>
          <w:color w:val="183773"/>
          <w:sz w:val="24"/>
        </w:rPr>
        <w:t>1. Choose a World Heritage Site and:</w:t>
      </w:r>
    </w:p>
    <w:p>
      <w:pPr>
        <w:spacing w:after="100"/>
        <w:jc w:val="both"/>
      </w:pPr>
      <w:r>
        <w:t>For this assignment, the Taj Mahal in Agra, India, is selected as the World Heritage Site. Inscribed on the UNESCO World Heritage List in 1983, the Taj Mahal is recognized for its exceptional architectural and artistic qualities and for the Outstanding Universal Value expressed through its design, craftsmanship and cultural setting.</w:t>
      </w:r>
    </w:p>
    <w:p>
      <w:pPr>
        <w:spacing w:after="100"/>
        <w:jc w:val="both"/>
      </w:pPr>
      <w:r>
        <w:t>Key heritage values. The principal values of the Taj Mahal are architectural, artistic, historical and cultural. Architecturally, it is an outstanding example of Mughal architecture that combines elements of Islamic, Persian, Ottoman and Indian traditions. Artistically, its white marble construction, inlay work, calligraphy, geometric decoration, gardens and carefully balanced composition create a highly distinctive monumental ensemble. Historically, the complex represents the Mughal period and its sophisticated building traditions. Its setting on the Yamuna River and its relationship with the surrounding garden and subsidiary structures also contribute to its cultural significance.</w:t>
      </w:r>
    </w:p>
    <w:p>
      <w:pPr>
        <w:spacing w:after="100"/>
        <w:jc w:val="both"/>
      </w:pPr>
      <w:r>
        <w:t>Attributes that express these values. UNESCO explains that attributes are the aspects of a property that express or are associated with its Outstanding Universal Value. At the Taj Mahal, these include the mausoleum and its architectural form and design; the use and craftsmanship of white marble and stone inlay; the dome, minarets and proportional composition; the calligraphic and decorative details; the charbagh-style garden; the mosque and jawab; and the historic riverside setting. Together, these attributes allow visitors to understand the site's architectural, artistic and historical significance.</w:t>
      </w:r>
    </w:p>
    <w:p>
      <w:pPr>
        <w:spacing w:after="100"/>
        <w:jc w:val="both"/>
      </w:pPr>
      <w:r>
        <w:t>Authenticity and integrity. Authenticity concerns whether heritage values are credibly expressed through attributes such as form and design, materials and substance, use and function, location and setting, and traditions and techniques. The Taj Mahal retains strong authenticity because its principal architectural form, design, materials and setting continue to communicate its historical and artistic values. Integrity concerns the wholeness and intactness of the property and whether it contains the elements necessary to express its Outstanding Universal Value. The Taj Mahal complex retains the major elements of its historic ensemble, although conservation and environmental pressures require continuing protection and careful management. Overall, its authenticity and integrity remain strong when the monument is considered as an architectural and landscape ensemble.</w:t>
      </w:r>
    </w:p>
    <w:p>
      <w:pPr>
        <w:spacing w:before="100" w:after="60"/>
      </w:pPr>
      <w:r>
        <w:rPr>
          <w:rFonts w:ascii="Arial" w:hAnsi="Arial"/>
          <w:b/>
          <w:color w:val="183773"/>
          <w:sz w:val="24"/>
        </w:rPr>
        <w:t>2. Using the example of Ise Grand Shrine, discuss how authenticity can be understood beyond material originality.</w:t>
      </w:r>
    </w:p>
    <w:p>
      <w:pPr>
        <w:spacing w:after="100"/>
        <w:jc w:val="both"/>
      </w:pPr>
      <w:r>
        <w:t>The Ise Grand Shrine in Japan provides an important example of why authenticity should not be understood only as the survival of original physical materials. The shrine is traditionally rebuilt every twenty years through the Shikinen Sengu process. New shrine buildings are constructed according to established forms, while sacred objects and ritual practices are renewed and transferred as part of the ceremony. The official Ise Jingu description explains that this repeated rebuilding has continued for around 1,300 years and helps transmit traditional architecture, craftsmanship and ritual knowledge to future generations.</w:t>
      </w:r>
    </w:p>
    <w:p>
      <w:pPr>
        <w:spacing w:after="100"/>
        <w:jc w:val="both"/>
      </w:pPr>
      <w:r>
        <w:t>In this case, replacing old timber does not necessarily make the heritage less authentic. Instead, authenticity is expressed through continuity of use and function, ritual practice, traditional techniques, knowledge, craftsmanship, location, spiritual meaning and the community's relationship with the shrine. The physical building is renewed, but the cultural system that gives the building meaning is maintained. This illustrates UNESCO's broader understanding that authenticity can involve intangible attributes such as traditions, techniques, management systems, language, spirit and feeling, as well as material attributes.</w:t>
      </w:r>
    </w:p>
    <w:p>
      <w:pPr>
        <w:spacing w:after="100"/>
        <w:jc w:val="both"/>
      </w:pPr>
      <w:r>
        <w:t>Therefore, Ise demonstrates that authenticity is culturally contextual. A conservation approach that required the shrine to remain materially unchanged could actually weaken its traditional function and transmission. For Ise, authenticity lies partly in the faithful continuation of the process that renews the shrine while preserving its sacred purpose, design principles and accumulated knowledge.</w:t>
      </w:r>
    </w:p>
    <w:p>
      <w:pPr>
        <w:spacing w:before="100" w:after="60"/>
      </w:pPr>
      <w:r>
        <w:rPr>
          <w:rFonts w:ascii="Arial" w:hAnsi="Arial"/>
          <w:b/>
          <w:color w:val="183773"/>
          <w:sz w:val="24"/>
        </w:rPr>
        <w:t>References</w:t>
      </w:r>
    </w:p>
    <w:p>
      <w:pPr>
        <w:spacing w:after="50"/>
        <w:ind w:left="360" w:hanging="360"/>
      </w:pPr>
      <w:r>
        <w:t>1. UNESCO World Heritage Centre. (1983). Taj Mahal. World Heritage List, No. 252.</w:t>
      </w:r>
    </w:p>
    <w:p>
      <w:pPr>
        <w:spacing w:after="50"/>
        <w:ind w:left="360" w:hanging="360"/>
      </w:pPr>
      <w:r>
        <w:t>2. UNESCO World Heritage Centre. (2026). Authenticity: Questions and Answers. UNESCO World Heritage Centre.</w:t>
      </w:r>
    </w:p>
    <w:p>
      <w:pPr>
        <w:spacing w:after="50"/>
        <w:ind w:left="360" w:hanging="360"/>
      </w:pPr>
      <w:r>
        <w:t>3. UNESCO World Heritage Centre. (2026). Attributes: Questions and Answers. UNESCO World Heritage Centre.</w:t>
      </w:r>
    </w:p>
    <w:p>
      <w:pPr>
        <w:spacing w:after="50"/>
        <w:ind w:left="360" w:hanging="360"/>
      </w:pPr>
      <w:r>
        <w:t>4. Ise Jingu. (2026). Shikinen Sengu: About the 20-year rebuilding tradition. Official Ise Jingu website.</w:t>
      </w:r>
    </w:p>
    <w:sectPr w:rsidR="00FC693F" w:rsidRPr="0006063C" w:rsidSect="00034616">
      <w:pgSz w:w="12240" w:h="15840"/>
      <w:pgMar w:top="864" w:right="1080" w:bottom="86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2" w:lineRule="auto"/>
    </w:pPr>
    <w:rPr>
      <w:rFonts w:ascii="Times New Roman" w:hAnsi="Times New Roman"/>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