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AB95B" w14:textId="77777777" w:rsidR="00B75C7E" w:rsidRPr="003C6497" w:rsidRDefault="00B75C7E" w:rsidP="00B75C7E">
      <w:pPr>
        <w:spacing w:line="480" w:lineRule="auto"/>
        <w:jc w:val="center"/>
        <w:rPr>
          <w:rFonts w:ascii="Times New Roman" w:hAnsi="Times New Roman" w:cs="Times New Roman"/>
          <w:color w:val="000000" w:themeColor="text1"/>
          <w:szCs w:val="24"/>
        </w:rPr>
      </w:pPr>
    </w:p>
    <w:p w14:paraId="09959906" w14:textId="77777777" w:rsidR="00B75C7E" w:rsidRPr="003C6497" w:rsidRDefault="00B75C7E" w:rsidP="00B75C7E">
      <w:pPr>
        <w:spacing w:line="480" w:lineRule="auto"/>
        <w:jc w:val="center"/>
        <w:rPr>
          <w:rFonts w:ascii="Times New Roman" w:hAnsi="Times New Roman" w:cs="Times New Roman"/>
          <w:color w:val="000000" w:themeColor="text1"/>
          <w:szCs w:val="24"/>
        </w:rPr>
      </w:pPr>
      <w:r w:rsidRPr="003C649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29B0BF00" wp14:editId="7C9C217D">
            <wp:simplePos x="0" y="0"/>
            <wp:positionH relativeFrom="margin">
              <wp:posOffset>2505075</wp:posOffset>
            </wp:positionH>
            <wp:positionV relativeFrom="paragraph">
              <wp:posOffset>280670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4B1C412A" w14:textId="77777777" w:rsidR="00B75C7E" w:rsidRPr="003C6497" w:rsidRDefault="00B75C7E" w:rsidP="00B75C7E">
      <w:pPr>
        <w:spacing w:line="480" w:lineRule="auto"/>
        <w:jc w:val="center"/>
        <w:rPr>
          <w:rFonts w:ascii="Times New Roman" w:hAnsi="Times New Roman" w:cs="Times New Roman"/>
          <w:color w:val="000000" w:themeColor="text1"/>
          <w:szCs w:val="24"/>
        </w:rPr>
      </w:pPr>
    </w:p>
    <w:p w14:paraId="15FCB4C3" w14:textId="77777777" w:rsidR="00B75C7E" w:rsidRPr="003C6497" w:rsidRDefault="00B75C7E" w:rsidP="00B75C7E">
      <w:pPr>
        <w:spacing w:line="480" w:lineRule="auto"/>
        <w:jc w:val="center"/>
        <w:rPr>
          <w:rFonts w:ascii="Times New Roman" w:hAnsi="Times New Roman" w:cs="Times New Roman"/>
          <w:b/>
          <w:bCs/>
          <w:color w:val="000000" w:themeColor="text1"/>
          <w:szCs w:val="24"/>
        </w:rPr>
      </w:pPr>
    </w:p>
    <w:p w14:paraId="1AAF61C7" w14:textId="77777777" w:rsidR="00B75C7E" w:rsidRPr="003C6497" w:rsidRDefault="00B75C7E" w:rsidP="00B75C7E">
      <w:pPr>
        <w:spacing w:line="480" w:lineRule="auto"/>
        <w:jc w:val="center"/>
        <w:rPr>
          <w:rFonts w:ascii="Times New Roman" w:hAnsi="Times New Roman" w:cs="Times New Roman"/>
          <w:b/>
          <w:bCs/>
          <w:color w:val="000000" w:themeColor="text1"/>
          <w:szCs w:val="24"/>
        </w:rPr>
      </w:pPr>
      <w:r w:rsidRPr="003C6497">
        <w:rPr>
          <w:rFonts w:ascii="Times New Roman" w:hAnsi="Times New Roman" w:cs="Times New Roman"/>
          <w:b/>
          <w:bCs/>
          <w:color w:val="000000" w:themeColor="text1"/>
          <w:szCs w:val="24"/>
        </w:rPr>
        <w:t>Masters in Tourism and Recreation</w:t>
      </w:r>
    </w:p>
    <w:p w14:paraId="5546C6F7" w14:textId="77777777" w:rsidR="00B75C7E" w:rsidRPr="003C6497" w:rsidRDefault="00B75C7E" w:rsidP="00B75C7E">
      <w:pPr>
        <w:spacing w:line="480" w:lineRule="auto"/>
        <w:jc w:val="center"/>
        <w:rPr>
          <w:rFonts w:ascii="Times New Roman" w:hAnsi="Times New Roman" w:cs="Times New Roman"/>
          <w:b/>
          <w:bCs/>
          <w:color w:val="000000" w:themeColor="text1"/>
          <w:szCs w:val="24"/>
        </w:rPr>
      </w:pPr>
      <w:proofErr w:type="spellStart"/>
      <w:r w:rsidRPr="003C6497">
        <w:rPr>
          <w:rFonts w:ascii="Times New Roman" w:hAnsi="Times New Roman" w:cs="Times New Roman"/>
          <w:b/>
          <w:bCs/>
          <w:color w:val="000000" w:themeColor="text1"/>
          <w:szCs w:val="24"/>
        </w:rPr>
        <w:t>Opera&amp;ons</w:t>
      </w:r>
      <w:proofErr w:type="spellEnd"/>
      <w:r w:rsidRPr="003C6497">
        <w:rPr>
          <w:rFonts w:ascii="Times New Roman" w:hAnsi="Times New Roman" w:cs="Times New Roman"/>
          <w:b/>
          <w:bCs/>
          <w:color w:val="000000" w:themeColor="text1"/>
          <w:szCs w:val="24"/>
        </w:rPr>
        <w:t xml:space="preserve"> Management in Hospitality </w:t>
      </w:r>
    </w:p>
    <w:p w14:paraId="174BCA00" w14:textId="77777777" w:rsidR="00B75C7E" w:rsidRPr="003C6497" w:rsidRDefault="00B75C7E" w:rsidP="00B75C7E">
      <w:pPr>
        <w:spacing w:line="480" w:lineRule="auto"/>
        <w:jc w:val="center"/>
        <w:rPr>
          <w:rFonts w:ascii="Times New Roman" w:hAnsi="Times New Roman" w:cs="Times New Roman"/>
          <w:b/>
          <w:bCs/>
          <w:color w:val="000000" w:themeColor="text1"/>
          <w:szCs w:val="24"/>
        </w:rPr>
      </w:pPr>
      <w:r w:rsidRPr="003C6497">
        <w:rPr>
          <w:rFonts w:ascii="Times New Roman" w:hAnsi="Times New Roman" w:cs="Times New Roman"/>
          <w:b/>
          <w:bCs/>
          <w:color w:val="000000" w:themeColor="text1"/>
          <w:szCs w:val="24"/>
        </w:rPr>
        <w:t xml:space="preserve">Assignment 12 </w:t>
      </w:r>
    </w:p>
    <w:p w14:paraId="5191146D" w14:textId="77777777" w:rsidR="00B75C7E" w:rsidRPr="003C6497" w:rsidRDefault="00B75C7E" w:rsidP="00B75C7E">
      <w:pPr>
        <w:spacing w:line="480" w:lineRule="auto"/>
        <w:jc w:val="center"/>
        <w:rPr>
          <w:rFonts w:ascii="Times New Roman" w:hAnsi="Times New Roman" w:cs="Times New Roman"/>
          <w:b/>
          <w:bCs/>
          <w:color w:val="000000" w:themeColor="text1"/>
          <w:szCs w:val="24"/>
        </w:rPr>
      </w:pPr>
      <w:r w:rsidRPr="003C6497">
        <w:rPr>
          <w:rFonts w:ascii="Times New Roman" w:hAnsi="Times New Roman" w:cs="Times New Roman"/>
          <w:b/>
          <w:bCs/>
          <w:color w:val="000000" w:themeColor="text1"/>
          <w:szCs w:val="24"/>
        </w:rPr>
        <w:t>04.02.2026</w:t>
      </w:r>
    </w:p>
    <w:p w14:paraId="45C97CCD" w14:textId="77777777" w:rsidR="00B75C7E" w:rsidRPr="003C6497" w:rsidRDefault="00B75C7E" w:rsidP="00B75C7E">
      <w:pPr>
        <w:rPr>
          <w:rFonts w:ascii="Times New Roman" w:hAnsi="Times New Roman" w:cs="Times New Roman"/>
        </w:rPr>
      </w:pPr>
    </w:p>
    <w:p w14:paraId="5DC5B131" w14:textId="77777777" w:rsidR="00B75C7E" w:rsidRPr="003C6497" w:rsidRDefault="00B75C7E" w:rsidP="00B75C7E">
      <w:pPr>
        <w:rPr>
          <w:rFonts w:ascii="Times New Roman" w:hAnsi="Times New Roman" w:cs="Times New Roman"/>
        </w:rPr>
      </w:pPr>
    </w:p>
    <w:p w14:paraId="042B9426" w14:textId="77777777" w:rsidR="00B75C7E" w:rsidRPr="003C6497" w:rsidRDefault="00B75C7E" w:rsidP="00B75C7E">
      <w:pPr>
        <w:rPr>
          <w:rFonts w:ascii="Times New Roman" w:hAnsi="Times New Roman" w:cs="Times New Roman"/>
        </w:rPr>
      </w:pPr>
    </w:p>
    <w:p w14:paraId="16DF2623" w14:textId="77777777" w:rsidR="00B75C7E" w:rsidRPr="003C6497" w:rsidRDefault="00B75C7E" w:rsidP="00B75C7E">
      <w:pPr>
        <w:rPr>
          <w:rFonts w:ascii="Times New Roman" w:hAnsi="Times New Roman" w:cs="Times New Roman"/>
        </w:rPr>
      </w:pPr>
    </w:p>
    <w:p w14:paraId="09C6C643" w14:textId="77777777" w:rsidR="00B75C7E" w:rsidRPr="003C6497" w:rsidRDefault="00B75C7E" w:rsidP="00B75C7E">
      <w:pPr>
        <w:rPr>
          <w:rFonts w:ascii="Times New Roman" w:hAnsi="Times New Roman" w:cs="Times New Roman"/>
        </w:rPr>
      </w:pPr>
    </w:p>
    <w:p w14:paraId="72A6E549" w14:textId="77777777" w:rsidR="00B75C7E" w:rsidRPr="003C6497" w:rsidRDefault="00B75C7E">
      <w:pPr>
        <w:rPr>
          <w:rFonts w:ascii="Times New Roman" w:hAnsi="Times New Roman" w:cs="Times New Roman"/>
        </w:rPr>
      </w:pPr>
    </w:p>
    <w:p w14:paraId="70EF4432" w14:textId="77777777" w:rsidR="003C6497" w:rsidRPr="003C6497" w:rsidRDefault="003C6497">
      <w:pPr>
        <w:rPr>
          <w:rFonts w:ascii="Times New Roman" w:hAnsi="Times New Roman" w:cs="Times New Roman"/>
        </w:rPr>
      </w:pPr>
    </w:p>
    <w:p w14:paraId="051E0244" w14:textId="77777777" w:rsidR="003C6497" w:rsidRPr="003C6497" w:rsidRDefault="003C6497">
      <w:pPr>
        <w:rPr>
          <w:rFonts w:ascii="Times New Roman" w:hAnsi="Times New Roman" w:cs="Times New Roman"/>
        </w:rPr>
      </w:pPr>
    </w:p>
    <w:p w14:paraId="0442E57F" w14:textId="77777777" w:rsidR="003C6497" w:rsidRPr="003C6497" w:rsidRDefault="003C6497">
      <w:pPr>
        <w:rPr>
          <w:rFonts w:ascii="Times New Roman" w:hAnsi="Times New Roman" w:cs="Times New Roman"/>
        </w:rPr>
      </w:pPr>
    </w:p>
    <w:p w14:paraId="41E19642" w14:textId="77777777" w:rsidR="003C6497" w:rsidRPr="003C6497" w:rsidRDefault="003C6497">
      <w:pPr>
        <w:rPr>
          <w:rFonts w:ascii="Times New Roman" w:hAnsi="Times New Roman" w:cs="Times New Roman"/>
        </w:rPr>
      </w:pPr>
    </w:p>
    <w:p w14:paraId="03F1C03D" w14:textId="77777777" w:rsidR="003C6497" w:rsidRPr="003C6497" w:rsidRDefault="003C6497">
      <w:pPr>
        <w:rPr>
          <w:rFonts w:ascii="Times New Roman" w:hAnsi="Times New Roman" w:cs="Times New Roman"/>
        </w:rPr>
      </w:pPr>
    </w:p>
    <w:p w14:paraId="02072B7B" w14:textId="77777777" w:rsidR="003C6497" w:rsidRPr="003C6497" w:rsidRDefault="003C6497">
      <w:pPr>
        <w:rPr>
          <w:rFonts w:ascii="Times New Roman" w:hAnsi="Times New Roman" w:cs="Times New Roman"/>
        </w:rPr>
      </w:pPr>
    </w:p>
    <w:p w14:paraId="0983ADF4" w14:textId="77777777" w:rsidR="003C6497" w:rsidRPr="003C6497" w:rsidRDefault="003C6497">
      <w:pPr>
        <w:rPr>
          <w:rFonts w:ascii="Times New Roman" w:hAnsi="Times New Roman" w:cs="Times New Roman"/>
        </w:rPr>
      </w:pPr>
    </w:p>
    <w:p w14:paraId="110D9856" w14:textId="77777777" w:rsidR="003C6497" w:rsidRPr="003C6497" w:rsidRDefault="003C6497">
      <w:pPr>
        <w:rPr>
          <w:rFonts w:ascii="Times New Roman" w:hAnsi="Times New Roman" w:cs="Times New Roman"/>
        </w:rPr>
      </w:pPr>
    </w:p>
    <w:p w14:paraId="3B7417AD" w14:textId="77777777" w:rsidR="003C6497" w:rsidRPr="003C6497" w:rsidRDefault="003C6497" w:rsidP="003C6497">
      <w:pPr>
        <w:rPr>
          <w:rFonts w:ascii="Times New Roman" w:hAnsi="Times New Roman" w:cs="Times New Roman"/>
          <w:b/>
          <w:bCs/>
        </w:rPr>
      </w:pPr>
      <w:r w:rsidRPr="003C6497">
        <w:rPr>
          <w:rFonts w:ascii="Times New Roman" w:hAnsi="Times New Roman" w:cs="Times New Roman"/>
          <w:b/>
          <w:bCs/>
        </w:rPr>
        <w:lastRenderedPageBreak/>
        <w:t>The article will explain how Non-Pricing Revenue Management Tools can assist the hotels maximize their revenues without raising the room rates.</w:t>
      </w:r>
    </w:p>
    <w:p w14:paraId="6FBD16E5" w14:textId="77777777" w:rsidR="003C6497" w:rsidRPr="003C6497" w:rsidRDefault="003C6497" w:rsidP="003C6497">
      <w:pPr>
        <w:rPr>
          <w:rFonts w:ascii="Times New Roman" w:hAnsi="Times New Roman" w:cs="Times New Roman"/>
        </w:rPr>
      </w:pPr>
    </w:p>
    <w:p w14:paraId="4424413B" w14:textId="77777777" w:rsidR="003C6497" w:rsidRPr="003C6497" w:rsidRDefault="003C6497" w:rsidP="003C6497">
      <w:pPr>
        <w:rPr>
          <w:rFonts w:ascii="Times New Roman" w:hAnsi="Times New Roman" w:cs="Times New Roman"/>
        </w:rPr>
      </w:pPr>
      <w:r w:rsidRPr="003C6497">
        <w:rPr>
          <w:rFonts w:ascii="Times New Roman" w:hAnsi="Times New Roman" w:cs="Times New Roman"/>
        </w:rPr>
        <w:t>The non-pricing revenue management tools can be used to maximise the total revenue without reducing the price of the room by optimisation of demand, capacity utilisation, customer behaviour and ancillary expenditure. They are aimed not at changing the price, but at the timing, to whom and how rooms and services are sold and are especially instrumental in highly competitive markets, or those with a rate sensitive.</w:t>
      </w:r>
    </w:p>
    <w:p w14:paraId="3DE75FF5" w14:textId="77777777" w:rsidR="003C6497" w:rsidRPr="003C6497" w:rsidRDefault="003C6497" w:rsidP="003C6497">
      <w:pPr>
        <w:rPr>
          <w:rFonts w:ascii="Times New Roman" w:hAnsi="Times New Roman" w:cs="Times New Roman"/>
        </w:rPr>
      </w:pPr>
    </w:p>
    <w:p w14:paraId="70590694" w14:textId="77777777" w:rsidR="003C6497" w:rsidRPr="003C6497" w:rsidRDefault="003C6497" w:rsidP="003C6497">
      <w:pPr>
        <w:rPr>
          <w:rFonts w:ascii="Times New Roman" w:hAnsi="Times New Roman" w:cs="Times New Roman"/>
        </w:rPr>
      </w:pPr>
      <w:r w:rsidRPr="003C6497">
        <w:rPr>
          <w:rFonts w:ascii="Times New Roman" w:hAnsi="Times New Roman" w:cs="Times New Roman"/>
        </w:rPr>
        <w:t>Length-of-stay (LOS) control is one of the best non-pricing tools. Minimum or maximum stay requirements in high-demand times can help hotels reduce short, low-value stays, and focus on the booking that will maximise total revenue per available room (</w:t>
      </w:r>
      <w:proofErr w:type="spellStart"/>
      <w:r w:rsidRPr="003C6497">
        <w:rPr>
          <w:rFonts w:ascii="Times New Roman" w:hAnsi="Times New Roman" w:cs="Times New Roman"/>
        </w:rPr>
        <w:t>TRevPAR</w:t>
      </w:r>
      <w:proofErr w:type="spellEnd"/>
      <w:r w:rsidRPr="003C6497">
        <w:rPr>
          <w:rFonts w:ascii="Times New Roman" w:hAnsi="Times New Roman" w:cs="Times New Roman"/>
        </w:rPr>
        <w:t>). The LOS controls allow to level out demand during peak and shoulder periods and minimize operational inefficiencies in the form of high room turnovers (Talluri and Van Ryzin, 2004).</w:t>
      </w:r>
    </w:p>
    <w:p w14:paraId="225E4E09" w14:textId="77777777" w:rsidR="003C6497" w:rsidRPr="003C6497" w:rsidRDefault="003C6497" w:rsidP="003C6497">
      <w:pPr>
        <w:rPr>
          <w:rFonts w:ascii="Times New Roman" w:hAnsi="Times New Roman" w:cs="Times New Roman"/>
        </w:rPr>
      </w:pPr>
    </w:p>
    <w:p w14:paraId="16E462E6" w14:textId="77777777" w:rsidR="003C6497" w:rsidRPr="003C6497" w:rsidRDefault="003C6497" w:rsidP="003C6497">
      <w:pPr>
        <w:rPr>
          <w:rFonts w:ascii="Times New Roman" w:hAnsi="Times New Roman" w:cs="Times New Roman"/>
        </w:rPr>
      </w:pPr>
      <w:r w:rsidRPr="003C6497">
        <w:rPr>
          <w:rFonts w:ascii="Times New Roman" w:hAnsi="Times New Roman" w:cs="Times New Roman"/>
        </w:rPr>
        <w:t>Optimisation of inventory and room types is also extremely important. Hotels identify and allocate limited room inventory strategically within the segment (business, leisure, group, OTA or direct bookings) in terms of its expected profitability and not in terms of price only. To illustrate, distribution channels with low value should be shut when the market is at its best point so that all the high-value customers can have access to the product and the revenue quality would be enhanced without altering rates (Kimes, 2011).</w:t>
      </w:r>
    </w:p>
    <w:p w14:paraId="52B2CACD" w14:textId="77777777" w:rsidR="003C6497" w:rsidRPr="003C6497" w:rsidRDefault="003C6497" w:rsidP="003C6497">
      <w:pPr>
        <w:rPr>
          <w:rFonts w:ascii="Times New Roman" w:hAnsi="Times New Roman" w:cs="Times New Roman"/>
        </w:rPr>
      </w:pPr>
    </w:p>
    <w:p w14:paraId="301AEB9F" w14:textId="77777777" w:rsidR="003C6497" w:rsidRPr="003C6497" w:rsidRDefault="003C6497" w:rsidP="003C6497">
      <w:pPr>
        <w:rPr>
          <w:rFonts w:ascii="Times New Roman" w:hAnsi="Times New Roman" w:cs="Times New Roman"/>
        </w:rPr>
      </w:pPr>
      <w:r w:rsidRPr="003C6497">
        <w:rPr>
          <w:rFonts w:ascii="Times New Roman" w:hAnsi="Times New Roman" w:cs="Times New Roman"/>
        </w:rPr>
        <w:t>Management of overbooking is another important non-pricing tool. Cancellations and no-shows are common in hospitality; hence, the use of controlled overbooking enables hotels to record greater occupancy rates as well as deal with the chances of displacing guests. Overbooking generates a realised revenue by a significant percentage when used with historical data and forecasting models and does not have an impact on the published prices (Ivanov, 2007).</w:t>
      </w:r>
    </w:p>
    <w:p w14:paraId="13CE01BD" w14:textId="77777777" w:rsidR="003C6497" w:rsidRPr="003C6497" w:rsidRDefault="003C6497" w:rsidP="003C6497">
      <w:pPr>
        <w:rPr>
          <w:rFonts w:ascii="Times New Roman" w:hAnsi="Times New Roman" w:cs="Times New Roman"/>
        </w:rPr>
      </w:pPr>
    </w:p>
    <w:p w14:paraId="6125745E" w14:textId="77777777" w:rsidR="003C6497" w:rsidRPr="003C6497" w:rsidRDefault="003C6497" w:rsidP="003C6497">
      <w:pPr>
        <w:rPr>
          <w:rFonts w:ascii="Times New Roman" w:hAnsi="Times New Roman" w:cs="Times New Roman"/>
        </w:rPr>
      </w:pPr>
      <w:r w:rsidRPr="003C6497">
        <w:rPr>
          <w:rFonts w:ascii="Times New Roman" w:hAnsi="Times New Roman" w:cs="Times New Roman"/>
        </w:rPr>
        <w:t>Ancillary revenue optimisation is also another method that is used by hotels to maximise revenue by promoting upgrades, food and beverage, spa services, parking and late check-outs. Guest spend can be significantly increased with the help of focused upselling and cross-selling, in particular, digital pre-arrival communication, and front-desk strategies without changing the room rates (Noone and McGuire, 2013).</w:t>
      </w:r>
    </w:p>
    <w:p w14:paraId="74EE29A4" w14:textId="77777777" w:rsidR="003C6497" w:rsidRPr="003C6497" w:rsidRDefault="003C6497" w:rsidP="003C6497">
      <w:pPr>
        <w:rPr>
          <w:rFonts w:ascii="Times New Roman" w:hAnsi="Times New Roman" w:cs="Times New Roman"/>
        </w:rPr>
      </w:pPr>
    </w:p>
    <w:p w14:paraId="6FC05D34" w14:textId="77777777" w:rsidR="003C6497" w:rsidRPr="003C6497" w:rsidRDefault="003C6497" w:rsidP="003C6497">
      <w:pPr>
        <w:rPr>
          <w:rFonts w:ascii="Times New Roman" w:hAnsi="Times New Roman" w:cs="Times New Roman"/>
        </w:rPr>
      </w:pPr>
      <w:r w:rsidRPr="003C6497">
        <w:rPr>
          <w:rFonts w:ascii="Times New Roman" w:hAnsi="Times New Roman" w:cs="Times New Roman"/>
        </w:rPr>
        <w:lastRenderedPageBreak/>
        <w:t xml:space="preserve">The last one is customer segmentation and demand forecasting that has a fundamental role. Using booking trends, lead times, and customer behaviour, hotels will be able to customise availability policy, marketing deals, and service packages to </w:t>
      </w:r>
      <w:proofErr w:type="gramStart"/>
      <w:r w:rsidRPr="003C6497">
        <w:rPr>
          <w:rFonts w:ascii="Times New Roman" w:hAnsi="Times New Roman" w:cs="Times New Roman"/>
        </w:rPr>
        <w:t>particular groups</w:t>
      </w:r>
      <w:proofErr w:type="gramEnd"/>
      <w:r w:rsidRPr="003C6497">
        <w:rPr>
          <w:rFonts w:ascii="Times New Roman" w:hAnsi="Times New Roman" w:cs="Times New Roman"/>
        </w:rPr>
        <w:t>. This will increase the efficiency of demand capture and performance overall revenue without depending on the price changes (Cross, Higbie, and Cross, 2009).</w:t>
      </w:r>
    </w:p>
    <w:p w14:paraId="41C491FF" w14:textId="77777777" w:rsidR="003C6497" w:rsidRPr="003C6497" w:rsidRDefault="003C6497" w:rsidP="003C6497">
      <w:pPr>
        <w:rPr>
          <w:rFonts w:ascii="Times New Roman" w:hAnsi="Times New Roman" w:cs="Times New Roman"/>
        </w:rPr>
      </w:pPr>
    </w:p>
    <w:p w14:paraId="16CCC14D" w14:textId="2D21B217" w:rsidR="003C6497" w:rsidRPr="003C6497" w:rsidRDefault="003C6497" w:rsidP="003C6497">
      <w:pPr>
        <w:rPr>
          <w:rFonts w:ascii="Times New Roman" w:hAnsi="Times New Roman" w:cs="Times New Roman"/>
        </w:rPr>
      </w:pPr>
      <w:r w:rsidRPr="003C6497">
        <w:rPr>
          <w:rFonts w:ascii="Times New Roman" w:hAnsi="Times New Roman" w:cs="Times New Roman"/>
        </w:rPr>
        <w:t>Overall, hotels can achieve better revenue through better capacity use, demand timing, customer mix, and ancillary spending, which is achieved using non-pricing revenue management tools. The strategies come in especially handy when a competitive environment, brand positioning, or customer sensitivity limits price increases, and as such, they should be considered a vital part of the modern hotel revenue management.</w:t>
      </w:r>
    </w:p>
    <w:p w14:paraId="746C8447" w14:textId="77777777" w:rsidR="003C6497" w:rsidRPr="003C6497" w:rsidRDefault="003C6497" w:rsidP="003C6497">
      <w:pPr>
        <w:rPr>
          <w:rFonts w:ascii="Times New Roman" w:hAnsi="Times New Roman" w:cs="Times New Roman"/>
        </w:rPr>
      </w:pPr>
    </w:p>
    <w:p w14:paraId="1C771CBC" w14:textId="77777777" w:rsidR="003C6497" w:rsidRPr="003C6497" w:rsidRDefault="003C6497">
      <w:pPr>
        <w:rPr>
          <w:rFonts w:ascii="Times New Roman" w:hAnsi="Times New Roman" w:cs="Times New Roman"/>
        </w:rPr>
      </w:pPr>
    </w:p>
    <w:p w14:paraId="62341655" w14:textId="77777777" w:rsidR="003C6497" w:rsidRPr="003C6497" w:rsidRDefault="003C6497" w:rsidP="003C6497">
      <w:pPr>
        <w:rPr>
          <w:rFonts w:ascii="Times New Roman" w:hAnsi="Times New Roman" w:cs="Times New Roman"/>
        </w:rPr>
      </w:pPr>
      <w:r w:rsidRPr="003C6497">
        <w:rPr>
          <w:rFonts w:ascii="Times New Roman" w:hAnsi="Times New Roman" w:cs="Times New Roman"/>
        </w:rPr>
        <w:t xml:space="preserve">References </w:t>
      </w:r>
    </w:p>
    <w:p w14:paraId="0349A282" w14:textId="77777777" w:rsidR="003C6497" w:rsidRPr="003C6497" w:rsidRDefault="003C6497" w:rsidP="003C6497">
      <w:pPr>
        <w:rPr>
          <w:rFonts w:ascii="Times New Roman" w:hAnsi="Times New Roman" w:cs="Times New Roman"/>
        </w:rPr>
      </w:pPr>
    </w:p>
    <w:p w14:paraId="3AEC10B8" w14:textId="77777777" w:rsidR="003C6497" w:rsidRPr="003C6497" w:rsidRDefault="003C6497" w:rsidP="003C6497">
      <w:pPr>
        <w:rPr>
          <w:rFonts w:ascii="Times New Roman" w:hAnsi="Times New Roman" w:cs="Times New Roman"/>
          <w:b/>
          <w:bCs/>
        </w:rPr>
      </w:pPr>
      <w:r w:rsidRPr="003C6497">
        <w:rPr>
          <w:rFonts w:ascii="Times New Roman" w:hAnsi="Times New Roman" w:cs="Times New Roman"/>
          <w:b/>
          <w:bCs/>
        </w:rPr>
        <w:t>Cross, R. G., Higbie, J. A., &amp; Cross, Z. N. (2009). Revenue management’s renaissance: A rebirth of the art and science of profitable revenue generation. Cornell Hospitality Quarterly, 50(1), 56–81. https://doi.org/10.1177/1938965508328716</w:t>
      </w:r>
    </w:p>
    <w:p w14:paraId="0D4A453B" w14:textId="77777777" w:rsidR="003C6497" w:rsidRPr="003C6497" w:rsidRDefault="003C6497" w:rsidP="003C6497">
      <w:pPr>
        <w:rPr>
          <w:rFonts w:ascii="Times New Roman" w:hAnsi="Times New Roman" w:cs="Times New Roman"/>
          <w:b/>
          <w:bCs/>
        </w:rPr>
      </w:pPr>
      <w:r w:rsidRPr="003C6497">
        <w:rPr>
          <w:rFonts w:ascii="Times New Roman" w:hAnsi="Times New Roman" w:cs="Times New Roman"/>
          <w:b/>
          <w:bCs/>
        </w:rPr>
        <w:t>Ivanov, S. (2007). Optimal overbooking policies for accommodation establishments. Tourism Economics, 13(1), 67–88. https://doi.org/10.5367/000000007779784498</w:t>
      </w:r>
    </w:p>
    <w:p w14:paraId="754E9F81" w14:textId="77777777" w:rsidR="003C6497" w:rsidRPr="003C6497" w:rsidRDefault="003C6497" w:rsidP="003C6497">
      <w:pPr>
        <w:rPr>
          <w:rFonts w:ascii="Times New Roman" w:hAnsi="Times New Roman" w:cs="Times New Roman"/>
          <w:b/>
          <w:bCs/>
        </w:rPr>
      </w:pPr>
      <w:r w:rsidRPr="003C6497">
        <w:rPr>
          <w:rFonts w:ascii="Times New Roman" w:hAnsi="Times New Roman" w:cs="Times New Roman"/>
          <w:b/>
          <w:bCs/>
        </w:rPr>
        <w:t>Kimes, S. E. (2011). The future of hotel revenue management. Journal of Revenue and Pricing Management, 10(1), 62–72. https://doi.org/10.1057/rpm.2010.47</w:t>
      </w:r>
    </w:p>
    <w:p w14:paraId="644A051B" w14:textId="77777777" w:rsidR="003C6497" w:rsidRPr="003C6497" w:rsidRDefault="003C6497" w:rsidP="003C6497">
      <w:pPr>
        <w:rPr>
          <w:rFonts w:ascii="Times New Roman" w:hAnsi="Times New Roman" w:cs="Times New Roman"/>
          <w:b/>
          <w:bCs/>
        </w:rPr>
      </w:pPr>
      <w:r w:rsidRPr="003C6497">
        <w:rPr>
          <w:rFonts w:ascii="Times New Roman" w:hAnsi="Times New Roman" w:cs="Times New Roman"/>
          <w:b/>
          <w:bCs/>
        </w:rPr>
        <w:t>Noone, B. M., &amp; McGuire, K. A. (2013). Pricing in hotel revenue management: A behavioural perspective. International Journal of Hospitality Management, 34, 387–397. https://doi.org/10.1016/j.ijhm.2012.11.008</w:t>
      </w:r>
    </w:p>
    <w:p w14:paraId="06B2D6B9" w14:textId="77777777" w:rsidR="003C6497" w:rsidRPr="003C6497" w:rsidRDefault="003C6497" w:rsidP="003C6497">
      <w:pPr>
        <w:rPr>
          <w:rFonts w:ascii="Times New Roman" w:hAnsi="Times New Roman" w:cs="Times New Roman"/>
          <w:b/>
          <w:bCs/>
        </w:rPr>
      </w:pPr>
      <w:r w:rsidRPr="003C6497">
        <w:rPr>
          <w:rFonts w:ascii="Times New Roman" w:hAnsi="Times New Roman" w:cs="Times New Roman"/>
          <w:b/>
          <w:bCs/>
        </w:rPr>
        <w:t>Talluri, K. T., &amp; Van Ryzin, G. J. (2004). The theory and practice of revenue management. Manufacturing &amp; Service Operations Management, 6(3), 262–264. https://doi.org/10.1287/msom.1040.0056</w:t>
      </w:r>
    </w:p>
    <w:p w14:paraId="3B846C1B" w14:textId="77777777" w:rsidR="003C6497" w:rsidRPr="003C6497" w:rsidRDefault="003C6497">
      <w:pPr>
        <w:rPr>
          <w:rFonts w:ascii="Times New Roman" w:hAnsi="Times New Roman" w:cs="Times New Roman"/>
        </w:rPr>
      </w:pPr>
    </w:p>
    <w:sectPr w:rsidR="003C6497" w:rsidRPr="003C64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C7E"/>
    <w:rsid w:val="003C6497"/>
    <w:rsid w:val="00B75C7E"/>
    <w:rsid w:val="00CB216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081A4"/>
  <w15:chartTrackingRefBased/>
  <w15:docId w15:val="{32B5A7B3-6FA1-4D16-B756-71006CCAF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C7E"/>
  </w:style>
  <w:style w:type="paragraph" w:styleId="Heading1">
    <w:name w:val="heading 1"/>
    <w:basedOn w:val="Normal"/>
    <w:next w:val="Normal"/>
    <w:link w:val="Heading1Char"/>
    <w:uiPriority w:val="9"/>
    <w:qFormat/>
    <w:rsid w:val="00B75C7E"/>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75C7E"/>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75C7E"/>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75C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C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C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C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C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C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C7E"/>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75C7E"/>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75C7E"/>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75C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5C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5C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C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C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C7E"/>
    <w:rPr>
      <w:rFonts w:eastAsiaTheme="majorEastAsia" w:cstheme="majorBidi"/>
      <w:color w:val="272727" w:themeColor="text1" w:themeTint="D8"/>
    </w:rPr>
  </w:style>
  <w:style w:type="paragraph" w:styleId="Title">
    <w:name w:val="Title"/>
    <w:basedOn w:val="Normal"/>
    <w:next w:val="Normal"/>
    <w:link w:val="TitleChar"/>
    <w:uiPriority w:val="10"/>
    <w:qFormat/>
    <w:rsid w:val="00B75C7E"/>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75C7E"/>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75C7E"/>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75C7E"/>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75C7E"/>
    <w:pPr>
      <w:spacing w:before="160"/>
      <w:jc w:val="center"/>
    </w:pPr>
    <w:rPr>
      <w:i/>
      <w:iCs/>
      <w:color w:val="404040" w:themeColor="text1" w:themeTint="BF"/>
    </w:rPr>
  </w:style>
  <w:style w:type="character" w:customStyle="1" w:styleId="QuoteChar">
    <w:name w:val="Quote Char"/>
    <w:basedOn w:val="DefaultParagraphFont"/>
    <w:link w:val="Quote"/>
    <w:uiPriority w:val="29"/>
    <w:rsid w:val="00B75C7E"/>
    <w:rPr>
      <w:i/>
      <w:iCs/>
      <w:color w:val="404040" w:themeColor="text1" w:themeTint="BF"/>
    </w:rPr>
  </w:style>
  <w:style w:type="paragraph" w:styleId="ListParagraph">
    <w:name w:val="List Paragraph"/>
    <w:basedOn w:val="Normal"/>
    <w:uiPriority w:val="34"/>
    <w:qFormat/>
    <w:rsid w:val="00B75C7E"/>
    <w:pPr>
      <w:ind w:left="720"/>
      <w:contextualSpacing/>
    </w:pPr>
  </w:style>
  <w:style w:type="character" w:styleId="IntenseEmphasis">
    <w:name w:val="Intense Emphasis"/>
    <w:basedOn w:val="DefaultParagraphFont"/>
    <w:uiPriority w:val="21"/>
    <w:qFormat/>
    <w:rsid w:val="00B75C7E"/>
    <w:rPr>
      <w:i/>
      <w:iCs/>
      <w:color w:val="0F4761" w:themeColor="accent1" w:themeShade="BF"/>
    </w:rPr>
  </w:style>
  <w:style w:type="paragraph" w:styleId="IntenseQuote">
    <w:name w:val="Intense Quote"/>
    <w:basedOn w:val="Normal"/>
    <w:next w:val="Normal"/>
    <w:link w:val="IntenseQuoteChar"/>
    <w:uiPriority w:val="30"/>
    <w:qFormat/>
    <w:rsid w:val="00B75C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5C7E"/>
    <w:rPr>
      <w:i/>
      <w:iCs/>
      <w:color w:val="0F4761" w:themeColor="accent1" w:themeShade="BF"/>
    </w:rPr>
  </w:style>
  <w:style w:type="character" w:styleId="IntenseReference">
    <w:name w:val="Intense Reference"/>
    <w:basedOn w:val="DefaultParagraphFont"/>
    <w:uiPriority w:val="32"/>
    <w:qFormat/>
    <w:rsid w:val="00B75C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2026-02-08T10:20:00Z</dcterms:created>
  <dcterms:modified xsi:type="dcterms:W3CDTF">2026-02-08T10:23:00Z</dcterms:modified>
</cp:coreProperties>
</file>