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504D" w:rsidRPr="00697D81" w:rsidRDefault="0019504D" w:rsidP="0019504D">
      <w:pPr>
        <w:rPr>
          <w:rFonts w:ascii="Times New Roman" w:hAnsi="Times New Roman" w:cs="Times New Roman"/>
          <w:lang w:val="en-US"/>
        </w:rPr>
      </w:pPr>
      <w:r w:rsidRPr="00697D81">
        <w:rPr>
          <w:rFonts w:ascii="Times New Roman" w:hAnsi="Times New Roman" w:cs="Times New Roman"/>
          <w:noProof/>
          <w:lang w:val="en-US"/>
        </w:rPr>
        <w:drawing>
          <wp:anchor distT="0" distB="0" distL="114300" distR="114300" simplePos="0" relativeHeight="251658240" behindDoc="1" locked="0" layoutInCell="1" allowOverlap="1">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rsidR="00BD5EF8" w:rsidRPr="00697D81" w:rsidRDefault="00BD5EF8" w:rsidP="0019504D">
      <w:pPr>
        <w:rPr>
          <w:rFonts w:ascii="Times New Roman" w:hAnsi="Times New Roman" w:cs="Times New Roman"/>
          <w:lang w:val="en-US"/>
        </w:rPr>
      </w:pPr>
    </w:p>
    <w:p w:rsidR="00426865" w:rsidRPr="00697D81" w:rsidRDefault="00CD620A" w:rsidP="0019504D">
      <w:pPr>
        <w:rPr>
          <w:rFonts w:ascii="Times New Roman" w:hAnsi="Times New Roman" w:cs="Times New Roman"/>
          <w:b/>
          <w:bCs/>
          <w:lang w:val="en-US"/>
        </w:rPr>
      </w:pPr>
      <w:r w:rsidRPr="00697D81">
        <w:rPr>
          <w:rFonts w:ascii="Times New Roman" w:hAnsi="Times New Roman" w:cs="Times New Roman"/>
          <w:b/>
          <w:bCs/>
          <w:lang w:val="en-US"/>
        </w:rPr>
        <w:t>Recreation Course</w:t>
      </w:r>
    </w:p>
    <w:p w:rsidR="0019504D" w:rsidRPr="00697D81" w:rsidRDefault="0019504D" w:rsidP="0019504D">
      <w:pPr>
        <w:rPr>
          <w:rFonts w:ascii="Times New Roman" w:hAnsi="Times New Roman" w:cs="Times New Roman"/>
          <w:lang w:val="en-US"/>
        </w:rPr>
      </w:pPr>
      <w:r w:rsidRPr="00697D81">
        <w:rPr>
          <w:rFonts w:ascii="Times New Roman" w:hAnsi="Times New Roman" w:cs="Times New Roman"/>
          <w:lang w:val="en-US"/>
        </w:rPr>
        <w:t xml:space="preserve">Assignment </w:t>
      </w:r>
      <w:r w:rsidR="00A95CBF" w:rsidRPr="00697D81">
        <w:rPr>
          <w:rFonts w:ascii="Times New Roman" w:hAnsi="Times New Roman" w:cs="Times New Roman"/>
          <w:lang w:val="en-US"/>
        </w:rPr>
        <w:t>4</w:t>
      </w:r>
    </w:p>
    <w:p w:rsidR="0019504D" w:rsidRPr="00697D81" w:rsidRDefault="00A95CBF" w:rsidP="0019504D">
      <w:pPr>
        <w:rPr>
          <w:rFonts w:ascii="Times New Roman" w:hAnsi="Times New Roman" w:cs="Times New Roman"/>
          <w:lang w:val="en-US"/>
        </w:rPr>
      </w:pPr>
      <w:r w:rsidRPr="00697D81">
        <w:rPr>
          <w:rFonts w:ascii="Times New Roman" w:hAnsi="Times New Roman" w:cs="Times New Roman"/>
          <w:lang w:val="en-US"/>
        </w:rPr>
        <w:t>25</w:t>
      </w:r>
      <w:r w:rsidR="0019504D" w:rsidRPr="00697D81">
        <w:rPr>
          <w:rFonts w:ascii="Times New Roman" w:hAnsi="Times New Roman" w:cs="Times New Roman"/>
          <w:lang w:val="en-US"/>
        </w:rPr>
        <w:t>.0</w:t>
      </w:r>
      <w:r w:rsidR="00CD620A" w:rsidRPr="00697D81">
        <w:rPr>
          <w:rFonts w:ascii="Times New Roman" w:hAnsi="Times New Roman" w:cs="Times New Roman"/>
          <w:lang w:val="en-US"/>
        </w:rPr>
        <w:t>7</w:t>
      </w:r>
      <w:r w:rsidR="0019504D" w:rsidRPr="00697D81">
        <w:rPr>
          <w:rFonts w:ascii="Times New Roman" w:hAnsi="Times New Roman" w:cs="Times New Roman"/>
          <w:lang w:val="en-US"/>
        </w:rPr>
        <w:t>.2025</w:t>
      </w:r>
    </w:p>
    <w:p w:rsidR="0019504D" w:rsidRPr="00697D81" w:rsidRDefault="0019504D">
      <w:pPr>
        <w:rPr>
          <w:rFonts w:ascii="Times New Roman" w:hAnsi="Times New Roman" w:cs="Times New Roman"/>
        </w:rPr>
      </w:pPr>
    </w:p>
    <w:p w:rsidR="0019504D" w:rsidRPr="00697D81" w:rsidRDefault="0019504D">
      <w:pPr>
        <w:rPr>
          <w:rFonts w:ascii="Times New Roman" w:hAnsi="Times New Roman" w:cs="Times New Roman"/>
        </w:rPr>
      </w:pPr>
    </w:p>
    <w:p w:rsidR="0019504D" w:rsidRPr="00697D81" w:rsidRDefault="0019504D">
      <w:pPr>
        <w:rPr>
          <w:rFonts w:ascii="Times New Roman" w:hAnsi="Times New Roman" w:cs="Times New Roman"/>
        </w:rPr>
      </w:pPr>
    </w:p>
    <w:p w:rsidR="0019504D" w:rsidRPr="00697D81" w:rsidRDefault="0019504D">
      <w:pPr>
        <w:rPr>
          <w:rFonts w:ascii="Times New Roman" w:hAnsi="Times New Roman" w:cs="Times New Roman"/>
        </w:rPr>
      </w:pPr>
    </w:p>
    <w:p w:rsidR="0019504D" w:rsidRPr="00697D81" w:rsidRDefault="0019504D">
      <w:pPr>
        <w:rPr>
          <w:rFonts w:ascii="Times New Roman" w:hAnsi="Times New Roman" w:cs="Times New Roman"/>
        </w:rPr>
      </w:pPr>
    </w:p>
    <w:p w:rsidR="00CD620A" w:rsidRPr="00697D81" w:rsidRDefault="00CD620A">
      <w:pPr>
        <w:rPr>
          <w:rFonts w:ascii="Times New Roman" w:hAnsi="Times New Roman" w:cs="Times New Roman"/>
        </w:rPr>
      </w:pPr>
      <w:bookmarkStart w:id="0" w:name="_GoBack"/>
      <w:bookmarkEnd w:id="0"/>
    </w:p>
    <w:p w:rsidR="00697D81" w:rsidRPr="002829E3" w:rsidRDefault="00697D81" w:rsidP="00697D81">
      <w:pPr>
        <w:spacing w:before="100" w:beforeAutospacing="1" w:after="100" w:afterAutospacing="1"/>
        <w:rPr>
          <w:rFonts w:ascii="Times New Roman" w:eastAsia="Times New Roman" w:hAnsi="Times New Roman" w:cs="Times New Roman"/>
        </w:rPr>
      </w:pPr>
      <w:r w:rsidRPr="002829E3">
        <w:rPr>
          <w:rFonts w:ascii="Times New Roman" w:eastAsia="Times New Roman" w:hAnsi="Times New Roman" w:cs="Times New Roman"/>
          <w:b/>
          <w:bCs/>
        </w:rPr>
        <w:t>Submitted by       :</w:t>
      </w:r>
      <w:r w:rsidRPr="002829E3">
        <w:rPr>
          <w:rFonts w:ascii="Times New Roman" w:eastAsia="Times New Roman" w:hAnsi="Times New Roman" w:cs="Times New Roman"/>
        </w:rPr>
        <w:t xml:space="preserve"> Ehtisham Ul Haq</w:t>
      </w:r>
    </w:p>
    <w:p w:rsidR="00697D81" w:rsidRPr="002829E3" w:rsidRDefault="00697D81" w:rsidP="00697D81">
      <w:pPr>
        <w:spacing w:before="100" w:beforeAutospacing="1" w:after="100" w:afterAutospacing="1"/>
        <w:rPr>
          <w:rFonts w:ascii="Times New Roman" w:eastAsia="Times New Roman" w:hAnsi="Times New Roman" w:cs="Times New Roman"/>
          <w:b/>
        </w:rPr>
      </w:pPr>
      <w:r w:rsidRPr="002829E3">
        <w:rPr>
          <w:rFonts w:ascii="Times New Roman" w:eastAsia="Times New Roman" w:hAnsi="Times New Roman" w:cs="Times New Roman"/>
          <w:b/>
        </w:rPr>
        <w:t>Course                  :</w:t>
      </w:r>
      <w:r w:rsidRPr="002829E3">
        <w:rPr>
          <w:rFonts w:ascii="Times New Roman" w:eastAsia="Times New Roman" w:hAnsi="Times New Roman" w:cs="Times New Roman"/>
        </w:rPr>
        <w:t xml:space="preserve"> BA Tourism Management and Recreation</w:t>
      </w:r>
    </w:p>
    <w:p w:rsidR="00697D81" w:rsidRPr="002829E3" w:rsidRDefault="00697D81" w:rsidP="00697D81">
      <w:pPr>
        <w:spacing w:before="100" w:beforeAutospacing="1" w:after="100" w:afterAutospacing="1"/>
        <w:rPr>
          <w:rFonts w:ascii="Times New Roman" w:eastAsia="Times New Roman" w:hAnsi="Times New Roman" w:cs="Times New Roman"/>
        </w:rPr>
      </w:pPr>
      <w:r w:rsidRPr="002829E3">
        <w:rPr>
          <w:rFonts w:ascii="Times New Roman" w:eastAsia="Times New Roman" w:hAnsi="Times New Roman" w:cs="Times New Roman"/>
          <w:b/>
        </w:rPr>
        <w:t>Subject</w:t>
      </w:r>
      <w:r w:rsidRPr="002829E3">
        <w:rPr>
          <w:rFonts w:ascii="Times New Roman" w:eastAsia="Times New Roman" w:hAnsi="Times New Roman" w:cs="Times New Roman"/>
        </w:rPr>
        <w:t xml:space="preserve">              </w:t>
      </w:r>
      <w:r w:rsidRPr="002829E3">
        <w:rPr>
          <w:rFonts w:ascii="Times New Roman" w:eastAsia="Times New Roman" w:hAnsi="Times New Roman" w:cs="Times New Roman"/>
          <w:b/>
        </w:rPr>
        <w:t xml:space="preserve">  : </w:t>
      </w:r>
      <w:r>
        <w:rPr>
          <w:rFonts w:ascii="Times New Roman" w:eastAsia="Times New Roman" w:hAnsi="Times New Roman" w:cs="Times New Roman"/>
          <w:lang w:val="en-US"/>
        </w:rPr>
        <w:t>Recreation</w:t>
      </w:r>
    </w:p>
    <w:p w:rsidR="00697D81" w:rsidRPr="002829E3" w:rsidRDefault="00697D81" w:rsidP="00697D81">
      <w:pPr>
        <w:spacing w:before="100" w:beforeAutospacing="1" w:after="100" w:afterAutospacing="1"/>
        <w:rPr>
          <w:rFonts w:ascii="Times New Roman" w:eastAsia="Times New Roman" w:hAnsi="Times New Roman" w:cs="Times New Roman"/>
        </w:rPr>
      </w:pPr>
      <w:r w:rsidRPr="002829E3">
        <w:rPr>
          <w:rFonts w:ascii="Times New Roman" w:eastAsia="Times New Roman" w:hAnsi="Times New Roman" w:cs="Times New Roman"/>
          <w:b/>
          <w:bCs/>
        </w:rPr>
        <w:t>Institution Name:</w:t>
      </w:r>
      <w:r w:rsidRPr="002829E3">
        <w:rPr>
          <w:rFonts w:ascii="Times New Roman" w:eastAsia="Times New Roman" w:hAnsi="Times New Roman" w:cs="Times New Roman"/>
        </w:rPr>
        <w:t xml:space="preserve"> European Institute of Innovation Entrepreneurship and Technology</w:t>
      </w:r>
    </w:p>
    <w:p w:rsidR="00CD620A" w:rsidRPr="00697D81" w:rsidRDefault="00CD620A">
      <w:pPr>
        <w:rPr>
          <w:rFonts w:ascii="Times New Roman" w:hAnsi="Times New Roman" w:cs="Times New Roman"/>
        </w:rPr>
      </w:pPr>
    </w:p>
    <w:p w:rsidR="0019504D" w:rsidRPr="00697D81" w:rsidRDefault="00697D81">
      <w:pPr>
        <w:rPr>
          <w:rFonts w:ascii="Times New Roman" w:hAnsi="Times New Roman" w:cs="Times New Roman"/>
          <w:b/>
          <w:sz w:val="28"/>
          <w:lang w:val="en-US"/>
        </w:rPr>
      </w:pPr>
      <w:r w:rsidRPr="00697D81">
        <w:rPr>
          <w:rFonts w:ascii="Times New Roman" w:hAnsi="Times New Roman" w:cs="Times New Roman"/>
          <w:b/>
          <w:sz w:val="28"/>
          <w:lang w:val="en-US"/>
        </w:rPr>
        <w:t>Topic</w:t>
      </w:r>
    </w:p>
    <w:p w:rsidR="00697D81" w:rsidRPr="00697D81" w:rsidRDefault="00697D81" w:rsidP="00697D81">
      <w:pPr>
        <w:rPr>
          <w:rFonts w:ascii="Times New Roman" w:hAnsi="Times New Roman" w:cs="Times New Roman"/>
        </w:rPr>
      </w:pPr>
      <w:r w:rsidRPr="00697D81">
        <w:rPr>
          <w:rFonts w:ascii="Times New Roman" w:hAnsi="Times New Roman" w:cs="Times New Roman"/>
        </w:rPr>
        <w:pict>
          <v:rect id="_x0000_i1025" style="width:0;height:1.5pt" o:hralign="center" o:hrstd="t" o:hr="t" fillcolor="#a0a0a0" stroked="f"/>
        </w:pict>
      </w:r>
    </w:p>
    <w:p w:rsidR="00697D81" w:rsidRPr="00697D81" w:rsidRDefault="00697D81" w:rsidP="00697D81">
      <w:pPr>
        <w:pStyle w:val="Heading3"/>
      </w:pPr>
      <w:r w:rsidRPr="00697D81">
        <w:rPr>
          <w:rStyle w:val="Strong"/>
          <w:bCs w:val="0"/>
        </w:rPr>
        <w:t xml:space="preserve">The Nexus </w:t>
      </w:r>
      <w:proofErr w:type="gramStart"/>
      <w:r w:rsidRPr="00697D81">
        <w:rPr>
          <w:rStyle w:val="Strong"/>
          <w:bCs w:val="0"/>
        </w:rPr>
        <w:t>Between</w:t>
      </w:r>
      <w:proofErr w:type="gramEnd"/>
      <w:r w:rsidRPr="00697D81">
        <w:rPr>
          <w:rStyle w:val="Strong"/>
          <w:bCs w:val="0"/>
        </w:rPr>
        <w:t xml:space="preserve"> Recreational Resource Planning and Sustainable Tourism</w:t>
      </w:r>
    </w:p>
    <w:p w:rsidR="00697D81" w:rsidRPr="00697D81" w:rsidRDefault="00697D81" w:rsidP="00697D81">
      <w:pPr>
        <w:pStyle w:val="NormalWeb"/>
      </w:pPr>
      <w:r w:rsidRPr="00697D81">
        <w:t>Recreational resource planning and sustainable tourism are intimately connected, as both aim to balance human enjoyment of natural and cultural resources with the need to preserve them for future generations. Recreational resource planning refers to the strategic process of identifying, developing, and managing resources—such as natural landscapes, historical sites, and recreational facilities—to meet the recreational needs of society. Sustainable tourism, on the other hand, emphasizes responsible travel that maintains environmental integrity, supports local communities, and promotes long-term economic benefits. The intersection of these two concepts lies in their shared focus on optimizing the use of resources while minimizing negative ecological, social, and economic impacts.</w:t>
      </w:r>
    </w:p>
    <w:p w:rsidR="00697D81" w:rsidRPr="00697D81" w:rsidRDefault="00697D81" w:rsidP="00697D81">
      <w:pPr>
        <w:pStyle w:val="NormalWeb"/>
      </w:pPr>
      <w:r w:rsidRPr="00697D81">
        <w:rPr>
          <w:rStyle w:val="Strong"/>
        </w:rPr>
        <w:t>1. The Importance of Recreational Resource Planning</w:t>
      </w:r>
    </w:p>
    <w:p w:rsidR="00697D81" w:rsidRPr="00697D81" w:rsidRDefault="00697D81" w:rsidP="00697D81">
      <w:pPr>
        <w:pStyle w:val="NormalWeb"/>
      </w:pPr>
      <w:r w:rsidRPr="00697D81">
        <w:t>Recreational resource planning is crucial in ensuring that leisure and tourism activities are accessible, enjoyable, and safe while preserving the integrity of the resources being used. The process involves resource assessment, carrying capacity analysis, facility design, and policy implementation. By identifying which natural or cultural resources can accommodate recreational activities without degradation, planners can prevent overuse, habitat destruction, and environmental pollution. For example, establishing designated hiking trails in sensitive forest areas or zoning for water sports in lakes helps to concentrate recreational use, reducing damage to ecosystems and maintaining biodiversity.</w:t>
      </w:r>
    </w:p>
    <w:p w:rsidR="00697D81" w:rsidRPr="00697D81" w:rsidRDefault="00697D81" w:rsidP="00697D81">
      <w:pPr>
        <w:pStyle w:val="NormalWeb"/>
      </w:pPr>
      <w:r w:rsidRPr="00697D81">
        <w:t xml:space="preserve">Additionally, recreational resource planning considers social and economic dimensions. It ensures that recreational facilities are inclusive, catering to various age groups, abilities, and cultural preferences. Well-planned recreational sites can also stimulate local economies </w:t>
      </w:r>
      <w:r w:rsidRPr="00697D81">
        <w:lastRenderedPageBreak/>
        <w:t>through tourism, providing employment, generating revenue, and promoting small businesses. Therefore, planning is not only about preserving resources but also about integrating environmental, social, and economic sustainability into recreation and tourism development.</w:t>
      </w:r>
    </w:p>
    <w:p w:rsidR="00697D81" w:rsidRPr="00697D81" w:rsidRDefault="00697D81" w:rsidP="00697D81">
      <w:pPr>
        <w:pStyle w:val="NormalWeb"/>
      </w:pPr>
      <w:r w:rsidRPr="00697D81">
        <w:rPr>
          <w:rStyle w:val="Strong"/>
        </w:rPr>
        <w:t>2. Sustainable Tourism and Resource Conservation</w:t>
      </w:r>
    </w:p>
    <w:p w:rsidR="00697D81" w:rsidRPr="00697D81" w:rsidRDefault="00697D81" w:rsidP="00697D81">
      <w:pPr>
        <w:pStyle w:val="NormalWeb"/>
      </w:pPr>
      <w:r w:rsidRPr="00697D81">
        <w:t>Sustainable tourism emphasizes minimizing the ecological footprint of tourism activities while maximizing their social and economic benefits. Unregulated tourism can lead to environmental degradation, cultural erosion, and social inequalities, undermining the very resources that attract visitors. By incorporating sustainable practices—such as eco-friendly accommodations, renewable energy use, waste management, and community-based tourism—tourism can enhance local livelihoods while preserving cultural and natural assets.</w:t>
      </w:r>
    </w:p>
    <w:p w:rsidR="00697D81" w:rsidRPr="00697D81" w:rsidRDefault="00697D81" w:rsidP="00697D81">
      <w:pPr>
        <w:pStyle w:val="NormalWeb"/>
      </w:pPr>
      <w:r w:rsidRPr="00697D81">
        <w:t>The link between recreational resource planning and sustainable tourism becomes evident when considering resource management strategies. For instance, planners may assess the carrying capacity of a national park, determining how many visitors can be accommodated without causing erosion, littering, or wildlife disturbance. By implementing measures like visitor quotas, interpretive programs, or eco-tourism guidelines, recreational planners ensure that tourism is sustainable and that the natural and cultural integrity of the site is maintained.</w:t>
      </w:r>
    </w:p>
    <w:p w:rsidR="00697D81" w:rsidRPr="00697D81" w:rsidRDefault="00697D81" w:rsidP="00697D81">
      <w:pPr>
        <w:pStyle w:val="NormalWeb"/>
      </w:pPr>
      <w:r w:rsidRPr="00697D81">
        <w:rPr>
          <w:rStyle w:val="Strong"/>
        </w:rPr>
        <w:t>3. Integration of Planning and Sustainability Principles</w:t>
      </w:r>
    </w:p>
    <w:p w:rsidR="00697D81" w:rsidRPr="00697D81" w:rsidRDefault="00697D81" w:rsidP="00697D81">
      <w:pPr>
        <w:pStyle w:val="NormalWeb"/>
      </w:pPr>
      <w:r w:rsidRPr="00697D81">
        <w:t>The nexus between recreational resource planning and sustainable tourism can be conceptualized through three main principles:</w:t>
      </w:r>
    </w:p>
    <w:p w:rsidR="00697D81" w:rsidRPr="00697D81" w:rsidRDefault="00697D81" w:rsidP="00697D81">
      <w:pPr>
        <w:pStyle w:val="NormalWeb"/>
        <w:numPr>
          <w:ilvl w:val="0"/>
          <w:numId w:val="2"/>
        </w:numPr>
      </w:pPr>
      <w:r w:rsidRPr="00697D81">
        <w:rPr>
          <w:rStyle w:val="Strong"/>
        </w:rPr>
        <w:t>Environmental Stewardship:</w:t>
      </w:r>
      <w:r w:rsidRPr="00697D81">
        <w:t xml:space="preserve"> Recreational resource planning provides the framework for conserving natural ecosystems while accommodating visitor needs. Sustainable tourism relies on this planning to ensure activities such as hiking, birdwatching, and snorkeling do not degrade habitats. Environmental impact assessments and continuous monitoring are tools that link both fields, guiding development and management decisions.</w:t>
      </w:r>
    </w:p>
    <w:p w:rsidR="00697D81" w:rsidRPr="00697D81" w:rsidRDefault="00697D81" w:rsidP="00697D81">
      <w:pPr>
        <w:pStyle w:val="NormalWeb"/>
        <w:numPr>
          <w:ilvl w:val="0"/>
          <w:numId w:val="2"/>
        </w:numPr>
      </w:pPr>
      <w:r w:rsidRPr="00697D81">
        <w:rPr>
          <w:rStyle w:val="Strong"/>
        </w:rPr>
        <w:t>Socio-Cultural Preservation:</w:t>
      </w:r>
      <w:r w:rsidRPr="00697D81">
        <w:t xml:space="preserve"> Both recreational planning and sustainable tourism recognize the importance of cultural heritage. Recreational resource planning may include protecting historic landmarks, indigenous sites, or cultural landscapes, while sustainable tourism encourages responsible visitation that respects local traditions and community values. Collaborative management involving local stakeholders ensures that tourism development enhances cultural pride rather than exploiting it.</w:t>
      </w:r>
    </w:p>
    <w:p w:rsidR="00697D81" w:rsidRPr="00697D81" w:rsidRDefault="00697D81" w:rsidP="00697D81">
      <w:pPr>
        <w:pStyle w:val="NormalWeb"/>
        <w:numPr>
          <w:ilvl w:val="0"/>
          <w:numId w:val="2"/>
        </w:numPr>
      </w:pPr>
      <w:r w:rsidRPr="00697D81">
        <w:rPr>
          <w:rStyle w:val="Strong"/>
        </w:rPr>
        <w:t>Economic Viability:</w:t>
      </w:r>
      <w:r w:rsidRPr="00697D81">
        <w:t xml:space="preserve"> Recreational resource planning supports sustainable tourism by fostering economically viable models that generate income without compromising resource integrity. Well-planned recreational facilities, eco-lodges, and community-based tourism projects create revenue streams that can fund conservation efforts, infrastructure maintenance, and local employment, achieving a sustainable balance between use and preservation.</w:t>
      </w:r>
    </w:p>
    <w:p w:rsidR="00697D81" w:rsidRPr="00697D81" w:rsidRDefault="00697D81" w:rsidP="00697D81">
      <w:pPr>
        <w:pStyle w:val="NormalWeb"/>
      </w:pPr>
      <w:r w:rsidRPr="00697D81">
        <w:rPr>
          <w:rStyle w:val="Strong"/>
        </w:rPr>
        <w:t>4. Practical Examples of the Nexus</w:t>
      </w:r>
    </w:p>
    <w:p w:rsidR="00697D81" w:rsidRPr="00697D81" w:rsidRDefault="00697D81" w:rsidP="00697D81">
      <w:pPr>
        <w:pStyle w:val="NormalWeb"/>
      </w:pPr>
      <w:r w:rsidRPr="00697D81">
        <w:t>Several real-world examples illustrate the synergy between recreational resource planning and sustainable tourism:</w:t>
      </w:r>
    </w:p>
    <w:p w:rsidR="00697D81" w:rsidRPr="00697D81" w:rsidRDefault="00697D81" w:rsidP="00697D81">
      <w:pPr>
        <w:pStyle w:val="NormalWeb"/>
        <w:numPr>
          <w:ilvl w:val="0"/>
          <w:numId w:val="3"/>
        </w:numPr>
      </w:pPr>
      <w:r w:rsidRPr="00697D81">
        <w:rPr>
          <w:rStyle w:val="Strong"/>
        </w:rPr>
        <w:lastRenderedPageBreak/>
        <w:t>Protected Areas and National Parks:</w:t>
      </w:r>
      <w:r w:rsidRPr="00697D81">
        <w:t xml:space="preserve"> Countries worldwide, such as Costa Rica and Kenya, have used recreational resource planning to design trails, observation points, and visitor centers within protected areas. This planning ensures tourism contributes to conservation funding while controlling environmental impacts.</w:t>
      </w:r>
    </w:p>
    <w:p w:rsidR="00697D81" w:rsidRPr="00697D81" w:rsidRDefault="00697D81" w:rsidP="00697D81">
      <w:pPr>
        <w:pStyle w:val="NormalWeb"/>
        <w:numPr>
          <w:ilvl w:val="0"/>
          <w:numId w:val="3"/>
        </w:numPr>
      </w:pPr>
      <w:r w:rsidRPr="00697D81">
        <w:rPr>
          <w:rStyle w:val="Strong"/>
        </w:rPr>
        <w:t>Community-Based Tourism:</w:t>
      </w:r>
      <w:r w:rsidRPr="00697D81">
        <w:t xml:space="preserve"> In regions like Thailand or Nepal, planners work with local communities to develop recreational activities—like trekking, cultural performances, and homestays—that generate income while respecting cultural practices and minimizing ecological disruption.</w:t>
      </w:r>
    </w:p>
    <w:p w:rsidR="00697D81" w:rsidRPr="00697D81" w:rsidRDefault="00697D81" w:rsidP="00697D81">
      <w:pPr>
        <w:pStyle w:val="NormalWeb"/>
        <w:numPr>
          <w:ilvl w:val="0"/>
          <w:numId w:val="3"/>
        </w:numPr>
      </w:pPr>
      <w:r w:rsidRPr="00697D81">
        <w:rPr>
          <w:rStyle w:val="Strong"/>
        </w:rPr>
        <w:t>Urban Recreational Spaces:</w:t>
      </w:r>
      <w:r w:rsidRPr="00697D81">
        <w:t xml:space="preserve"> Cities integrating green infrastructure and recreational planning—such as parks, riverside walkways, and bike trails—support sustainable urban tourism by providing accessible leisure options that reduce environmental pressures from overdevelopment.</w:t>
      </w:r>
    </w:p>
    <w:p w:rsidR="00697D81" w:rsidRPr="00697D81" w:rsidRDefault="00697D81" w:rsidP="00697D81">
      <w:pPr>
        <w:pStyle w:val="NormalWeb"/>
      </w:pPr>
      <w:r w:rsidRPr="00697D81">
        <w:rPr>
          <w:rStyle w:val="Strong"/>
        </w:rPr>
        <w:t>5. Challenges and Future Directions</w:t>
      </w:r>
    </w:p>
    <w:p w:rsidR="00697D81" w:rsidRPr="00697D81" w:rsidRDefault="00697D81" w:rsidP="00697D81">
      <w:pPr>
        <w:pStyle w:val="NormalWeb"/>
      </w:pPr>
      <w:r w:rsidRPr="00697D81">
        <w:t>Despite the clear nexus, challenges remain in aligning recreational resource planning with sustainable tourism. Rapid urbanization, population growth, and climate change create pressures on resources, while inadequate regulation or planning may lead to overexploitation. Furthermore, balancing commercial tourism objectives with environmental and social responsibility requires effective policy frameworks, stakeholder engagement, and continuous monitoring.</w:t>
      </w:r>
    </w:p>
    <w:p w:rsidR="00697D81" w:rsidRPr="00697D81" w:rsidRDefault="00697D81" w:rsidP="00697D81">
      <w:pPr>
        <w:pStyle w:val="NormalWeb"/>
      </w:pPr>
      <w:r w:rsidRPr="00697D81">
        <w:t>Future strategies involve adopting integrated planning approaches, including Geographic Information Systems (GIS) for resource mapping, participatory planning involving local communities, and the promotion of eco-certification programs for tourism operators. Emphasis on education and awareness among tourists regarding responsible recreation is also essential to sustaining both resources and local livelihoods.</w:t>
      </w:r>
    </w:p>
    <w:p w:rsidR="00697D81" w:rsidRPr="00697D81" w:rsidRDefault="00697D81" w:rsidP="00697D81">
      <w:pPr>
        <w:pStyle w:val="NormalWeb"/>
      </w:pPr>
      <w:r w:rsidRPr="00697D81">
        <w:rPr>
          <w:rStyle w:val="Strong"/>
        </w:rPr>
        <w:t>Conclusion</w:t>
      </w:r>
    </w:p>
    <w:p w:rsidR="00697D81" w:rsidRPr="00697D81" w:rsidRDefault="00697D81" w:rsidP="00697D81">
      <w:pPr>
        <w:pStyle w:val="NormalWeb"/>
      </w:pPr>
      <w:r w:rsidRPr="00697D81">
        <w:t>The nexus between recreational resource planning and sustainable tourism lies in their shared goal of promoting human enjoyment while safeguarding natural and cultural resources. Effective recreational resource planning ensures the sustainable use of resources through careful assessment, zoning, and facility design, while sustainable tourism provides a framework for responsible engagement with these resources. Together, they contribute to environmental conservation, socio-cultural preservation, and economic development, forming the foundation for a balanced, resilient, and long-term approach to leisure, recreation, and tourism.</w:t>
      </w:r>
    </w:p>
    <w:p w:rsidR="00903466" w:rsidRPr="00697D81" w:rsidRDefault="00903466" w:rsidP="00697D81">
      <w:pPr>
        <w:rPr>
          <w:rFonts w:ascii="Times New Roman" w:hAnsi="Times New Roman" w:cs="Times New Roman"/>
          <w:lang w:val="en-US"/>
        </w:rPr>
      </w:pPr>
    </w:p>
    <w:sectPr w:rsidR="00903466" w:rsidRPr="00697D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AB49B96A-DC37-4E1C-B403-79FBF6D6BD39}"/>
    <w:embedBold r:id="rId2" w:fontKey="{3663BE57-D3D6-424F-A7C1-97EFDD7A9F31}"/>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2E4BF30D-17E2-4325-9AB1-ED28D425C9B9}"/>
  </w:font>
  <w:font w:name="Calibri Light">
    <w:panose1 w:val="020F0302020204030204"/>
    <w:charset w:val="00"/>
    <w:family w:val="swiss"/>
    <w:pitch w:val="variable"/>
    <w:sig w:usb0="E4002EFF" w:usb1="C200247B" w:usb2="00000009" w:usb3="00000000" w:csb0="000001FF" w:csb1="00000000"/>
    <w:embedRegular r:id="rId4" w:fontKey="{C76078B8-0424-4895-A96D-BE7B0BDA33BF}"/>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531662"/>
    <w:multiLevelType w:val="multilevel"/>
    <w:tmpl w:val="E6F6F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D50DA3"/>
    <w:multiLevelType w:val="multilevel"/>
    <w:tmpl w:val="C624F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4442511"/>
    <w:multiLevelType w:val="hybridMultilevel"/>
    <w:tmpl w:val="524A785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504D"/>
    <w:rsid w:val="0003533E"/>
    <w:rsid w:val="001700EC"/>
    <w:rsid w:val="00174BB1"/>
    <w:rsid w:val="0019504D"/>
    <w:rsid w:val="00224FD9"/>
    <w:rsid w:val="002F4AE0"/>
    <w:rsid w:val="00384E8A"/>
    <w:rsid w:val="003D1074"/>
    <w:rsid w:val="00426865"/>
    <w:rsid w:val="00477CAA"/>
    <w:rsid w:val="00502E29"/>
    <w:rsid w:val="005E458B"/>
    <w:rsid w:val="00697D81"/>
    <w:rsid w:val="006D6A3E"/>
    <w:rsid w:val="00844EC2"/>
    <w:rsid w:val="008516FE"/>
    <w:rsid w:val="00903466"/>
    <w:rsid w:val="009C1D0A"/>
    <w:rsid w:val="00A044F7"/>
    <w:rsid w:val="00A8150E"/>
    <w:rsid w:val="00A95CBF"/>
    <w:rsid w:val="00B20343"/>
    <w:rsid w:val="00B85EA7"/>
    <w:rsid w:val="00BD5EF8"/>
    <w:rsid w:val="00BE65DD"/>
    <w:rsid w:val="00C612A4"/>
    <w:rsid w:val="00CC6AD1"/>
    <w:rsid w:val="00CD620A"/>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C57A6"/>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697D81"/>
    <w:pPr>
      <w:keepNext/>
      <w:keepLines/>
      <w:spacing w:before="40" w:line="276" w:lineRule="auto"/>
      <w:outlineLvl w:val="2"/>
    </w:pPr>
    <w:rPr>
      <w:rFonts w:ascii="Times New Roman" w:eastAsiaTheme="majorEastAsia" w:hAnsi="Times New Roman" w:cs="Times New Roman"/>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697D81"/>
    <w:rPr>
      <w:rFonts w:ascii="Times New Roman" w:eastAsiaTheme="majorEastAsia" w:hAnsi="Times New Roman" w:cs="Times New Roman"/>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BD5EF8"/>
    <w:pPr>
      <w:ind w:left="720"/>
      <w:contextualSpacing/>
    </w:pPr>
  </w:style>
  <w:style w:type="paragraph" w:styleId="NormalWeb">
    <w:name w:val="Normal (Web)"/>
    <w:basedOn w:val="Normal"/>
    <w:uiPriority w:val="99"/>
    <w:semiHidden/>
    <w:unhideWhenUsed/>
    <w:rsid w:val="00697D81"/>
    <w:pPr>
      <w:spacing w:before="100" w:beforeAutospacing="1" w:after="100" w:afterAutospacing="1"/>
    </w:pPr>
    <w:rPr>
      <w:rFonts w:ascii="Times New Roman" w:eastAsia="Times New Roman" w:hAnsi="Times New Roman" w:cs="Times New Roman"/>
      <w:kern w:val="0"/>
      <w:lang w:val="en-US"/>
      <w14:ligatures w14:val="none"/>
    </w:rPr>
  </w:style>
  <w:style w:type="character" w:styleId="Strong">
    <w:name w:val="Strong"/>
    <w:basedOn w:val="DefaultParagraphFont"/>
    <w:uiPriority w:val="22"/>
    <w:qFormat/>
    <w:rsid w:val="00697D8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868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1146</Words>
  <Characters>6538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Talha Alvi</cp:lastModifiedBy>
  <cp:revision>2</cp:revision>
  <dcterms:created xsi:type="dcterms:W3CDTF">2025-12-24T16:27:00Z</dcterms:created>
  <dcterms:modified xsi:type="dcterms:W3CDTF">2025-12-24T16:27:00Z</dcterms:modified>
</cp:coreProperties>
</file>