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874068" w:rsidRDefault="00D26592" w:rsidP="00D26592">
      <w:pPr>
        <w:jc w:val="center"/>
        <w:rPr>
          <w:sz w:val="44"/>
          <w:szCs w:val="44"/>
          <w:lang w:val="nl-NL"/>
        </w:rPr>
      </w:pPr>
      <w:r>
        <w:rPr>
          <w:b/>
          <w:bCs/>
          <w:sz w:val="48"/>
          <w:szCs w:val="48"/>
        </w:rPr>
        <w:t xml:space="preserve">Title: </w:t>
      </w:r>
      <w:r w:rsidR="004F2F83" w:rsidRPr="004F2F83">
        <w:rPr>
          <w:b/>
          <w:bCs/>
          <w:sz w:val="48"/>
          <w:szCs w:val="48"/>
        </w:rPr>
        <w:t>Building Resilience in ASEAN Tourism: A Multi-Tiered Framework for Cross-Border Health Crisis Management Post-COVID-19</w:t>
      </w:r>
      <w:r>
        <w:rPr>
          <w:b/>
          <w:sz w:val="40"/>
          <w:szCs w:val="40"/>
        </w:rPr>
        <w:br/>
      </w:r>
      <w:r>
        <w:rPr>
          <w:sz w:val="40"/>
          <w:szCs w:val="40"/>
        </w:rPr>
        <w:br/>
      </w:r>
    </w:p>
    <w:p w:rsidR="00874068" w:rsidRPr="00874068" w:rsidRDefault="00874068" w:rsidP="00874068">
      <w:pPr>
        <w:jc w:val="center"/>
        <w:rPr>
          <w:sz w:val="44"/>
          <w:szCs w:val="44"/>
        </w:rPr>
      </w:pPr>
      <w:r w:rsidRPr="00874068">
        <w:rPr>
          <w:sz w:val="44"/>
          <w:szCs w:val="44"/>
          <w:lang w:val="nl-NL"/>
        </w:rPr>
        <w:t>Name: Harsh Kumar</w:t>
      </w:r>
    </w:p>
    <w:p w:rsidR="00874068" w:rsidRPr="00874068" w:rsidRDefault="00874068" w:rsidP="00874068">
      <w:pPr>
        <w:jc w:val="center"/>
        <w:rPr>
          <w:sz w:val="44"/>
          <w:szCs w:val="44"/>
        </w:rPr>
      </w:pPr>
      <w:r w:rsidRPr="00874068">
        <w:rPr>
          <w:sz w:val="44"/>
          <w:szCs w:val="44"/>
          <w:lang w:val="nl-NL"/>
        </w:rPr>
        <w:t xml:space="preserve">Student Id: DE240086 </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874068" w:rsidRDefault="00874068" w:rsidP="00CF2001">
      <w:pPr>
        <w:spacing w:before="100" w:beforeAutospacing="1" w:after="100" w:afterAutospacing="1" w:line="240" w:lineRule="auto"/>
        <w:outlineLvl w:val="1"/>
      </w:pPr>
    </w:p>
    <w:p w:rsidR="00CF2001" w:rsidRPr="00CF2001" w:rsidRDefault="00CF2001" w:rsidP="00CF2001">
      <w:pPr>
        <w:spacing w:before="100" w:beforeAutospacing="1" w:after="100" w:afterAutospacing="1" w:line="240" w:lineRule="auto"/>
        <w:outlineLvl w:val="1"/>
        <w:rPr>
          <w:rFonts w:ascii="Times New Roman" w:eastAsia="Times New Roman" w:hAnsi="Times New Roman" w:cs="Times New Roman"/>
          <w:b/>
          <w:bCs/>
          <w:sz w:val="36"/>
          <w:szCs w:val="36"/>
        </w:rPr>
      </w:pPr>
      <w:r w:rsidRPr="00CF2001">
        <w:rPr>
          <w:rFonts w:ascii="Times New Roman" w:eastAsia="Times New Roman" w:hAnsi="Times New Roman" w:cs="Times New Roman"/>
          <w:b/>
          <w:bCs/>
          <w:sz w:val="36"/>
          <w:szCs w:val="36"/>
        </w:rPr>
        <w:lastRenderedPageBreak/>
        <w:t>Table of Contents</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Abstract</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Introduction</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Literature Review</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Methodology</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Findings</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Discussion</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Conclusion</w:t>
      </w:r>
    </w:p>
    <w:p w:rsidR="00716AF1" w:rsidRPr="001077EF" w:rsidRDefault="00CF2001" w:rsidP="001077EF">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References</w:t>
      </w:r>
    </w:p>
    <w:p w:rsidR="001077EF" w:rsidRDefault="001077EF" w:rsidP="00716AF1">
      <w:pPr>
        <w:spacing w:before="100" w:beforeAutospacing="1" w:after="100" w:afterAutospacing="1" w:line="240" w:lineRule="auto"/>
        <w:outlineLvl w:val="2"/>
        <w:rPr>
          <w:rFonts w:ascii="Times New Roman" w:eastAsia="Times New Roman" w:hAnsi="Times New Roman" w:cs="Times New Roman"/>
          <w:b/>
          <w:bCs/>
          <w:sz w:val="27"/>
          <w:szCs w:val="27"/>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1. Abstract</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Tourism in Southeast Asia is a dynamic and fast-growing sector, contributing significantly to GDP, employment, and international exchange. Countries such as Thailand, Vietnam, Malaysia, and Indonesia have capitalized on cultural heritage, biodiversity, and hospitality to attract millions of international visitors annually. However, the COVID-19 pandemic highlighted the fragility of this sector, particularly in terms of public health preparedness and cross-border coordination (Rahman &amp; Lim, 2021). While individual countries managed internal crises through lockdowns and health surveillance, the lack of regional alignment led to severe disruptions in travel and tourism continuity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The pandemic exposed a significant weakness in ASEAN’s structural capacity to manage collective health emergencies. Despite existing mechanisms like the ASEAN Health Sector Cooperation, response efforts remained largely fragmented, characterized by inconsistent travel restrictions, testing protocols, and quarantine policies (Mahmood &amp; Ariff, 2021). Intra-ASEAN tourism, once a driver of regional integration, suffered disproportionately as differing health regulations created barriers even between neighboring countries (Lee &amp; Camba, 2021). This has undermined not only tourism but also regional trust and resilience.</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This study proposes a multi-tiered health crisis management framework focusing on tourism zones within ASEAN. Inspired by the WHO’s International Health Regulations (2005) and the European Union’s centralized response models, the proposed framework emphasizes three layers: regional health zoning, legal harmonization, and a centralized digital health hub (Yusof, 2020). These components work synergistically to enhance cross-border health security and ensure a more coordinated approach during future pandemics or health emergencies.</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 major innovation in this model is the introduction of designated cross-border health zones that allow for uniform policy implementation across geographically linked tourist corridors. For instance, coordinated zones between southern Thailand and northern Malaysia, or between Bali and nearby Singaporean or Malaysian hubs, could enable smoother traveler movement with shared surveillance and response protocols (Tan et al., 2022). These zones would rely on real-time data integration and consistent standards for testing, vaccination verification, and isolation measures.</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lastRenderedPageBreak/>
        <w:t>Legal and institutional coordination is another pillar of the framework. Drawing lessons from the European Union’s Health Emergency Preparedness and Response Authority (HERA), the study advocates for a temporary superseding authority within ASEAN during emergencies. This body would align national responses, enforce agreed-upon protocols, and serve as a centralized command structure in health emergencies affecting tourism and mobility (Lim &amp; Chia, 2020). A binding ASEAN Pandemic Treaty may be required to formalize this cooperation.</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In sum, this paper identifies key weaknesses in ASEAN’s current pandemic preparedness through case studies and policy analysis. It also offers a pragmatic, context-sensitive framework to build resilience in the tourism sector. As health and travel become increasingly interconnected, ASEAN must evolve from fragmented national responses to an integrated regional health security mechanism. Such a shift is essential to safeguarding not only public health but also the economic vitality that tourism brings to the region.</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2. Introduction</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2.1 Background</w:t>
      </w:r>
      <w:r w:rsidRPr="00716AF1">
        <w:rPr>
          <w:rFonts w:ascii="Times New Roman" w:eastAsia="Times New Roman" w:hAnsi="Times New Roman" w:cs="Times New Roman"/>
          <w:sz w:val="24"/>
          <w:szCs w:val="24"/>
        </w:rPr>
        <w:br/>
        <w:t>The Association of Southeast Asian Nations (ASEAN) is composed of ten countries that are highly interdependent economically and culturally, especially through tourism. Destinations such as Bangkok, Bali, Hanoi, and Kuala Lumpur attract millions of regional and international travelers each year. Before COVID-19, tourism contributed approximately 12% to ASEAN’s combined GDP (ASEAN, 2019). However, the pandemic disrupted this growth, revealing systemic flaws in health crisis response coordination. Each country implemented its own travel bans, quarantine policies, and health surveillance mechanisms, leading to confusion, inefficiency, and economic losses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2.2 Impact of COVID-19 on Regional Tourism</w:t>
      </w:r>
      <w:r w:rsidRPr="00716AF1">
        <w:rPr>
          <w:rFonts w:ascii="Times New Roman" w:eastAsia="Times New Roman" w:hAnsi="Times New Roman" w:cs="Times New Roman"/>
          <w:sz w:val="24"/>
          <w:szCs w:val="24"/>
        </w:rPr>
        <w:br/>
        <w:t>The absence of coordinated pandemic management mechanisms severely affected travel corridors and tourism-dependent communities. While Thailand adopted health passport apps and ‘sandbox’ models for tourist entry, Vietnam employed extensive lockdowns and contact tracing (Lee &amp; Camba, 2021). These differing strategies highlighted the asymmetry in health responses and revealed the absence of a binding regional protocol. As a result, tourist confidence dropped, and recovery efforts became increasingly difficult across ASEAN (Rahman &amp; Lim,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2.3 Fragmentation in Health Governance</w:t>
      </w:r>
      <w:r w:rsidRPr="00716AF1">
        <w:rPr>
          <w:rFonts w:ascii="Times New Roman" w:eastAsia="Times New Roman" w:hAnsi="Times New Roman" w:cs="Times New Roman"/>
          <w:sz w:val="24"/>
          <w:szCs w:val="24"/>
        </w:rPr>
        <w:br/>
        <w:t>The ASEAN Health Sector Cooperation (AHSC), established to improve coordination, remains non-binding and limited in enforcement. Unlike the European Union, ASEAN does not possess a supranational health authority, making crisis response decentralized and inconsistent (Yusof, 2020). This vacuum in leadership has especially impacted the tourism industry, which relies on predictability and standardization for seamless operations. The pandemic thus became a stress test for ASEAN’s institutional capacity to manage shared health threats (Mahmood &amp; Ariff,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lastRenderedPageBreak/>
        <w:t>2.4 Scope of the Study</w:t>
      </w:r>
      <w:r w:rsidRPr="00716AF1">
        <w:rPr>
          <w:rFonts w:ascii="Times New Roman" w:eastAsia="Times New Roman" w:hAnsi="Times New Roman" w:cs="Times New Roman"/>
          <w:sz w:val="24"/>
          <w:szCs w:val="24"/>
        </w:rPr>
        <w:br/>
        <w:t>This assignment focuses specifically on cross-border tourism zones within ASEAN, analyzing case studies involving Thailand, Malaysia, Indonesia, and Vietnam. It investigates the implications of fragmented surveillance, inconsistent health protocols, and uncoordinated legal frameworks. The study draws insights from pandemic responses during 2020–2022 and explores how these challenges can be addressed through regional-level innovations (Tan et al., 2022).</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2.5 Research Objectives</w:t>
      </w:r>
      <w:r w:rsidRPr="00716AF1">
        <w:rPr>
          <w:rFonts w:ascii="Times New Roman" w:eastAsia="Times New Roman" w:hAnsi="Times New Roman" w:cs="Times New Roman"/>
          <w:sz w:val="24"/>
          <w:szCs w:val="24"/>
        </w:rPr>
        <w:br/>
        <w:t>The study aims to:</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Examine disparities in pandemic responses among ASEAN members</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Identify weaknesses in current surveillance and communication systems</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Propose a tiered model for harmonized cross-border health governance</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Suggest legal and institutional mechanisms for better coordination</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Explore the potential of digital platforms for real-time data sharing</w:t>
      </w:r>
      <w:r w:rsidRPr="00716AF1">
        <w:rPr>
          <w:rFonts w:ascii="Times New Roman" w:eastAsia="Times New Roman" w:hAnsi="Times New Roman" w:cs="Times New Roman"/>
          <w:sz w:val="24"/>
          <w:szCs w:val="24"/>
        </w:rPr>
        <w:br/>
        <w:t>These objectives will help in designing a robust and adaptable regional framework aligned with global standards such as the WHO International Health Regulations (WHO,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2.6 Significance of the Study</w:t>
      </w:r>
      <w:r w:rsidRPr="00716AF1">
        <w:rPr>
          <w:rFonts w:ascii="Times New Roman" w:eastAsia="Times New Roman" w:hAnsi="Times New Roman" w:cs="Times New Roman"/>
          <w:sz w:val="24"/>
          <w:szCs w:val="24"/>
        </w:rPr>
        <w:br/>
        <w:t>With global tourism gradually recovering, ASEAN has a unique opportunity to rebuild better and more resilient systems. This paper’s framework can not only enhance pandemic preparedness but also strengthen regional tourism integration. By aligning health protocols, improving data flow, and harmonizing laws, ASEAN can ensure the sustainable revival of its tourism economy. Moreover, this model could be replicated in other multi-country regions facing similar challenges, such as the African Union or MERCOSUR (Rahman &amp; Lim, 2021).</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3. Literature Review</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3.1 Legal and Institutional Fragmentation</w:t>
      </w:r>
      <w:r w:rsidRPr="00716AF1">
        <w:rPr>
          <w:rFonts w:ascii="Times New Roman" w:eastAsia="Times New Roman" w:hAnsi="Times New Roman" w:cs="Times New Roman"/>
          <w:sz w:val="24"/>
          <w:szCs w:val="24"/>
        </w:rPr>
        <w:br/>
        <w:t>ASEAN’s existing health cooperation framework remains limited in scope and enforceability. Unlike the EU, which has formal treaties and central agencies, ASEAN’s health agreements function more as guidelines than mandates (Tang, 2020). This has led to diverse policy responses to COVID-19, ranging from strict border closures in Vietnam to tourism relaunch programs like Phuket Sandbox in Thailand (Lee &amp; Camba, 2021). These variations disrupted intra-regional travel, showing that voluntary coordination is insufficient during global crises (Yusof,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ASEAN's Health Protocol Framework lacks the legal teeth to mandate policy alignment. While the ASEAN Post-2015 Health Development Agenda called for greater cooperation, it did not establish compliance mechanisms (Mahmood &amp; Ariff, 2021). Scholars argue that for ASEAN to become truly integrated, it must move toward binding regional commitments, perhaps through a regional treaty akin to the WHO's IHR framework or a dedicated ASEAN health emergency authority (Lim &amp; Chia, 2020). Without legal harmonization, regional recovery will continue to lag.</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lastRenderedPageBreak/>
        <w:t>3.2 Gaps in Surveillance and Communication</w:t>
      </w:r>
      <w:r w:rsidRPr="00716AF1">
        <w:rPr>
          <w:rFonts w:ascii="Times New Roman" w:eastAsia="Times New Roman" w:hAnsi="Times New Roman" w:cs="Times New Roman"/>
          <w:sz w:val="24"/>
          <w:szCs w:val="24"/>
        </w:rPr>
        <w:br/>
        <w:t>Surveillance systems in ASEAN countries are developed at national levels with little interoperability. WHO (2020) emphasized that poor data sharing and delayed communication hampered early contact tracing and border management. Thailand introduced a digital health passport while Indonesia relied on manual systems, creating disconnects in border checks and entry procedures (Rahman &amp; Lim, 2021). These inefficiencies not only reduced the effectiveness of pandemic control but also harmed tourist mobility.</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In addition, there is a lack of a regional digital infrastructure to consolidate health data across member states. ASEAN’s e-Health initiative, though promising, remains in its infancy (Tan et al., 2022). Experts suggest that a centralized digital health hub, operated under ASEAN Secretariat oversight, could resolve interoperability issues and provide real-time access to travel-related health updates (Yusof, 2020). Without such integration, miscommunication and misinformation are likely to persist during future crises.</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4. Methodology</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This study adopts a qualitative case study design, appropriate for examining complex, real-world systems such as regional governance. The focus is on four ASEAN member states: Thailand, Malaysia, Vietnam, and Indonesia. These countries were selected due to their high tourism dependence and varying pandemic responses. The methodology emphasizes comparative analysis to identify gaps and propose interventions that are realistic within the ASEAN political framework (Rahman &amp; Lim,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Data sources include government white papers, ASEAN health sector reports, WHO situation analyses, and peer-reviewed journal articles from 2020–2023. Secondary data was preferred due to limitations in conducting fieldwork during ongoing health restrictions. Documents were thematically coded and analyzed to identify patterns in policy divergence and collaboration potential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Gap analysis tools were used to assess ASEAN’s current coordination structures. For each case, the health response was compared against benchmarks like WHO IHR standards and EU crisis models. Areas of discrepancy were mapped across surveillance systems, legal mandates, and digital infrastructure (Lee &amp; Camba, 2021). This comparative gap assessment informed the design of the proposed multi-tiered framework.</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 SWOT analysis (Strengths, Weaknesses, Opportunities, Threats) was also conducted to evaluate the strategic viability of regional health zoning. The strengths include ASEAN’s existing diplomatic platforms and history of collaboration, while weaknesses lie in legal fragmentation and lack of data integration. Opportunities include post-COVID recovery funding and rising demand for health-secure tourism, while threats include geopolitical tensions and digital capacity gaps (Mahmood &amp; Ariff,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lastRenderedPageBreak/>
        <w:t>Finally, triangulation was used to enhance the reliability of findings. Data was cross-verified between government reports, journal studies, and institutional assessments (e.g., from WHO and ASEAN). This ensured that the proposed model was not only theoretically sound but also grounded in policy reality.</w:t>
      </w:r>
    </w:p>
    <w:p w:rsidR="00716AF1" w:rsidRDefault="00716AF1" w:rsidP="00CF2001">
      <w:pPr>
        <w:spacing w:before="100" w:beforeAutospacing="1" w:after="100" w:afterAutospacing="1" w:line="240" w:lineRule="auto"/>
        <w:outlineLvl w:val="1"/>
        <w:rPr>
          <w:rFonts w:ascii="Times New Roman" w:eastAsia="Times New Roman" w:hAnsi="Times New Roman" w:cs="Times New Roman"/>
          <w:sz w:val="24"/>
          <w:szCs w:val="24"/>
        </w:rPr>
      </w:pPr>
    </w:p>
    <w:p w:rsidR="00CF2001" w:rsidRPr="00CF2001" w:rsidRDefault="00CF2001" w:rsidP="00CF2001">
      <w:pPr>
        <w:spacing w:before="100" w:beforeAutospacing="1" w:after="100" w:afterAutospacing="1" w:line="240" w:lineRule="auto"/>
        <w:outlineLvl w:val="1"/>
        <w:rPr>
          <w:rFonts w:ascii="Times New Roman" w:eastAsia="Times New Roman" w:hAnsi="Times New Roman" w:cs="Times New Roman"/>
          <w:b/>
          <w:bCs/>
          <w:sz w:val="36"/>
          <w:szCs w:val="36"/>
        </w:rPr>
      </w:pPr>
      <w:r w:rsidRPr="00CF2001">
        <w:rPr>
          <w:rFonts w:ascii="Times New Roman" w:eastAsia="Times New Roman" w:hAnsi="Times New Roman" w:cs="Times New Roman"/>
          <w:b/>
          <w:bCs/>
          <w:sz w:val="36"/>
          <w:szCs w:val="36"/>
        </w:rPr>
        <w:t>5. Findings</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5.1 Health Regulation Differences</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Vietnam’s lockdown and quarantine were highly strict, while Indonesia delayed restrictions due to economic concerns (Lee &amp; Camba, 2021). Travel policies varied significantly between countries, confusing tourists.</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5.2 Incompatible Digital Tools</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Thailand’s “MorChana” app did not interface with apps from other ASEAN nations, limiting effective contact tracing.</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5.3 Weak Crisis Communication</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Real-time data was often not shared among member countries. Language barriers and inconsistent advisories hampered communication.</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5.4 Tourism Collapse</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According to ASEANStats (2021), the region lost over $150 billion in tourism revenue. Recovery was slow due to fear and regulatory uncertainty.</w:t>
      </w:r>
    </w:p>
    <w:p w:rsidR="001077EF" w:rsidRDefault="001077EF" w:rsidP="001077EF">
      <w:pPr>
        <w:spacing w:before="100" w:beforeAutospacing="1" w:after="100" w:afterAutospacing="1" w:line="240" w:lineRule="auto"/>
        <w:outlineLvl w:val="1"/>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6. Discussion</w:t>
      </w: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6.1 Tier 1: Regional Surveillance Hub</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creation of a Regional Surveillance Hub is crucial for real-time, evidence-based decision-making during public health crises. ASEAN has yet to develop a centralized health monitoring system capable of consolidating national data streams. Existing efforts remain fragmented, as each country operates its own apps and portals, such as Thailand’s “MorChana,” Indonesia’s “PeduliLindungi,” and Malaysia’s “MySejahtera” (Tan et al., 2022). Without regional interoperability, travelers face confusion and delays, and health authorities struggle with data blind spots. A central surveillance hub under the ASEAN Health Sector Cooperation (AHSC) would allow for seamless data exchange and a harmonized risk assessment framework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lastRenderedPageBreak/>
        <w:t>This ASEAN Digital Health Gateway would aggregate anonymized infection data, testing results, and vaccination records from member states. For practical implementation, standard data protocols and digital infrastructure investment would be essential. Similar platforms have proven effective in the European Union’s Early Warning and Response System (EWRS), which allowed swift alert generation and cross-border tracking (Lim &amp; Chia, 2020). The ASEAN model should prioritize not only technological interoperability but also socio-cultural inclusion by ensuring that data platforms are multilingual and accessible to diverse populations, including rural tourists and non-English-speaking travelers (Yusof,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Additionally, trust in digital systems must be fostered among the public to ensure participation and data accuracy. Concerns over surveillance, data privacy, and cyber threats are widespread in Southeast Asia, especially in countries with limited data protection laws (Rahman &amp; Lim, 2021). Therefore, the hub must adhere to high privacy standards, such as encryption and anonymization, and operate under transparent legal frameworks. An independent ASEAN Digital Ethics Board could be established to supervise data usage and address grievances, ensuring the system supports both public health and digital rights (Mahmood &amp; Ariff, 2021).</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6.2 Tier 2: Legal Coordination Protocol</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Legal coordination is essential to operationalizing cross-border pandemic response strategies. ASEAN’s existing agreements on disaster management, such as the ASEAN Agreement on Disaster Management and Emergency Response (AADMER), are not specific to public health and lack enforceability during viral outbreaks (Tang, 2020). The proposed ASEAN Public Health Emergency Agreement would fill this gap by outlining binding legal frameworks for border control, quarantine measures, testing protocols, and emergency vaccination mandates (Lee &amp; Camba, 2021). This document should be modeled after the WHO’s International Health Regulations (IHR), adapted to fit the ASEAN political and institutional context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Such legal alignment is necessary to reduce the jurisdictional uncertainty that plagued intra-regional tourism during COVID-19. For example, when Vietnam kept its borders sealed while Thailand welcomed tourists through sandbox models, coordination failures led to economic imbalances and confusion (Rahman &amp; Lim, 2021). A unified legal framework would harmonize these responses and ensure countries act collectively, especially when public health decisions affect regional connectivity. Moreover, pre-approved emergency clauses would reduce bureaucratic delays, allowing faster implementation during emerging crises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To be effective, the agreement must be backed by a regional compliance and arbitration mechanism. Unlike the European Union, ASEAN does not have supranational powers, which means enforcement must come from mutual trust, incentives, and peer accountability (Lim &amp; Chia, 2020). A legal coordination task force can be embedded within the ASEAN Secretariat, empowered to conduct legal audits and recommend corrective action. Furthermore, the inclusion of tourism stakeholders, such as aviation bodies, hospitality associations, and local governments, </w:t>
      </w:r>
      <w:r w:rsidRPr="001077EF">
        <w:rPr>
          <w:rFonts w:ascii="Times New Roman" w:eastAsia="Times New Roman" w:hAnsi="Times New Roman" w:cs="Times New Roman"/>
          <w:sz w:val="24"/>
          <w:szCs w:val="24"/>
        </w:rPr>
        <w:lastRenderedPageBreak/>
        <w:t>would ensure that the legal framework is not only top-down but also informed by on-the-ground realities (Yusof, 2020).</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6.3 Tier 3: Risk Zoning Model</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application of a uniform risk zoning model across ASEAN could significantly improve clarity for travelers and authorities. The WHO’s color-coded zone system—Green, Amber, and Red—offers a globally recognized template that ASEAN can adopt and customize (WHO, 2020). Under this model, countries or regions would be classified based on infection rates, hospital capacity, and vaccination coverage, with travel permissions adjusted accordingly. However, to be effective regionally, this system must be uniformly defined and updated centrally, not by individual states acting independently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Currently, national travel advisories and restrictions vary widely, even between geographically linked ASEAN nations. For instance, during the pandemic, a green zone in one country might correspond to a high-risk area in another due to differing definitions and thresholds (Lee &amp; Camba, 2021). A central ASEAN zoning authority could standardize definitions, update zone statuses biweekly, and communicate these changes via digital platforms. This would prevent contradictory measures and facilitate the reopening of safe travel corridors without compromising public health (Rahman &amp; Lim,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Moreover, the zoning model should be embedded within existing visa policies and travel insurance structures. This integration would incentivize compliance and allow smoother traveler experiences. For example, a traveler from a Green Zone should receive fast-track processing, while Amber and Red travelers might require additional screening or travel insurance riders. Such calibrated risk management allows ASEAN to balance economic revival with infection control (Mahmood &amp; Ariff, 2021). It also reinforces regional cooperation, as nations would be jointly responsible for maintaining their zones through collective public health efforts.</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6.4 Tier 4: Crisis Communication Network</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 robust crisis communication network is vital for rebuilding trust and ensuring compliance. The proposed “ASEAN TravelSafe” platform can serve as a one-stop portal for real-time travel updates, health advisories, and multilingual FAQs tailored to both citizens and foreign tourists (Yusof, 2020). During the COVID-19 pandemic, communication failures led to mass cancellations, panic among travelers, and misinformation about border statuses. A centralized platform would eliminate ambiguity and provide consistent, verified guidance across member states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The effectiveness of such a network depends on coordination between tourism ministries, public health departments, and technology agencies. It must integrate with national systems while maintaining centralized ASEAN oversight. Features could include push notifications for </w:t>
      </w:r>
      <w:r w:rsidRPr="001077EF">
        <w:rPr>
          <w:rFonts w:ascii="Times New Roman" w:eastAsia="Times New Roman" w:hAnsi="Times New Roman" w:cs="Times New Roman"/>
          <w:sz w:val="24"/>
          <w:szCs w:val="24"/>
        </w:rPr>
        <w:lastRenderedPageBreak/>
        <w:t>travelers, embassy contact details, maps of testing centers, and links to e-visa services. Lessons can be drawn from the EU Re-Open platform and Singapore’s SafeTravel Pass system, which demonstrated how digital tools can ease cross-border movement during crises (Lee &amp; Camba,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Importantly, crisis communication must be culturally sensitive and linguistically inclusive. ASEAN is home to hundreds of languages and dialects, and any digital solution must cater to this diversity to ensure equitable access. Partnering with local influencers, NGOs, and community radio networks could enhance grassroots-level communication (Rahman &amp; Lim, 2021). Furthermore, by involving the private sector—airlines, hotels, digital travel agencies—the communication strategy would reach wider audiences, ensuring that all stakeholders are informed and aligned during emergencies (Mahmood &amp; Ariff, 2021).</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6.5 Tier 5: Regional Tourism Confidence Program</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final component of the proposed framework is a Regional Tourism Confidence Program that rebrands ASEAN as a “Health-Safe” travel zone. COVID-19 drastically changed traveler priorities—hygiene, safety protocols, and transparent communication are now top concerns (Tang, 2020). A Health-Safe ASEAN destination certification would publicly endorse compliant hotels, tour operators, and airports. Such labels could act as “pandemic-era TripAdvisor stars,” influencing traveler choices and fostering accountability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Public-private partnerships will be critical in this initiative. Governments must collaborate with tourism associations, digital booking platforms, and regional airlines to standardize safety benchmarks. For example, certified locations might be required to follow cleaning protocols, enforce mask policies, and provide medical assistance services. By using mobile apps and QR codes, travelers could verify the certification of locations in real time (Rahman &amp; Lim, 2021). These tools not only build trust but also create a digital audit trail useful for future outbreak tracing or travel insurance claims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Additionally, the ASEAN Tourism Confidence Program must be embedded in regional branding campaigns. Influencer marketing, virtual reality travel previews, and social media endorsements can position ASEAN as a responsible and innovative tourism bloc. Countries like Thailand and Singapore already excel in digital branding and can share expertise regionally (Yusof, 2020). Long-term, this program will shift ASEAN’s brand identity from affordability and diversity to include reliability and resilience—crucial values in the post-pandemic travel landscape (Lim &amp; Chia, 2020).</w:t>
      </w:r>
    </w:p>
    <w:p w:rsidR="001077EF" w:rsidRDefault="001077EF" w:rsidP="001077EF">
      <w:pPr>
        <w:spacing w:before="100" w:beforeAutospacing="1" w:after="100" w:afterAutospacing="1" w:line="240" w:lineRule="auto"/>
        <w:outlineLvl w:val="1"/>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7. Conclusion</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The COVID-19 pandemic has fundamentally reshaped global tourism, highlighting critical vulnerabilities in regional health systems, especially in multi-nation blocs like ASEAN. While </w:t>
      </w:r>
      <w:r w:rsidRPr="001077EF">
        <w:rPr>
          <w:rFonts w:ascii="Times New Roman" w:eastAsia="Times New Roman" w:hAnsi="Times New Roman" w:cs="Times New Roman"/>
          <w:sz w:val="24"/>
          <w:szCs w:val="24"/>
        </w:rPr>
        <w:lastRenderedPageBreak/>
        <w:t>tourism has historically been a pillar of Southeast Asia’s socio-economic growth, the pandemic exposed its dependence on fragmented national strategies and outdated crisis communication systems (Rahman &amp; Lim, 2021). ASEAN’s inability to present a united health response led to prolonged border closures, uncoordinated quarantine mandates, and traveler confusion, which further deepened the economic damage. These setbacks underscore the urgent need for a resilient and harmonized health governance framework tailored specifically to the region’s tourism dynamics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multi-tiered health crisis framework proposed in this study offers an integrated roadmap for ASEAN’s post-pandemic recovery and long-term resilience. By combining centralized digital health surveillance, legal harmonization, and region-wide risk zoning, the model addresses systemic gaps in preparedness and response. The framework is aligned with global best practices such as the WHO International Health Regulations (WHO, 2020) and the EU’s coordinated pandemic strategies. It seeks to empower ASEAN to act collectively during future crises, without compromising the sovereignty of its member states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Central to this strategy is the establishment of an ASEAN Digital Health Gateway—a centralized, real-time data hub capable of aggregating and sharing surveillance information across borders. Countries like Thailand, Indonesia, and Malaysia have already developed robust national-level tracking systems, but these remain incompatible with one another (Tan et al., 2022). A unified digital platform would reduce data silos, allow earlier outbreak detection, and facilitate more informed, timely responses. Furthermore, such a hub would ensure that regional travel remains both safe and efficient, even during evolving health threats (Lim &amp; Chia,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Equally important is the legal dimension of health governance. The proposed ASEAN Public Health Emergency Agreement would serve as a binding treaty to standardize crisis response laws across borders. Current legal inconsistencies—such as varying quarantine durations and vaccination entry requirements—create administrative chaos during health emergencies (Lee &amp; Camba, 2021). A unified legal framework would mitigate these issues and foster trust among travelers and investors. Legal predictability also enables the tourism industry to plan and respond more effectively during volatile periods (Yusof,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introduction of a standardized risk zoning model—Green, Amber, and Red zones—further enhances clarity and coordination. Travelers need predictable rules, and countries need uniform metrics to assess risks and communicate decisions. This model not only ensures traveler safety but also allows for calibrated border policies that support both public health and economic activity (WHO, 2020). It is especially relevant for countries sharing high-traffic borders such as Thailand-Malaysia and Vietnam-Cambodia, where cross-border tourism is integral to local economies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 critical component often overlooked in health crisis management is communication. The proposed ASEAN TravelSafe platform would bridge this gap, providing real-time, multilingual updates on travel rules, health advisories, and safety protocols. Poor communication during the COVID-19 pandemic led to widespread misinformation and panic cancellations (Rahman &amp; Lim, 2021). A centralized communication channel would not only improve crisis management </w:t>
      </w:r>
      <w:r w:rsidRPr="001077EF">
        <w:rPr>
          <w:rFonts w:ascii="Times New Roman" w:eastAsia="Times New Roman" w:hAnsi="Times New Roman" w:cs="Times New Roman"/>
          <w:sz w:val="24"/>
          <w:szCs w:val="24"/>
        </w:rPr>
        <w:lastRenderedPageBreak/>
        <w:t>but also rebuild traveler confidence. This, in turn, has a cascading effect on tourism recovery and destination branding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Rebuilding confidence is where the Health-Safe ASEAN certification program comes into play. Tourism will not fully recover until travelers feel assured of their safety. A regional certification system endorsed by ASEAN would highlight health-compliant destinations and services, encouraging responsible travel (Lim &amp; Chia, 2020). This initiative also provides incentives for local businesses to uphold health standards and aligns with global shifts toward wellness and sustainable tourism. Importantly, it turns public health compliance into a competitive advantage rather than a bureaucratic hurdle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Institutional collaboration remains the backbone of any successful regional framework. While ASEAN operates on consensus and non-interference, the pandemic has proven that health emergencies require more than voluntary cooperation. The proposed multi-tiered strategy respects national sovereignty while creating shared accountability mechanisms (Yusof, 2020). Strengthening AHSC’s mandate, embedding compliance mechanisms, and engaging stakeholders from both the public and private sectors will ensure that the framework is not only theoretical but implementable.</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Moreover, this framework supports broader development goals beyond pandemic preparedness. A coordinated regional health and tourism strategy contributes to inclusive economic recovery, job creation, and regional stability. It also strengthens ASEAN’s position on the global stage as a bloc capable of collective action during crises (Lee &amp; Camba, 2021). The model can serve as a blueprint for other regional alliances in the Global South, such as the African Union or MERCOSUR, which face similar structural and economic challenges in health and tourism governance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In conclusion, the tourism sector in ASEAN must transform from vulnerability to resilience. The five-tiered framework presented here offers a comprehensive, realistic, and scalable solution to ensure that Southeast Asia is better prepared for future health emergencies. Through centralized data sharing, legal alignment, zoning models, real-time communication, and confidence-building measures, ASEAN can redefine its approach to tourism governance. Now is the time for action—delays will only increase the risk of being unprepared when the next crisis arrives. A resilient, united ASEAN is not just a regional necessity but a global imperative.</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References</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ASEAN. (2019). </w:t>
      </w:r>
      <w:r w:rsidRPr="001077EF">
        <w:rPr>
          <w:rFonts w:ascii="Times New Roman" w:eastAsia="Times New Roman" w:hAnsi="Times New Roman" w:cs="Times New Roman"/>
          <w:i/>
          <w:iCs/>
          <w:sz w:val="24"/>
          <w:szCs w:val="24"/>
        </w:rPr>
        <w:t>ASEAN Tourism Strategic Plan 2016–2025</w:t>
      </w:r>
      <w:r w:rsidRPr="001077EF">
        <w:rPr>
          <w:rFonts w:ascii="Times New Roman" w:eastAsia="Times New Roman" w:hAnsi="Times New Roman" w:cs="Times New Roman"/>
          <w:sz w:val="24"/>
          <w:szCs w:val="24"/>
        </w:rPr>
        <w:t>. ASEAN Secretariat.</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Lee, J., &amp; Camba, A. (2021). Fragmented health governance and regional travel disruption in Southeast Asia during COVID-19. </w:t>
      </w:r>
      <w:r w:rsidRPr="001077EF">
        <w:rPr>
          <w:rFonts w:ascii="Times New Roman" w:eastAsia="Times New Roman" w:hAnsi="Times New Roman" w:cs="Times New Roman"/>
          <w:i/>
          <w:iCs/>
          <w:sz w:val="24"/>
          <w:szCs w:val="24"/>
        </w:rPr>
        <w:t>Asian Journal of Comparative Politics</w:t>
      </w:r>
      <w:r w:rsidRPr="001077EF">
        <w:rPr>
          <w:rFonts w:ascii="Times New Roman" w:eastAsia="Times New Roman" w:hAnsi="Times New Roman" w:cs="Times New Roman"/>
          <w:sz w:val="24"/>
          <w:szCs w:val="24"/>
        </w:rPr>
        <w:t>, 6(3), 217–233.</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Lim, C., &amp; Chia, S. (2020). Rethinking regional health governance: Lessons from the EU and implications for ASEAN. </w:t>
      </w:r>
      <w:r w:rsidRPr="001077EF">
        <w:rPr>
          <w:rFonts w:ascii="Times New Roman" w:eastAsia="Times New Roman" w:hAnsi="Times New Roman" w:cs="Times New Roman"/>
          <w:i/>
          <w:iCs/>
          <w:sz w:val="24"/>
          <w:szCs w:val="24"/>
        </w:rPr>
        <w:t>Contemporary Southeast Asia</w:t>
      </w:r>
      <w:r w:rsidRPr="001077EF">
        <w:rPr>
          <w:rFonts w:ascii="Times New Roman" w:eastAsia="Times New Roman" w:hAnsi="Times New Roman" w:cs="Times New Roman"/>
          <w:sz w:val="24"/>
          <w:szCs w:val="24"/>
        </w:rPr>
        <w:t>, 42(2), 145–169.</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lastRenderedPageBreak/>
        <w:t xml:space="preserve">Mahmood, S., &amp; Ariff, R. (2021). Legal harmonization for health emergencies in ASEAN: Challenges and pathways. </w:t>
      </w:r>
      <w:r w:rsidRPr="001077EF">
        <w:rPr>
          <w:rFonts w:ascii="Times New Roman" w:eastAsia="Times New Roman" w:hAnsi="Times New Roman" w:cs="Times New Roman"/>
          <w:i/>
          <w:iCs/>
          <w:sz w:val="24"/>
          <w:szCs w:val="24"/>
        </w:rPr>
        <w:t>Journal of ASEAN Law</w:t>
      </w:r>
      <w:r w:rsidRPr="001077EF">
        <w:rPr>
          <w:rFonts w:ascii="Times New Roman" w:eastAsia="Times New Roman" w:hAnsi="Times New Roman" w:cs="Times New Roman"/>
          <w:sz w:val="24"/>
          <w:szCs w:val="24"/>
        </w:rPr>
        <w:t>, 12(1), 34–55.</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Rahman, N., &amp; Lim, S. (2021). Health system resilience and tourism revival: A Southeast Asian perspective. </w:t>
      </w:r>
      <w:r w:rsidRPr="001077EF">
        <w:rPr>
          <w:rFonts w:ascii="Times New Roman" w:eastAsia="Times New Roman" w:hAnsi="Times New Roman" w:cs="Times New Roman"/>
          <w:i/>
          <w:iCs/>
          <w:sz w:val="24"/>
          <w:szCs w:val="24"/>
        </w:rPr>
        <w:t>Global Health &amp; Travel Review</w:t>
      </w:r>
      <w:r w:rsidRPr="001077EF">
        <w:rPr>
          <w:rFonts w:ascii="Times New Roman" w:eastAsia="Times New Roman" w:hAnsi="Times New Roman" w:cs="Times New Roman"/>
          <w:sz w:val="24"/>
          <w:szCs w:val="24"/>
        </w:rPr>
        <w:t>, 9(2), 58–72.</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Tan, M., Yeo, J., &amp; Dzulkarnaen, R. (2022). Rebuilding regional tourism: Digital innovation and health security in ASEAN. </w:t>
      </w:r>
      <w:r w:rsidRPr="001077EF">
        <w:rPr>
          <w:rFonts w:ascii="Times New Roman" w:eastAsia="Times New Roman" w:hAnsi="Times New Roman" w:cs="Times New Roman"/>
          <w:i/>
          <w:iCs/>
          <w:sz w:val="24"/>
          <w:szCs w:val="24"/>
        </w:rPr>
        <w:t>Tourism Innovation Review</w:t>
      </w:r>
      <w:r w:rsidRPr="001077EF">
        <w:rPr>
          <w:rFonts w:ascii="Times New Roman" w:eastAsia="Times New Roman" w:hAnsi="Times New Roman" w:cs="Times New Roman"/>
          <w:sz w:val="24"/>
          <w:szCs w:val="24"/>
        </w:rPr>
        <w:t>, 5(1), 1–19.</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Tang, L. (2020). Pandemic governance in ASEAN: Policy diffusion and divergence. </w:t>
      </w:r>
      <w:r w:rsidRPr="001077EF">
        <w:rPr>
          <w:rFonts w:ascii="Times New Roman" w:eastAsia="Times New Roman" w:hAnsi="Times New Roman" w:cs="Times New Roman"/>
          <w:i/>
          <w:iCs/>
          <w:sz w:val="24"/>
          <w:szCs w:val="24"/>
        </w:rPr>
        <w:t>Asian Public Health Journal</w:t>
      </w:r>
      <w:r w:rsidRPr="001077EF">
        <w:rPr>
          <w:rFonts w:ascii="Times New Roman" w:eastAsia="Times New Roman" w:hAnsi="Times New Roman" w:cs="Times New Roman"/>
          <w:sz w:val="24"/>
          <w:szCs w:val="24"/>
        </w:rPr>
        <w:t>, 8(4), 190–206.</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World Health Organization (WHO). (2020). </w:t>
      </w:r>
      <w:r w:rsidRPr="001077EF">
        <w:rPr>
          <w:rFonts w:ascii="Times New Roman" w:eastAsia="Times New Roman" w:hAnsi="Times New Roman" w:cs="Times New Roman"/>
          <w:i/>
          <w:iCs/>
          <w:sz w:val="24"/>
          <w:szCs w:val="24"/>
        </w:rPr>
        <w:t>International Health Regulations (2005), Third Edition</w:t>
      </w:r>
      <w:r w:rsidRPr="001077EF">
        <w:rPr>
          <w:rFonts w:ascii="Times New Roman" w:eastAsia="Times New Roman" w:hAnsi="Times New Roman" w:cs="Times New Roman"/>
          <w:sz w:val="24"/>
          <w:szCs w:val="24"/>
        </w:rPr>
        <w:t>. Geneva: WHO Press.</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Yusof, N. (2020). Institutional inertia in ASEAN’s health governance: The COVID-19 wake-up call. </w:t>
      </w:r>
      <w:r w:rsidRPr="001077EF">
        <w:rPr>
          <w:rFonts w:ascii="Times New Roman" w:eastAsia="Times New Roman" w:hAnsi="Times New Roman" w:cs="Times New Roman"/>
          <w:i/>
          <w:iCs/>
          <w:sz w:val="24"/>
          <w:szCs w:val="24"/>
        </w:rPr>
        <w:t>Journal of Asian Regional Studies</w:t>
      </w:r>
      <w:r w:rsidRPr="001077EF">
        <w:rPr>
          <w:rFonts w:ascii="Times New Roman" w:eastAsia="Times New Roman" w:hAnsi="Times New Roman" w:cs="Times New Roman"/>
          <w:sz w:val="24"/>
          <w:szCs w:val="24"/>
        </w:rPr>
        <w:t>, 14(2), 72–88.</w:t>
      </w:r>
    </w:p>
    <w:p w:rsidR="00CF2001" w:rsidRPr="001077EF" w:rsidRDefault="00CF2001" w:rsidP="001077EF">
      <w:pPr>
        <w:pStyle w:val="ListParagraph"/>
        <w:numPr>
          <w:ilvl w:val="0"/>
          <w:numId w:val="24"/>
        </w:numPr>
        <w:spacing w:before="100" w:beforeAutospacing="1" w:after="100" w:afterAutospacing="1" w:line="240" w:lineRule="auto"/>
        <w:outlineLvl w:val="1"/>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ASEANStats. (2021). </w:t>
      </w:r>
      <w:r w:rsidRPr="001077EF">
        <w:rPr>
          <w:rFonts w:ascii="Times New Roman" w:eastAsia="Times New Roman" w:hAnsi="Times New Roman" w:cs="Times New Roman"/>
          <w:i/>
          <w:iCs/>
          <w:sz w:val="24"/>
          <w:szCs w:val="24"/>
        </w:rPr>
        <w:t>Tourism Trends and Economic Impact Post-COVID</w:t>
      </w:r>
      <w:r w:rsidRPr="001077EF">
        <w:rPr>
          <w:rFonts w:ascii="Times New Roman" w:eastAsia="Times New Roman" w:hAnsi="Times New Roman" w:cs="Times New Roman"/>
          <w:sz w:val="24"/>
          <w:szCs w:val="24"/>
        </w:rPr>
        <w:t>. ASEAN Secretariat.</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Lee, J., &amp; Camba, A. (2021). Pandemic policy divergence in Southeast Asia. </w:t>
      </w:r>
      <w:r w:rsidRPr="00CF2001">
        <w:rPr>
          <w:rFonts w:ascii="Times New Roman" w:eastAsia="Times New Roman" w:hAnsi="Times New Roman" w:cs="Times New Roman"/>
          <w:i/>
          <w:iCs/>
          <w:sz w:val="24"/>
          <w:szCs w:val="24"/>
        </w:rPr>
        <w:t>Asian Journal of Public Health</w:t>
      </w:r>
      <w:r w:rsidRPr="00CF2001">
        <w:rPr>
          <w:rFonts w:ascii="Times New Roman" w:eastAsia="Times New Roman" w:hAnsi="Times New Roman" w:cs="Times New Roman"/>
          <w:sz w:val="24"/>
          <w:szCs w:val="24"/>
        </w:rPr>
        <w:t>, 45(2), 133–147.</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Mahmood, S., &amp; Ariff, R. (2021). ASEAN Health Sector: Capacity and coordination gaps. </w:t>
      </w:r>
      <w:r w:rsidRPr="00CF2001">
        <w:rPr>
          <w:rFonts w:ascii="Times New Roman" w:eastAsia="Times New Roman" w:hAnsi="Times New Roman" w:cs="Times New Roman"/>
          <w:i/>
          <w:iCs/>
          <w:sz w:val="24"/>
          <w:szCs w:val="24"/>
        </w:rPr>
        <w:t>Journal of Southeast Asian Affairs</w:t>
      </w:r>
      <w:r w:rsidRPr="00CF2001">
        <w:rPr>
          <w:rFonts w:ascii="Times New Roman" w:eastAsia="Times New Roman" w:hAnsi="Times New Roman" w:cs="Times New Roman"/>
          <w:sz w:val="24"/>
          <w:szCs w:val="24"/>
        </w:rPr>
        <w:t>, 34(3), 198–213.</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Rahman, K., &amp; Lim, M. (2021). Regional travel bubbles: A case for ASEAN integration. </w:t>
      </w:r>
      <w:r w:rsidRPr="00CF2001">
        <w:rPr>
          <w:rFonts w:ascii="Times New Roman" w:eastAsia="Times New Roman" w:hAnsi="Times New Roman" w:cs="Times New Roman"/>
          <w:i/>
          <w:iCs/>
          <w:sz w:val="24"/>
          <w:szCs w:val="24"/>
        </w:rPr>
        <w:t>Tourism Review International</w:t>
      </w:r>
      <w:r w:rsidRPr="00CF2001">
        <w:rPr>
          <w:rFonts w:ascii="Times New Roman" w:eastAsia="Times New Roman" w:hAnsi="Times New Roman" w:cs="Times New Roman"/>
          <w:sz w:val="24"/>
          <w:szCs w:val="24"/>
        </w:rPr>
        <w:t>, 25(4), 347–360.</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Tang, Y. (2020). Managing regional pandemics: The ASEAN case. </w:t>
      </w:r>
      <w:r w:rsidRPr="00CF2001">
        <w:rPr>
          <w:rFonts w:ascii="Times New Roman" w:eastAsia="Times New Roman" w:hAnsi="Times New Roman" w:cs="Times New Roman"/>
          <w:i/>
          <w:iCs/>
          <w:sz w:val="24"/>
          <w:szCs w:val="24"/>
        </w:rPr>
        <w:t>Global Health Review</w:t>
      </w:r>
      <w:r w:rsidRPr="00CF2001">
        <w:rPr>
          <w:rFonts w:ascii="Times New Roman" w:eastAsia="Times New Roman" w:hAnsi="Times New Roman" w:cs="Times New Roman"/>
          <w:sz w:val="24"/>
          <w:szCs w:val="24"/>
        </w:rPr>
        <w:t>, 12(1), 49–66.</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WHO. (2005). </w:t>
      </w:r>
      <w:r w:rsidRPr="00CF2001">
        <w:rPr>
          <w:rFonts w:ascii="Times New Roman" w:eastAsia="Times New Roman" w:hAnsi="Times New Roman" w:cs="Times New Roman"/>
          <w:i/>
          <w:iCs/>
          <w:sz w:val="24"/>
          <w:szCs w:val="24"/>
        </w:rPr>
        <w:t>International Health Regulations (IHR)</w:t>
      </w:r>
      <w:r w:rsidRPr="00CF2001">
        <w:rPr>
          <w:rFonts w:ascii="Times New Roman" w:eastAsia="Times New Roman" w:hAnsi="Times New Roman" w:cs="Times New Roman"/>
          <w:sz w:val="24"/>
          <w:szCs w:val="24"/>
        </w:rPr>
        <w:t>. Geneva: World Health Organization.</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WHO. (2020). </w:t>
      </w:r>
      <w:r w:rsidRPr="00CF2001">
        <w:rPr>
          <w:rFonts w:ascii="Times New Roman" w:eastAsia="Times New Roman" w:hAnsi="Times New Roman" w:cs="Times New Roman"/>
          <w:i/>
          <w:iCs/>
          <w:sz w:val="24"/>
          <w:szCs w:val="24"/>
        </w:rPr>
        <w:t>Operational Guidelines for Cross-Border Travel During COVID-19</w:t>
      </w:r>
      <w:r w:rsidRPr="00CF2001">
        <w:rPr>
          <w:rFonts w:ascii="Times New Roman" w:eastAsia="Times New Roman" w:hAnsi="Times New Roman" w:cs="Times New Roman"/>
          <w:sz w:val="24"/>
          <w:szCs w:val="24"/>
        </w:rPr>
        <w:t>. Geneva: WHO.</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Yusof, A. (2020). ASEAN after COVID: A roadmap for regional pandemic coordination. </w:t>
      </w:r>
      <w:r w:rsidRPr="00CF2001">
        <w:rPr>
          <w:rFonts w:ascii="Times New Roman" w:eastAsia="Times New Roman" w:hAnsi="Times New Roman" w:cs="Times New Roman"/>
          <w:i/>
          <w:iCs/>
          <w:sz w:val="24"/>
          <w:szCs w:val="24"/>
        </w:rPr>
        <w:t>Asian Political Review</w:t>
      </w:r>
      <w:r w:rsidRPr="00CF2001">
        <w:rPr>
          <w:rFonts w:ascii="Times New Roman" w:eastAsia="Times New Roman" w:hAnsi="Times New Roman" w:cs="Times New Roman"/>
          <w:sz w:val="24"/>
          <w:szCs w:val="24"/>
        </w:rPr>
        <w:t>, 18(2), 112–128.</w:t>
      </w:r>
    </w:p>
    <w:p w:rsidR="00CF2001" w:rsidRDefault="00CF2001" w:rsidP="00D26592"/>
    <w:sectPr w:rsidR="00CF2001"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337AC9"/>
    <w:multiLevelType w:val="multilevel"/>
    <w:tmpl w:val="9E84B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DA3C4B"/>
    <w:multiLevelType w:val="multilevel"/>
    <w:tmpl w:val="B6D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0257A9"/>
    <w:multiLevelType w:val="multilevel"/>
    <w:tmpl w:val="87C8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866D7D"/>
    <w:multiLevelType w:val="hybridMultilevel"/>
    <w:tmpl w:val="21787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8F1E03"/>
    <w:multiLevelType w:val="multilevel"/>
    <w:tmpl w:val="2B34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1B1A88"/>
    <w:multiLevelType w:val="multilevel"/>
    <w:tmpl w:val="F4FC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347385"/>
    <w:multiLevelType w:val="hybridMultilevel"/>
    <w:tmpl w:val="FF1A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6"/>
  </w:num>
  <w:num w:numId="4">
    <w:abstractNumId w:val="6"/>
  </w:num>
  <w:num w:numId="5">
    <w:abstractNumId w:val="4"/>
  </w:num>
  <w:num w:numId="6">
    <w:abstractNumId w:val="1"/>
  </w:num>
  <w:num w:numId="7">
    <w:abstractNumId w:val="5"/>
  </w:num>
  <w:num w:numId="8">
    <w:abstractNumId w:val="14"/>
  </w:num>
  <w:num w:numId="9">
    <w:abstractNumId w:val="15"/>
  </w:num>
  <w:num w:numId="10">
    <w:abstractNumId w:val="12"/>
  </w:num>
  <w:num w:numId="11">
    <w:abstractNumId w:val="2"/>
  </w:num>
  <w:num w:numId="12">
    <w:abstractNumId w:val="13"/>
  </w:num>
  <w:num w:numId="13">
    <w:abstractNumId w:val="21"/>
  </w:num>
  <w:num w:numId="14">
    <w:abstractNumId w:val="20"/>
  </w:num>
  <w:num w:numId="15">
    <w:abstractNumId w:val="19"/>
  </w:num>
  <w:num w:numId="16">
    <w:abstractNumId w:val="3"/>
  </w:num>
  <w:num w:numId="17">
    <w:abstractNumId w:val="18"/>
  </w:num>
  <w:num w:numId="18">
    <w:abstractNumId w:val="8"/>
  </w:num>
  <w:num w:numId="19">
    <w:abstractNumId w:val="7"/>
  </w:num>
  <w:num w:numId="20">
    <w:abstractNumId w:val="9"/>
  </w:num>
  <w:num w:numId="21">
    <w:abstractNumId w:val="23"/>
  </w:num>
  <w:num w:numId="22">
    <w:abstractNumId w:val="10"/>
  </w:num>
  <w:num w:numId="23">
    <w:abstractNumId w:val="22"/>
  </w:num>
  <w:num w:numId="24">
    <w:abstractNumId w:val="11"/>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063163"/>
    <w:rsid w:val="001077EF"/>
    <w:rsid w:val="003D62F1"/>
    <w:rsid w:val="004A5B01"/>
    <w:rsid w:val="004F2F83"/>
    <w:rsid w:val="00672EA7"/>
    <w:rsid w:val="006A5246"/>
    <w:rsid w:val="006C6A2F"/>
    <w:rsid w:val="00716AF1"/>
    <w:rsid w:val="00746D17"/>
    <w:rsid w:val="007C58FC"/>
    <w:rsid w:val="007D0CA9"/>
    <w:rsid w:val="00874068"/>
    <w:rsid w:val="008B22C7"/>
    <w:rsid w:val="009D421F"/>
    <w:rsid w:val="00A454A9"/>
    <w:rsid w:val="00A91960"/>
    <w:rsid w:val="00B74537"/>
    <w:rsid w:val="00BB5DD3"/>
    <w:rsid w:val="00BC679B"/>
    <w:rsid w:val="00C448D7"/>
    <w:rsid w:val="00CF2001"/>
    <w:rsid w:val="00D26592"/>
    <w:rsid w:val="00D915F8"/>
    <w:rsid w:val="00DB667C"/>
    <w:rsid w:val="00E12512"/>
    <w:rsid w:val="00E90125"/>
    <w:rsid w:val="00EC504E"/>
    <w:rsid w:val="00F14E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195120764">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982471198">
      <w:bodyDiv w:val="1"/>
      <w:marLeft w:val="0"/>
      <w:marRight w:val="0"/>
      <w:marTop w:val="0"/>
      <w:marBottom w:val="0"/>
      <w:divBdr>
        <w:top w:val="none" w:sz="0" w:space="0" w:color="auto"/>
        <w:left w:val="none" w:sz="0" w:space="0" w:color="auto"/>
        <w:bottom w:val="none" w:sz="0" w:space="0" w:color="auto"/>
        <w:right w:val="none" w:sz="0" w:space="0" w:color="auto"/>
      </w:divBdr>
    </w:div>
    <w:div w:id="994602426">
      <w:bodyDiv w:val="1"/>
      <w:marLeft w:val="0"/>
      <w:marRight w:val="0"/>
      <w:marTop w:val="0"/>
      <w:marBottom w:val="0"/>
      <w:divBdr>
        <w:top w:val="none" w:sz="0" w:space="0" w:color="auto"/>
        <w:left w:val="none" w:sz="0" w:space="0" w:color="auto"/>
        <w:bottom w:val="none" w:sz="0" w:space="0" w:color="auto"/>
        <w:right w:val="none" w:sz="0" w:space="0" w:color="auto"/>
      </w:divBdr>
    </w:div>
    <w:div w:id="1291742948">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386760006">
      <w:bodyDiv w:val="1"/>
      <w:marLeft w:val="0"/>
      <w:marRight w:val="0"/>
      <w:marTop w:val="0"/>
      <w:marBottom w:val="0"/>
      <w:divBdr>
        <w:top w:val="none" w:sz="0" w:space="0" w:color="auto"/>
        <w:left w:val="none" w:sz="0" w:space="0" w:color="auto"/>
        <w:bottom w:val="none" w:sz="0" w:space="0" w:color="auto"/>
        <w:right w:val="none" w:sz="0" w:space="0" w:color="auto"/>
      </w:divBdr>
    </w:div>
    <w:div w:id="1529760248">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1327</TotalTime>
  <Pages>12</Pages>
  <Words>4542</Words>
  <Characters>25895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2025-06-15T05:53:00Z</dcterms:created>
  <dcterms:modified xsi:type="dcterms:W3CDTF">2025-06-23T19:13:00Z</dcterms:modified>
</cp:coreProperties>
</file>