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C07B7" w14:textId="77777777" w:rsidR="0019504D" w:rsidRPr="006077F9" w:rsidRDefault="0019504D" w:rsidP="0019504D">
      <w:pPr>
        <w:rPr>
          <w:rFonts w:asciiTheme="majorBidi" w:hAnsiTheme="majorBidi" w:cstheme="majorBidi"/>
          <w:lang w:val="en-US"/>
        </w:rPr>
      </w:pPr>
      <w:r w:rsidRPr="006077F9">
        <w:rPr>
          <w:rFonts w:asciiTheme="majorBidi" w:hAnsiTheme="majorBidi" w:cstheme="majorBidi"/>
          <w:noProof/>
          <w:lang w:val="en-US"/>
        </w:rPr>
        <w:drawing>
          <wp:anchor distT="0" distB="0" distL="114300" distR="114300" simplePos="0" relativeHeight="251658240" behindDoc="1" locked="0" layoutInCell="1" allowOverlap="1" wp14:anchorId="40A8520A" wp14:editId="14601C2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880CD46" w14:textId="77777777" w:rsidR="00661030" w:rsidRPr="006077F9" w:rsidRDefault="00C21EBA" w:rsidP="00661030">
      <w:pPr>
        <w:rPr>
          <w:rFonts w:asciiTheme="majorBidi" w:hAnsiTheme="majorBidi" w:cstheme="majorBidi"/>
          <w:b/>
          <w:bCs/>
          <w:lang w:val="en-US"/>
        </w:rPr>
      </w:pPr>
      <w:r w:rsidRPr="006077F9">
        <w:rPr>
          <w:rFonts w:asciiTheme="majorBidi" w:hAnsiTheme="majorBidi" w:cstheme="majorBidi"/>
          <w:b/>
          <w:bCs/>
          <w:lang w:val="en-US"/>
        </w:rPr>
        <w:t>Planning</w:t>
      </w:r>
      <w:r w:rsidR="00661030" w:rsidRPr="006077F9">
        <w:rPr>
          <w:rFonts w:asciiTheme="majorBidi" w:hAnsiTheme="majorBidi" w:cstheme="majorBidi"/>
          <w:b/>
          <w:bCs/>
          <w:lang w:val="en-US"/>
        </w:rPr>
        <w:t xml:space="preserve"> and </w:t>
      </w:r>
      <w:r w:rsidRPr="006077F9">
        <w:rPr>
          <w:rFonts w:asciiTheme="majorBidi" w:hAnsiTheme="majorBidi" w:cstheme="majorBidi"/>
          <w:b/>
          <w:bCs/>
          <w:lang w:val="en-US"/>
        </w:rPr>
        <w:t>Management</w:t>
      </w:r>
      <w:r w:rsidR="00661030" w:rsidRPr="006077F9">
        <w:rPr>
          <w:rFonts w:asciiTheme="majorBidi" w:hAnsiTheme="majorBidi" w:cstheme="majorBidi"/>
          <w:b/>
          <w:bCs/>
          <w:lang w:val="en-US"/>
        </w:rPr>
        <w:t xml:space="preserve"> </w:t>
      </w:r>
      <w:r w:rsidRPr="006077F9">
        <w:rPr>
          <w:rFonts w:asciiTheme="majorBidi" w:hAnsiTheme="majorBidi" w:cstheme="majorBidi"/>
          <w:b/>
          <w:bCs/>
          <w:lang w:val="en-US"/>
        </w:rPr>
        <w:t xml:space="preserve">of Sustainable </w:t>
      </w:r>
      <w:r w:rsidR="00661030" w:rsidRPr="006077F9">
        <w:rPr>
          <w:rFonts w:asciiTheme="majorBidi" w:hAnsiTheme="majorBidi" w:cstheme="majorBidi"/>
          <w:b/>
          <w:bCs/>
          <w:lang w:val="en-US"/>
        </w:rPr>
        <w:t>Tourism</w:t>
      </w:r>
      <w:r w:rsidRPr="006077F9">
        <w:rPr>
          <w:rFonts w:asciiTheme="majorBidi" w:hAnsiTheme="majorBidi" w:cstheme="majorBidi"/>
          <w:b/>
          <w:bCs/>
          <w:lang w:val="en-US"/>
        </w:rPr>
        <w:t xml:space="preserve"> Spaces</w:t>
      </w:r>
    </w:p>
    <w:p w14:paraId="604FCF71" w14:textId="77777777" w:rsidR="0019504D" w:rsidRPr="006077F9" w:rsidRDefault="0019504D" w:rsidP="0019504D">
      <w:pPr>
        <w:rPr>
          <w:rFonts w:asciiTheme="majorBidi" w:hAnsiTheme="majorBidi" w:cstheme="majorBidi"/>
          <w:lang w:val="en-US"/>
        </w:rPr>
      </w:pPr>
      <w:r w:rsidRPr="006077F9">
        <w:rPr>
          <w:rFonts w:asciiTheme="majorBidi" w:hAnsiTheme="majorBidi" w:cstheme="majorBidi"/>
          <w:lang w:val="en-US"/>
        </w:rPr>
        <w:t xml:space="preserve">Assignment </w:t>
      </w:r>
      <w:r w:rsidR="005D6F0D" w:rsidRPr="006077F9">
        <w:rPr>
          <w:rFonts w:asciiTheme="majorBidi" w:hAnsiTheme="majorBidi" w:cstheme="majorBidi"/>
          <w:lang w:val="en-US"/>
        </w:rPr>
        <w:t>3</w:t>
      </w:r>
    </w:p>
    <w:p w14:paraId="70D61A28" w14:textId="77777777" w:rsidR="0019504D" w:rsidRPr="006077F9" w:rsidRDefault="005D6F0D" w:rsidP="0019504D">
      <w:pPr>
        <w:rPr>
          <w:rFonts w:asciiTheme="majorBidi" w:hAnsiTheme="majorBidi" w:cstheme="majorBidi"/>
          <w:lang w:val="en-US"/>
        </w:rPr>
      </w:pPr>
      <w:r w:rsidRPr="006077F9">
        <w:rPr>
          <w:rFonts w:asciiTheme="majorBidi" w:hAnsiTheme="majorBidi" w:cstheme="majorBidi"/>
          <w:lang w:val="en-US"/>
        </w:rPr>
        <w:t>22</w:t>
      </w:r>
      <w:r w:rsidR="0019504D" w:rsidRPr="006077F9">
        <w:rPr>
          <w:rFonts w:asciiTheme="majorBidi" w:hAnsiTheme="majorBidi" w:cstheme="majorBidi"/>
          <w:lang w:val="en-US"/>
        </w:rPr>
        <w:t>.0</w:t>
      </w:r>
      <w:r w:rsidR="00661030" w:rsidRPr="006077F9">
        <w:rPr>
          <w:rFonts w:asciiTheme="majorBidi" w:hAnsiTheme="majorBidi" w:cstheme="majorBidi"/>
          <w:lang w:val="en-US"/>
        </w:rPr>
        <w:t>9</w:t>
      </w:r>
      <w:r w:rsidR="0019504D" w:rsidRPr="006077F9">
        <w:rPr>
          <w:rFonts w:asciiTheme="majorBidi" w:hAnsiTheme="majorBidi" w:cstheme="majorBidi"/>
          <w:lang w:val="en-US"/>
        </w:rPr>
        <w:t>.2025</w:t>
      </w:r>
    </w:p>
    <w:p w14:paraId="60B67740" w14:textId="77777777" w:rsidR="0019504D" w:rsidRPr="006077F9" w:rsidRDefault="0019504D">
      <w:pPr>
        <w:rPr>
          <w:rFonts w:asciiTheme="majorBidi" w:hAnsiTheme="majorBidi" w:cstheme="majorBidi"/>
        </w:rPr>
      </w:pPr>
    </w:p>
    <w:p w14:paraId="5309C2DE" w14:textId="77777777" w:rsidR="0019504D" w:rsidRPr="006077F9" w:rsidRDefault="0019504D">
      <w:pPr>
        <w:rPr>
          <w:rFonts w:asciiTheme="majorBidi" w:hAnsiTheme="majorBidi" w:cstheme="majorBidi"/>
        </w:rPr>
      </w:pPr>
    </w:p>
    <w:p w14:paraId="388598B7" w14:textId="77777777" w:rsidR="0019504D" w:rsidRPr="006077F9" w:rsidRDefault="0019504D">
      <w:pPr>
        <w:rPr>
          <w:rFonts w:asciiTheme="majorBidi" w:hAnsiTheme="majorBidi" w:cstheme="majorBidi"/>
        </w:rPr>
      </w:pPr>
    </w:p>
    <w:p w14:paraId="784064B1" w14:textId="77777777" w:rsidR="0019504D" w:rsidRPr="006077F9" w:rsidRDefault="0019504D">
      <w:pPr>
        <w:rPr>
          <w:rFonts w:asciiTheme="majorBidi" w:hAnsiTheme="majorBidi" w:cstheme="majorBidi"/>
        </w:rPr>
      </w:pPr>
    </w:p>
    <w:p w14:paraId="5963CDB0" w14:textId="77777777" w:rsidR="0019504D" w:rsidRPr="006077F9" w:rsidRDefault="0019504D">
      <w:pPr>
        <w:rPr>
          <w:rFonts w:asciiTheme="majorBidi" w:hAnsiTheme="majorBidi" w:cstheme="majorBidi"/>
        </w:rPr>
      </w:pPr>
    </w:p>
    <w:p w14:paraId="64D6CEA6" w14:textId="77777777" w:rsidR="00CD620A" w:rsidRPr="006077F9" w:rsidRDefault="00CD620A">
      <w:pPr>
        <w:rPr>
          <w:rFonts w:asciiTheme="majorBidi" w:hAnsiTheme="majorBidi" w:cstheme="majorBidi"/>
        </w:rPr>
      </w:pPr>
    </w:p>
    <w:p w14:paraId="1FC29DDC" w14:textId="77777777" w:rsidR="00CD620A" w:rsidRPr="006077F9" w:rsidRDefault="00CD620A">
      <w:pPr>
        <w:rPr>
          <w:rFonts w:asciiTheme="majorBidi" w:hAnsiTheme="majorBidi" w:cstheme="majorBidi"/>
        </w:rPr>
      </w:pPr>
    </w:p>
    <w:p w14:paraId="082EB573" w14:textId="77777777" w:rsidR="00CD620A" w:rsidRPr="006077F9" w:rsidRDefault="00CD620A">
      <w:pPr>
        <w:rPr>
          <w:rFonts w:asciiTheme="majorBidi" w:hAnsiTheme="majorBidi" w:cstheme="majorBidi"/>
        </w:rPr>
      </w:pPr>
    </w:p>
    <w:p w14:paraId="02F3BCEC" w14:textId="77777777" w:rsidR="00CD620A" w:rsidRPr="006077F9" w:rsidRDefault="00CD620A">
      <w:pPr>
        <w:rPr>
          <w:rFonts w:asciiTheme="majorBidi" w:hAnsiTheme="majorBidi" w:cstheme="majorBidi"/>
        </w:rPr>
      </w:pPr>
    </w:p>
    <w:p w14:paraId="5BA3496D" w14:textId="77777777" w:rsidR="00CD620A" w:rsidRPr="006077F9" w:rsidRDefault="00CD620A">
      <w:pPr>
        <w:rPr>
          <w:rFonts w:asciiTheme="majorBidi" w:hAnsiTheme="majorBidi" w:cstheme="majorBidi"/>
        </w:rPr>
      </w:pPr>
    </w:p>
    <w:p w14:paraId="2244D46F" w14:textId="77777777" w:rsidR="00EA737F" w:rsidRPr="006077F9" w:rsidRDefault="00EA737F">
      <w:pPr>
        <w:rPr>
          <w:rFonts w:asciiTheme="majorBidi" w:hAnsiTheme="majorBidi" w:cstheme="majorBidi"/>
        </w:rPr>
      </w:pPr>
    </w:p>
    <w:p w14:paraId="45967E24" w14:textId="77777777" w:rsidR="0019504D" w:rsidRPr="006077F9" w:rsidRDefault="0019504D">
      <w:pPr>
        <w:rPr>
          <w:rFonts w:asciiTheme="majorBidi" w:hAnsiTheme="majorBidi" w:cstheme="majorBidi"/>
        </w:rPr>
      </w:pPr>
    </w:p>
    <w:p w14:paraId="3972006C" w14:textId="77777777" w:rsidR="0019504D" w:rsidRPr="006077F9" w:rsidRDefault="0019504D">
      <w:pPr>
        <w:rPr>
          <w:rFonts w:asciiTheme="majorBidi" w:hAnsiTheme="majorBidi" w:cstheme="majorBidi"/>
        </w:rPr>
      </w:pPr>
    </w:p>
    <w:p w14:paraId="658704CD" w14:textId="77777777" w:rsidR="00EA737F" w:rsidRPr="006077F9" w:rsidRDefault="00CD620A" w:rsidP="00EA737F">
      <w:pPr>
        <w:spacing w:line="276" w:lineRule="auto"/>
        <w:rPr>
          <w:rFonts w:asciiTheme="majorBidi" w:hAnsiTheme="majorBidi" w:cstheme="majorBidi"/>
          <w:b/>
          <w:bCs/>
          <w:lang w:val="en-US"/>
        </w:rPr>
      </w:pPr>
      <w:r w:rsidRPr="006077F9">
        <w:rPr>
          <w:rFonts w:asciiTheme="majorBidi" w:hAnsiTheme="majorBidi" w:cstheme="majorBidi"/>
          <w:b/>
          <w:bCs/>
          <w:lang w:val="en-US"/>
        </w:rPr>
        <w:t xml:space="preserve">In no more than </w:t>
      </w:r>
      <w:r w:rsidR="005D6F0D" w:rsidRPr="006077F9">
        <w:rPr>
          <w:rFonts w:asciiTheme="majorBidi" w:hAnsiTheme="majorBidi" w:cstheme="majorBidi"/>
          <w:b/>
          <w:bCs/>
          <w:lang w:val="en-US"/>
        </w:rPr>
        <w:t>1000</w:t>
      </w:r>
      <w:r w:rsidRPr="006077F9">
        <w:rPr>
          <w:rFonts w:asciiTheme="majorBidi" w:hAnsiTheme="majorBidi" w:cstheme="majorBidi"/>
          <w:b/>
          <w:bCs/>
          <w:lang w:val="en-US"/>
        </w:rPr>
        <w:t xml:space="preserve"> words</w:t>
      </w:r>
      <w:r w:rsidR="005D6F0D" w:rsidRPr="006077F9">
        <w:rPr>
          <w:rFonts w:asciiTheme="majorBidi" w:hAnsiTheme="majorBidi" w:cstheme="majorBidi"/>
          <w:b/>
          <w:bCs/>
          <w:lang w:val="en-US"/>
        </w:rPr>
        <w:t xml:space="preserve"> each</w:t>
      </w:r>
      <w:r w:rsidRPr="006077F9">
        <w:rPr>
          <w:rFonts w:asciiTheme="majorBidi" w:hAnsiTheme="majorBidi" w:cstheme="majorBidi"/>
          <w:b/>
          <w:bCs/>
          <w:lang w:val="en-US"/>
        </w:rPr>
        <w:t xml:space="preserve">, </w:t>
      </w:r>
    </w:p>
    <w:p w14:paraId="07D016F3" w14:textId="77777777" w:rsidR="00EA737F" w:rsidRPr="006077F9" w:rsidRDefault="00EA737F" w:rsidP="00EA737F">
      <w:pPr>
        <w:spacing w:line="276" w:lineRule="auto"/>
        <w:rPr>
          <w:rFonts w:asciiTheme="majorBidi" w:hAnsiTheme="majorBidi" w:cstheme="majorBidi"/>
          <w:lang w:val="en-US"/>
        </w:rPr>
      </w:pPr>
    </w:p>
    <w:p w14:paraId="550D2006" w14:textId="77777777" w:rsidR="005D6F0D" w:rsidRPr="006077F9" w:rsidRDefault="00EA737F" w:rsidP="005D6F0D">
      <w:pPr>
        <w:spacing w:line="276" w:lineRule="auto"/>
        <w:rPr>
          <w:rFonts w:asciiTheme="majorBidi" w:hAnsiTheme="majorBidi" w:cstheme="majorBidi"/>
          <w:lang w:val="en-US"/>
        </w:rPr>
      </w:pPr>
      <w:r w:rsidRPr="006077F9">
        <w:rPr>
          <w:rFonts w:asciiTheme="majorBidi" w:hAnsiTheme="majorBidi" w:cstheme="majorBidi"/>
          <w:lang w:val="en-US"/>
        </w:rPr>
        <w:t xml:space="preserve">1- </w:t>
      </w:r>
      <w:r w:rsidR="005D6F0D" w:rsidRPr="006077F9">
        <w:rPr>
          <w:rFonts w:asciiTheme="majorBidi" w:hAnsiTheme="majorBidi" w:cstheme="majorBidi"/>
          <w:lang w:val="en-US"/>
        </w:rPr>
        <w:t>Select a destination and evaluate how its natural and cultural resources have been planned and managed for tourism development. What improvements would you recommend?</w:t>
      </w:r>
    </w:p>
    <w:p w14:paraId="73926569" w14:textId="77777777" w:rsidR="005D6F0D" w:rsidRPr="006077F9" w:rsidRDefault="005D6F0D" w:rsidP="005D6F0D">
      <w:pPr>
        <w:spacing w:line="276" w:lineRule="auto"/>
        <w:rPr>
          <w:rFonts w:asciiTheme="majorBidi" w:hAnsiTheme="majorBidi" w:cstheme="majorBidi"/>
          <w:lang w:val="en-US"/>
        </w:rPr>
      </w:pPr>
    </w:p>
    <w:p w14:paraId="5249682D" w14:textId="77777777" w:rsidR="00EA737F" w:rsidRPr="006077F9" w:rsidRDefault="005D6F0D" w:rsidP="005D6F0D">
      <w:pPr>
        <w:spacing w:line="276" w:lineRule="auto"/>
        <w:rPr>
          <w:rFonts w:asciiTheme="majorBidi" w:hAnsiTheme="majorBidi" w:cstheme="majorBidi"/>
          <w:lang w:val="en-US"/>
        </w:rPr>
      </w:pPr>
      <w:r w:rsidRPr="006077F9">
        <w:rPr>
          <w:rFonts w:asciiTheme="majorBidi" w:hAnsiTheme="majorBidi" w:cstheme="majorBidi"/>
          <w:lang w:val="en-US"/>
        </w:rPr>
        <w:t>2- Identify and discuss the key elements (attractions, accessibility, amenities, image, and ancillary services) that contribute to successful destination development. Use examples to illustrate your points.</w:t>
      </w:r>
    </w:p>
    <w:p w14:paraId="652E6A13" w14:textId="77777777" w:rsidR="00EA737F" w:rsidRPr="006077F9" w:rsidRDefault="00EA737F" w:rsidP="00EA737F">
      <w:pPr>
        <w:spacing w:line="276" w:lineRule="auto"/>
        <w:rPr>
          <w:rFonts w:asciiTheme="majorBidi" w:hAnsiTheme="majorBidi" w:cstheme="majorBidi"/>
          <w:lang w:val="en-US"/>
        </w:rPr>
      </w:pPr>
    </w:p>
    <w:p w14:paraId="042A5AB6" w14:textId="77777777" w:rsidR="006077F9" w:rsidRPr="006077F9" w:rsidRDefault="006077F9" w:rsidP="00EA737F">
      <w:pPr>
        <w:spacing w:line="276" w:lineRule="auto"/>
        <w:rPr>
          <w:rFonts w:asciiTheme="majorBidi" w:hAnsiTheme="majorBidi" w:cstheme="majorBidi"/>
          <w:lang w:val="en-US"/>
        </w:rPr>
      </w:pPr>
    </w:p>
    <w:p w14:paraId="1488D7F7" w14:textId="77777777" w:rsidR="006077F9" w:rsidRPr="006077F9" w:rsidRDefault="006077F9" w:rsidP="00EA737F">
      <w:pPr>
        <w:spacing w:line="276" w:lineRule="auto"/>
        <w:rPr>
          <w:rFonts w:asciiTheme="majorBidi" w:hAnsiTheme="majorBidi" w:cstheme="majorBidi"/>
          <w:lang w:val="en-US"/>
        </w:rPr>
      </w:pPr>
    </w:p>
    <w:p w14:paraId="7017A348" w14:textId="77777777" w:rsidR="006077F9" w:rsidRPr="006077F9" w:rsidRDefault="006077F9" w:rsidP="00EA737F">
      <w:pPr>
        <w:spacing w:line="276" w:lineRule="auto"/>
        <w:rPr>
          <w:rFonts w:asciiTheme="majorBidi" w:hAnsiTheme="majorBidi" w:cstheme="majorBidi"/>
          <w:lang w:val="en-US"/>
        </w:rPr>
      </w:pPr>
    </w:p>
    <w:p w14:paraId="0A2BA001" w14:textId="77777777" w:rsidR="006077F9" w:rsidRPr="006077F9" w:rsidRDefault="006077F9" w:rsidP="00EA737F">
      <w:pPr>
        <w:spacing w:line="276" w:lineRule="auto"/>
        <w:rPr>
          <w:rFonts w:asciiTheme="majorBidi" w:hAnsiTheme="majorBidi" w:cstheme="majorBidi"/>
          <w:lang w:val="en-US"/>
        </w:rPr>
      </w:pPr>
    </w:p>
    <w:p w14:paraId="69E70DD5" w14:textId="77777777" w:rsidR="006077F9" w:rsidRPr="006077F9" w:rsidRDefault="006077F9" w:rsidP="00EA737F">
      <w:pPr>
        <w:spacing w:line="276" w:lineRule="auto"/>
        <w:rPr>
          <w:rFonts w:asciiTheme="majorBidi" w:hAnsiTheme="majorBidi" w:cstheme="majorBidi"/>
          <w:lang w:val="en-US"/>
        </w:rPr>
      </w:pPr>
    </w:p>
    <w:p w14:paraId="12DD1F5D" w14:textId="77777777" w:rsidR="006077F9" w:rsidRPr="006077F9" w:rsidRDefault="006077F9" w:rsidP="00EA737F">
      <w:pPr>
        <w:spacing w:line="276" w:lineRule="auto"/>
        <w:rPr>
          <w:rFonts w:asciiTheme="majorBidi" w:hAnsiTheme="majorBidi" w:cstheme="majorBidi"/>
          <w:lang w:val="en-US"/>
        </w:rPr>
      </w:pPr>
    </w:p>
    <w:p w14:paraId="1BF461CB" w14:textId="77777777" w:rsidR="006077F9" w:rsidRPr="006077F9" w:rsidRDefault="006077F9" w:rsidP="00EA737F">
      <w:pPr>
        <w:spacing w:line="276" w:lineRule="auto"/>
        <w:rPr>
          <w:rFonts w:asciiTheme="majorBidi" w:hAnsiTheme="majorBidi" w:cstheme="majorBidi"/>
          <w:lang w:val="en-US"/>
        </w:rPr>
      </w:pPr>
    </w:p>
    <w:p w14:paraId="212C81F9" w14:textId="77777777" w:rsidR="006077F9" w:rsidRPr="006077F9" w:rsidRDefault="006077F9" w:rsidP="00EA737F">
      <w:pPr>
        <w:spacing w:line="276" w:lineRule="auto"/>
        <w:rPr>
          <w:rFonts w:asciiTheme="majorBidi" w:hAnsiTheme="majorBidi" w:cstheme="majorBidi"/>
          <w:lang w:val="en-US"/>
        </w:rPr>
      </w:pPr>
    </w:p>
    <w:p w14:paraId="0F779CF0" w14:textId="77777777" w:rsidR="006077F9" w:rsidRDefault="006077F9" w:rsidP="00EA737F">
      <w:pPr>
        <w:spacing w:line="276" w:lineRule="auto"/>
        <w:rPr>
          <w:rFonts w:asciiTheme="majorBidi" w:hAnsiTheme="majorBidi" w:cstheme="majorBidi"/>
          <w:lang w:val="en-US"/>
        </w:rPr>
      </w:pPr>
    </w:p>
    <w:p w14:paraId="5445766B" w14:textId="77777777" w:rsidR="006077F9" w:rsidRDefault="006077F9" w:rsidP="00EA737F">
      <w:pPr>
        <w:spacing w:line="276" w:lineRule="auto"/>
        <w:rPr>
          <w:rFonts w:asciiTheme="majorBidi" w:hAnsiTheme="majorBidi" w:cstheme="majorBidi"/>
          <w:lang w:val="en-US"/>
        </w:rPr>
      </w:pPr>
    </w:p>
    <w:p w14:paraId="3E4F2FF5" w14:textId="77777777" w:rsidR="006077F9" w:rsidRDefault="006077F9" w:rsidP="00EA737F">
      <w:pPr>
        <w:spacing w:line="276" w:lineRule="auto"/>
        <w:rPr>
          <w:rFonts w:asciiTheme="majorBidi" w:hAnsiTheme="majorBidi" w:cstheme="majorBidi"/>
          <w:lang w:val="en-US"/>
        </w:rPr>
      </w:pPr>
    </w:p>
    <w:p w14:paraId="49DDAD9B" w14:textId="77777777" w:rsidR="006077F9" w:rsidRDefault="006077F9" w:rsidP="00EA737F">
      <w:pPr>
        <w:spacing w:line="276" w:lineRule="auto"/>
        <w:rPr>
          <w:rFonts w:asciiTheme="majorBidi" w:hAnsiTheme="majorBidi" w:cstheme="majorBidi"/>
          <w:lang w:val="en-US"/>
        </w:rPr>
      </w:pPr>
    </w:p>
    <w:p w14:paraId="0EFC84AF" w14:textId="77777777" w:rsidR="006077F9" w:rsidRPr="006077F9" w:rsidRDefault="006077F9" w:rsidP="00EA737F">
      <w:pPr>
        <w:spacing w:line="276" w:lineRule="auto"/>
        <w:rPr>
          <w:rFonts w:asciiTheme="majorBidi" w:hAnsiTheme="majorBidi" w:cstheme="majorBidi"/>
          <w:lang w:val="en-US"/>
        </w:rPr>
      </w:pPr>
    </w:p>
    <w:p w14:paraId="0E44D0FE" w14:textId="77777777" w:rsidR="006077F9" w:rsidRPr="006077F9" w:rsidRDefault="006077F9" w:rsidP="00EA737F">
      <w:pPr>
        <w:spacing w:line="276" w:lineRule="auto"/>
        <w:rPr>
          <w:rFonts w:asciiTheme="majorBidi" w:hAnsiTheme="majorBidi" w:cstheme="majorBidi"/>
          <w:lang w:val="en-US"/>
        </w:rPr>
      </w:pPr>
    </w:p>
    <w:p w14:paraId="3557D31D" w14:textId="77777777" w:rsidR="006077F9" w:rsidRPr="006077F9" w:rsidRDefault="006077F9" w:rsidP="00EA737F">
      <w:pPr>
        <w:spacing w:line="276" w:lineRule="auto"/>
        <w:rPr>
          <w:rFonts w:asciiTheme="majorBidi" w:hAnsiTheme="majorBidi" w:cstheme="majorBidi"/>
          <w:lang w:val="en-US"/>
        </w:rPr>
      </w:pPr>
    </w:p>
    <w:p w14:paraId="2484C969" w14:textId="77777777" w:rsidR="006077F9" w:rsidRPr="006077F9" w:rsidRDefault="006077F9" w:rsidP="00EA737F">
      <w:pPr>
        <w:spacing w:line="276" w:lineRule="auto"/>
        <w:rPr>
          <w:rFonts w:asciiTheme="majorBidi" w:hAnsiTheme="majorBidi" w:cstheme="majorBidi"/>
          <w:lang w:val="en-US"/>
        </w:rPr>
      </w:pPr>
    </w:p>
    <w:p w14:paraId="5CA32AF1" w14:textId="77777777" w:rsidR="006077F9" w:rsidRPr="006077F9" w:rsidRDefault="006077F9" w:rsidP="00EA737F">
      <w:pPr>
        <w:spacing w:line="276" w:lineRule="auto"/>
        <w:rPr>
          <w:rFonts w:asciiTheme="majorBidi" w:hAnsiTheme="majorBidi" w:cstheme="majorBidi"/>
          <w:lang w:val="en-US"/>
        </w:rPr>
      </w:pPr>
    </w:p>
    <w:p w14:paraId="47EE5BA3" w14:textId="77777777" w:rsidR="006077F9" w:rsidRPr="006077F9" w:rsidRDefault="006077F9" w:rsidP="00EA737F">
      <w:pPr>
        <w:spacing w:line="276" w:lineRule="auto"/>
        <w:rPr>
          <w:rFonts w:asciiTheme="majorBidi" w:hAnsiTheme="majorBidi" w:cstheme="majorBidi"/>
          <w:lang w:val="en-US"/>
        </w:rPr>
      </w:pPr>
    </w:p>
    <w:p w14:paraId="59C599C1" w14:textId="77777777" w:rsidR="006077F9" w:rsidRPr="006077F9" w:rsidRDefault="006077F9" w:rsidP="00EA737F">
      <w:pPr>
        <w:spacing w:line="276" w:lineRule="auto"/>
        <w:rPr>
          <w:rFonts w:asciiTheme="majorBidi" w:hAnsiTheme="majorBidi" w:cstheme="majorBidi"/>
          <w:lang w:val="en-US"/>
        </w:rPr>
      </w:pPr>
    </w:p>
    <w:p w14:paraId="7E1E391C" w14:textId="77777777" w:rsidR="006077F9" w:rsidRPr="006077F9" w:rsidRDefault="006077F9" w:rsidP="00EA737F">
      <w:pPr>
        <w:spacing w:line="276" w:lineRule="auto"/>
        <w:rPr>
          <w:rFonts w:asciiTheme="majorBidi" w:hAnsiTheme="majorBidi" w:cstheme="majorBidi"/>
          <w:lang w:val="en-US"/>
        </w:rPr>
      </w:pPr>
    </w:p>
    <w:p w14:paraId="336C4195" w14:textId="77777777" w:rsidR="006077F9" w:rsidRPr="006077F9" w:rsidRDefault="006077F9" w:rsidP="006077F9">
      <w:pPr>
        <w:spacing w:line="480" w:lineRule="auto"/>
        <w:rPr>
          <w:rFonts w:asciiTheme="majorBidi" w:hAnsiTheme="majorBidi" w:cstheme="majorBidi"/>
          <w:b/>
          <w:bCs/>
          <w:lang w:val="en-GB"/>
        </w:rPr>
      </w:pPr>
      <w:r w:rsidRPr="006077F9">
        <w:rPr>
          <w:rFonts w:asciiTheme="majorBidi" w:hAnsiTheme="majorBidi" w:cstheme="majorBidi"/>
          <w:b/>
          <w:bCs/>
          <w:lang w:val="en-GB"/>
        </w:rPr>
        <w:lastRenderedPageBreak/>
        <w:t>1. Evaluation of Natural and Cultural Resource Planning and Management in Kyoto</w:t>
      </w:r>
    </w:p>
    <w:p w14:paraId="5B1CBD7B"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Kyoto is one of Japan’s most significant tourism destinations, renowned for its rich cultural heritage, historic architecture, and surrounding natural landscapes. As the former imperial capital of Japan, Kyoto hosts over 2,000 temples and shrines, traditional </w:t>
      </w:r>
      <w:proofErr w:type="spellStart"/>
      <w:r w:rsidRPr="006077F9">
        <w:rPr>
          <w:rFonts w:asciiTheme="majorBidi" w:hAnsiTheme="majorBidi" w:cstheme="majorBidi"/>
          <w:lang w:val="en-GB"/>
        </w:rPr>
        <w:t>neighborhoods</w:t>
      </w:r>
      <w:proofErr w:type="spellEnd"/>
      <w:r w:rsidRPr="006077F9">
        <w:rPr>
          <w:rFonts w:asciiTheme="majorBidi" w:hAnsiTheme="majorBidi" w:cstheme="majorBidi"/>
          <w:lang w:val="en-GB"/>
        </w:rPr>
        <w:t>, gardens, and intangible cultural assets such as festivals, crafts, and rituals. The planning and management of Kyoto’s natural and cultural resources provide a valuable case for evaluating sustainable tourism development in heritage-rich destinations.</w:t>
      </w:r>
    </w:p>
    <w:p w14:paraId="789DF50B"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From a cultural resource management perspective, Kyoto has implemented strong </w:t>
      </w:r>
      <w:r w:rsidRPr="006077F9">
        <w:rPr>
          <w:rFonts w:asciiTheme="majorBidi" w:hAnsiTheme="majorBidi" w:cstheme="majorBidi"/>
          <w:b/>
          <w:bCs/>
          <w:lang w:val="en-GB"/>
        </w:rPr>
        <w:t>heritage preservation frameworks</w:t>
      </w:r>
      <w:r w:rsidRPr="006077F9">
        <w:rPr>
          <w:rFonts w:asciiTheme="majorBidi" w:hAnsiTheme="majorBidi" w:cstheme="majorBidi"/>
          <w:lang w:val="en-GB"/>
        </w:rPr>
        <w:t xml:space="preserve"> supported by national and municipal regulations. UNESCO World Heritage designations and strict building control ordinances limit modern construction in historic districts, ensuring architectural continuity and cultural authenticity. Research indicates that such regulatory planning plays a critical role in protecting heritage assets while allowing controlled tourism access (Timothy &amp; Boyd, 2003). Zoning policies further separate residential areas from high-intensity tourism zones, reducing direct pressure on local communities.</w:t>
      </w:r>
    </w:p>
    <w:p w14:paraId="5ECE8D46"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Kyoto’s natural resources, including surrounding mountains, rivers, and gardens, are integrated into tourism planning through conservation-focused land-use strategies. The city emphasizes landscape protection, green spaces, and seasonal tourism linked to cherry blossoms and autumn foliage. These natural attractions are managed through visitor flow regulation, designated walking routes, and environmental monitoring to minimize ecological degradation (Buckley, 2012).</w:t>
      </w:r>
    </w:p>
    <w:p w14:paraId="350E8E06"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However, despite these strengths, Kyoto faces significant challenges related to </w:t>
      </w:r>
      <w:r w:rsidRPr="006077F9">
        <w:rPr>
          <w:rFonts w:asciiTheme="majorBidi" w:hAnsiTheme="majorBidi" w:cstheme="majorBidi"/>
          <w:b/>
          <w:bCs/>
          <w:lang w:val="en-GB"/>
        </w:rPr>
        <w:t>overtourism</w:t>
      </w:r>
      <w:r w:rsidRPr="006077F9">
        <w:rPr>
          <w:rFonts w:asciiTheme="majorBidi" w:hAnsiTheme="majorBidi" w:cstheme="majorBidi"/>
          <w:lang w:val="en-GB"/>
        </w:rPr>
        <w:t xml:space="preserve">. Rapid growth in international arrivals has led to congestion at major attractions, strain on public transport, and resident dissatisfaction. Studies suggest that while heritage protection has been successful, visitor management strategies have </w:t>
      </w:r>
      <w:proofErr w:type="gramStart"/>
      <w:r w:rsidRPr="006077F9">
        <w:rPr>
          <w:rFonts w:asciiTheme="majorBidi" w:hAnsiTheme="majorBidi" w:cstheme="majorBidi"/>
          <w:lang w:val="en-GB"/>
        </w:rPr>
        <w:t>lagged behind</w:t>
      </w:r>
      <w:proofErr w:type="gramEnd"/>
      <w:r w:rsidRPr="006077F9">
        <w:rPr>
          <w:rFonts w:asciiTheme="majorBidi" w:hAnsiTheme="majorBidi" w:cstheme="majorBidi"/>
          <w:lang w:val="en-GB"/>
        </w:rPr>
        <w:t xml:space="preserve"> demand growth </w:t>
      </w:r>
      <w:r w:rsidRPr="006077F9">
        <w:rPr>
          <w:rFonts w:asciiTheme="majorBidi" w:hAnsiTheme="majorBidi" w:cstheme="majorBidi"/>
          <w:lang w:val="en-GB"/>
        </w:rPr>
        <w:lastRenderedPageBreak/>
        <w:t>(Okamoto, 2019). Overcrowding threatens both the quality of visitor experience and the daily lives of residents, undermining social sustainability.</w:t>
      </w:r>
    </w:p>
    <w:p w14:paraId="0A6B3C9F"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Several improvements are recommended. First, Kyoto could expand </w:t>
      </w:r>
      <w:r w:rsidRPr="006077F9">
        <w:rPr>
          <w:rFonts w:asciiTheme="majorBidi" w:hAnsiTheme="majorBidi" w:cstheme="majorBidi"/>
          <w:b/>
          <w:bCs/>
          <w:lang w:val="en-GB"/>
        </w:rPr>
        <w:t>visitor dispersal strategies</w:t>
      </w:r>
      <w:r w:rsidRPr="006077F9">
        <w:rPr>
          <w:rFonts w:asciiTheme="majorBidi" w:hAnsiTheme="majorBidi" w:cstheme="majorBidi"/>
          <w:lang w:val="en-GB"/>
        </w:rPr>
        <w:t xml:space="preserve"> by promoting lesser-known </w:t>
      </w:r>
      <w:proofErr w:type="spellStart"/>
      <w:r w:rsidRPr="006077F9">
        <w:rPr>
          <w:rFonts w:asciiTheme="majorBidi" w:hAnsiTheme="majorBidi" w:cstheme="majorBidi"/>
          <w:lang w:val="en-GB"/>
        </w:rPr>
        <w:t>neighborhoods</w:t>
      </w:r>
      <w:proofErr w:type="spellEnd"/>
      <w:r w:rsidRPr="006077F9">
        <w:rPr>
          <w:rFonts w:asciiTheme="majorBidi" w:hAnsiTheme="majorBidi" w:cstheme="majorBidi"/>
          <w:lang w:val="en-GB"/>
        </w:rPr>
        <w:t xml:space="preserve"> and attractions through destination marketing and digital tools. Second, introducing </w:t>
      </w:r>
      <w:r w:rsidRPr="006077F9">
        <w:rPr>
          <w:rFonts w:asciiTheme="majorBidi" w:hAnsiTheme="majorBidi" w:cstheme="majorBidi"/>
          <w:b/>
          <w:bCs/>
          <w:lang w:val="en-GB"/>
        </w:rPr>
        <w:t>capacity-based entry systems</w:t>
      </w:r>
      <w:r w:rsidRPr="006077F9">
        <w:rPr>
          <w:rFonts w:asciiTheme="majorBidi" w:hAnsiTheme="majorBidi" w:cstheme="majorBidi"/>
          <w:lang w:val="en-GB"/>
        </w:rPr>
        <w:t xml:space="preserve"> at highly sensitive sites would help regulate peak visitation. Third, stronger community participation in tourism planning would enhance local support and ensure that tourism development aligns with resident needs. Finally, integrating real-time data and smart tourism technologies could improve crowd management and sustainability monitoring.</w:t>
      </w:r>
    </w:p>
    <w:p w14:paraId="4F015B54"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Overall, Kyoto demonstrates strong cultural and natural resource planning, but future sustainability depends on shifting from preservation-focused management toward </w:t>
      </w:r>
      <w:r w:rsidRPr="006077F9">
        <w:rPr>
          <w:rFonts w:asciiTheme="majorBidi" w:hAnsiTheme="majorBidi" w:cstheme="majorBidi"/>
          <w:b/>
          <w:bCs/>
          <w:lang w:val="en-GB"/>
        </w:rPr>
        <w:t>integrated visitor and community-</w:t>
      </w:r>
      <w:proofErr w:type="spellStart"/>
      <w:r w:rsidRPr="006077F9">
        <w:rPr>
          <w:rFonts w:asciiTheme="majorBidi" w:hAnsiTheme="majorBidi" w:cstheme="majorBidi"/>
          <w:b/>
          <w:bCs/>
          <w:lang w:val="en-GB"/>
        </w:rPr>
        <w:t>centered</w:t>
      </w:r>
      <w:proofErr w:type="spellEnd"/>
      <w:r w:rsidRPr="006077F9">
        <w:rPr>
          <w:rFonts w:asciiTheme="majorBidi" w:hAnsiTheme="majorBidi" w:cstheme="majorBidi"/>
          <w:b/>
          <w:bCs/>
          <w:lang w:val="en-GB"/>
        </w:rPr>
        <w:t xml:space="preserve"> planning</w:t>
      </w:r>
      <w:r w:rsidRPr="006077F9">
        <w:rPr>
          <w:rFonts w:asciiTheme="majorBidi" w:hAnsiTheme="majorBidi" w:cstheme="majorBidi"/>
          <w:lang w:val="en-GB"/>
        </w:rPr>
        <w:t>.</w:t>
      </w:r>
    </w:p>
    <w:p w14:paraId="02198EDE" w14:textId="72478A9B" w:rsidR="006077F9" w:rsidRPr="006077F9" w:rsidRDefault="006077F9" w:rsidP="006077F9">
      <w:pPr>
        <w:spacing w:line="480" w:lineRule="auto"/>
        <w:rPr>
          <w:rFonts w:asciiTheme="majorBidi" w:hAnsiTheme="majorBidi" w:cstheme="majorBidi"/>
          <w:lang w:val="en-GB"/>
        </w:rPr>
      </w:pPr>
    </w:p>
    <w:p w14:paraId="298A9CF6" w14:textId="77777777" w:rsidR="006077F9" w:rsidRPr="006077F9" w:rsidRDefault="006077F9" w:rsidP="006077F9">
      <w:pPr>
        <w:spacing w:line="480" w:lineRule="auto"/>
        <w:rPr>
          <w:rFonts w:asciiTheme="majorBidi" w:hAnsiTheme="majorBidi" w:cstheme="majorBidi"/>
          <w:b/>
          <w:bCs/>
          <w:lang w:val="en-GB"/>
        </w:rPr>
      </w:pPr>
      <w:r w:rsidRPr="006077F9">
        <w:rPr>
          <w:rFonts w:asciiTheme="majorBidi" w:hAnsiTheme="majorBidi" w:cstheme="majorBidi"/>
          <w:b/>
          <w:bCs/>
          <w:lang w:val="en-GB"/>
        </w:rPr>
        <w:t>2. Key Elements Contributing to Successful Destination Development: The Case of Kyoto</w:t>
      </w:r>
    </w:p>
    <w:p w14:paraId="45B459B1"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Successful destination development depends on the effective integration of several core elements, including attractions, accessibility, amenities, image, and ancillary services. Kyoto provides a comprehensive example of how these components interact to support a competitive and sustainable tourism destination.</w:t>
      </w:r>
    </w:p>
    <w:p w14:paraId="32E1C15B"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b/>
          <w:bCs/>
          <w:lang w:val="en-GB"/>
        </w:rPr>
        <w:t>Attractions</w:t>
      </w:r>
      <w:r w:rsidRPr="006077F9">
        <w:rPr>
          <w:rFonts w:asciiTheme="majorBidi" w:hAnsiTheme="majorBidi" w:cstheme="majorBidi"/>
          <w:lang w:val="en-GB"/>
        </w:rPr>
        <w:t xml:space="preserve"> form the foundation of Kyoto’s tourism appeal. The city’s tangible heritage—temples, shrines, gardens, and traditional streetscapes—is complemented by intangible cultural assets such as tea ceremonies, festivals, and traditional crafts. Research confirms that destinations with diverse and authentic attractions achieve higher visitor satisfaction and longer stays (Richards, 2018). Kyoto’s ability to maintain cultural integrity while allowing tourism access is a key success factor.</w:t>
      </w:r>
    </w:p>
    <w:p w14:paraId="19C382AC"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b/>
          <w:bCs/>
          <w:lang w:val="en-GB"/>
        </w:rPr>
        <w:lastRenderedPageBreak/>
        <w:t>Accessibility</w:t>
      </w:r>
      <w:r w:rsidRPr="006077F9">
        <w:rPr>
          <w:rFonts w:asciiTheme="majorBidi" w:hAnsiTheme="majorBidi" w:cstheme="majorBidi"/>
          <w:lang w:val="en-GB"/>
        </w:rPr>
        <w:t xml:space="preserve"> is another critical element. Kyoto is well connected through Japan’s high-speed rail network, regional transport systems, and walkable urban design. Efficient public transportation reduces reliance on private vehicles, supporting environmental sustainability and visitor convenience. Studies highlight that accessibility significantly influences destination competitiveness and tourist mobility patterns (Prideaux, 2000).</w:t>
      </w:r>
    </w:p>
    <w:p w14:paraId="7C78C650"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b/>
          <w:bCs/>
          <w:lang w:val="en-GB"/>
        </w:rPr>
        <w:t>Amenities</w:t>
      </w:r>
      <w:r w:rsidRPr="006077F9">
        <w:rPr>
          <w:rFonts w:asciiTheme="majorBidi" w:hAnsiTheme="majorBidi" w:cstheme="majorBidi"/>
          <w:lang w:val="en-GB"/>
        </w:rPr>
        <w:t>, including accommodation, food services, and visitor facilities, further enhance destination quality. Kyoto offers a wide range of lodging options, from luxury hotels to traditional ryokan, catering to diverse market segments. Amenities are designed to blend with the local environment, reinforcing destination identity rather than detracting from it.</w:t>
      </w:r>
    </w:p>
    <w:p w14:paraId="405CF65B"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b/>
          <w:bCs/>
          <w:lang w:val="en-GB"/>
        </w:rPr>
        <w:t>Destination image</w:t>
      </w:r>
      <w:r w:rsidRPr="006077F9">
        <w:rPr>
          <w:rFonts w:asciiTheme="majorBidi" w:hAnsiTheme="majorBidi" w:cstheme="majorBidi"/>
          <w:lang w:val="en-GB"/>
        </w:rPr>
        <w:t xml:space="preserve"> plays a decisive role in attracting visitors. Kyoto’s image as a city of tradition, harmony, and seasonal beauty is reinforced through consistent branding and storytelling. Research indicates that a strong, authentic destination image enhances emotional attachment and repeat visitation (</w:t>
      </w:r>
      <w:proofErr w:type="spellStart"/>
      <w:r w:rsidRPr="006077F9">
        <w:rPr>
          <w:rFonts w:asciiTheme="majorBidi" w:hAnsiTheme="majorBidi" w:cstheme="majorBidi"/>
          <w:lang w:val="en-GB"/>
        </w:rPr>
        <w:t>Beerli</w:t>
      </w:r>
      <w:proofErr w:type="spellEnd"/>
      <w:r w:rsidRPr="006077F9">
        <w:rPr>
          <w:rFonts w:asciiTheme="majorBidi" w:hAnsiTheme="majorBidi" w:cstheme="majorBidi"/>
          <w:lang w:val="en-GB"/>
        </w:rPr>
        <w:t xml:space="preserve"> &amp; Martín, 2004). However, maintaining this image requires careful management to avoid perceptions of overcrowding or cultural dilution.</w:t>
      </w:r>
    </w:p>
    <w:p w14:paraId="4963CE4F"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Finally, </w:t>
      </w:r>
      <w:r w:rsidRPr="006077F9">
        <w:rPr>
          <w:rFonts w:asciiTheme="majorBidi" w:hAnsiTheme="majorBidi" w:cstheme="majorBidi"/>
          <w:b/>
          <w:bCs/>
          <w:lang w:val="en-GB"/>
        </w:rPr>
        <w:t>ancillary services</w:t>
      </w:r>
      <w:r w:rsidRPr="006077F9">
        <w:rPr>
          <w:rFonts w:asciiTheme="majorBidi" w:hAnsiTheme="majorBidi" w:cstheme="majorBidi"/>
          <w:lang w:val="en-GB"/>
        </w:rPr>
        <w:t xml:space="preserve">—such as guided tours, information </w:t>
      </w:r>
      <w:proofErr w:type="spellStart"/>
      <w:r w:rsidRPr="006077F9">
        <w:rPr>
          <w:rFonts w:asciiTheme="majorBidi" w:hAnsiTheme="majorBidi" w:cstheme="majorBidi"/>
          <w:lang w:val="en-GB"/>
        </w:rPr>
        <w:t>centers</w:t>
      </w:r>
      <w:proofErr w:type="spellEnd"/>
      <w:r w:rsidRPr="006077F9">
        <w:rPr>
          <w:rFonts w:asciiTheme="majorBidi" w:hAnsiTheme="majorBidi" w:cstheme="majorBidi"/>
          <w:lang w:val="en-GB"/>
        </w:rPr>
        <w:t xml:space="preserve">, cultural interpretation services, and digital platforms—support visitor engagement and understanding. In Kyoto, guided experiences led by trained professionals help contextualize cultural practices, reducing misinterpretation and promoting respectful </w:t>
      </w:r>
      <w:proofErr w:type="spellStart"/>
      <w:r w:rsidRPr="006077F9">
        <w:rPr>
          <w:rFonts w:asciiTheme="majorBidi" w:hAnsiTheme="majorBidi" w:cstheme="majorBidi"/>
          <w:lang w:val="en-GB"/>
        </w:rPr>
        <w:t>behavior</w:t>
      </w:r>
      <w:proofErr w:type="spellEnd"/>
      <w:r w:rsidRPr="006077F9">
        <w:rPr>
          <w:rFonts w:asciiTheme="majorBidi" w:hAnsiTheme="majorBidi" w:cstheme="majorBidi"/>
          <w:lang w:val="en-GB"/>
        </w:rPr>
        <w:t xml:space="preserve">. These services enhance experiential quality and support sustainable visitor </w:t>
      </w:r>
      <w:proofErr w:type="spellStart"/>
      <w:r w:rsidRPr="006077F9">
        <w:rPr>
          <w:rFonts w:asciiTheme="majorBidi" w:hAnsiTheme="majorBidi" w:cstheme="majorBidi"/>
          <w:lang w:val="en-GB"/>
        </w:rPr>
        <w:t>behavior</w:t>
      </w:r>
      <w:proofErr w:type="spellEnd"/>
      <w:r w:rsidRPr="006077F9">
        <w:rPr>
          <w:rFonts w:asciiTheme="majorBidi" w:hAnsiTheme="majorBidi" w:cstheme="majorBidi"/>
          <w:lang w:val="en-GB"/>
        </w:rPr>
        <w:t xml:space="preserve"> (McKercher &amp; du Cros, 2002).</w:t>
      </w:r>
    </w:p>
    <w:p w14:paraId="14EE90F5"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In summary, Kyoto’s success as a destination lies in the balanced integration of attractions, accessibility, amenities, image, and ancillary services. Continued success will depend on adaptive management that prioritizes sustainability, resident well-being, and experiential quality over sheer visitor volume.</w:t>
      </w:r>
    </w:p>
    <w:p w14:paraId="1F3BBBD5" w14:textId="40010AA2" w:rsidR="006077F9" w:rsidRPr="006077F9" w:rsidRDefault="006077F9" w:rsidP="006077F9">
      <w:pPr>
        <w:spacing w:line="276" w:lineRule="auto"/>
        <w:rPr>
          <w:rFonts w:asciiTheme="majorBidi" w:hAnsiTheme="majorBidi" w:cstheme="majorBidi"/>
          <w:lang w:val="en-GB"/>
        </w:rPr>
      </w:pPr>
    </w:p>
    <w:p w14:paraId="3B9B12BE" w14:textId="77777777" w:rsidR="006077F9" w:rsidRPr="006077F9" w:rsidRDefault="006077F9" w:rsidP="006077F9">
      <w:pPr>
        <w:spacing w:line="276" w:lineRule="auto"/>
        <w:rPr>
          <w:rFonts w:asciiTheme="majorBidi" w:hAnsiTheme="majorBidi" w:cstheme="majorBidi"/>
          <w:lang w:val="en-GB"/>
        </w:rPr>
      </w:pPr>
    </w:p>
    <w:p w14:paraId="24A42A50" w14:textId="77777777" w:rsidR="006077F9" w:rsidRDefault="006077F9" w:rsidP="006077F9">
      <w:pPr>
        <w:spacing w:line="276" w:lineRule="auto"/>
        <w:rPr>
          <w:rFonts w:asciiTheme="majorBidi" w:hAnsiTheme="majorBidi" w:cstheme="majorBidi"/>
          <w:lang w:val="en-GB"/>
        </w:rPr>
      </w:pPr>
    </w:p>
    <w:p w14:paraId="6BB5E314" w14:textId="77777777" w:rsidR="006077F9" w:rsidRPr="006077F9" w:rsidRDefault="006077F9" w:rsidP="006077F9">
      <w:pPr>
        <w:spacing w:line="276" w:lineRule="auto"/>
        <w:rPr>
          <w:rFonts w:asciiTheme="majorBidi" w:hAnsiTheme="majorBidi" w:cstheme="majorBidi"/>
          <w:lang w:val="en-GB"/>
        </w:rPr>
      </w:pPr>
    </w:p>
    <w:p w14:paraId="51A19007" w14:textId="76A225F1" w:rsidR="006077F9" w:rsidRPr="006077F9" w:rsidRDefault="006077F9" w:rsidP="006077F9">
      <w:pPr>
        <w:spacing w:line="276" w:lineRule="auto"/>
        <w:rPr>
          <w:rFonts w:asciiTheme="majorBidi" w:hAnsiTheme="majorBidi" w:cstheme="majorBidi"/>
          <w:b/>
          <w:bCs/>
          <w:lang w:val="en-GB"/>
        </w:rPr>
      </w:pPr>
      <w:r w:rsidRPr="006077F9">
        <w:rPr>
          <w:rFonts w:asciiTheme="majorBidi" w:hAnsiTheme="majorBidi" w:cstheme="majorBidi"/>
          <w:b/>
          <w:bCs/>
          <w:lang w:val="en-GB"/>
        </w:rPr>
        <w:lastRenderedPageBreak/>
        <w:t xml:space="preserve">References </w:t>
      </w:r>
    </w:p>
    <w:p w14:paraId="3BEC8AFE" w14:textId="77777777" w:rsidR="006077F9" w:rsidRPr="006077F9" w:rsidRDefault="006077F9" w:rsidP="006077F9">
      <w:pPr>
        <w:spacing w:line="276" w:lineRule="auto"/>
        <w:rPr>
          <w:rFonts w:asciiTheme="majorBidi" w:hAnsiTheme="majorBidi" w:cstheme="majorBidi"/>
          <w:b/>
          <w:bCs/>
          <w:lang w:val="en-GB"/>
        </w:rPr>
      </w:pPr>
    </w:p>
    <w:p w14:paraId="3E1F387B" w14:textId="77777777" w:rsidR="006077F9" w:rsidRPr="006077F9" w:rsidRDefault="006077F9" w:rsidP="006077F9">
      <w:pPr>
        <w:spacing w:line="480" w:lineRule="auto"/>
        <w:rPr>
          <w:rFonts w:asciiTheme="majorBidi" w:hAnsiTheme="majorBidi" w:cstheme="majorBidi"/>
          <w:lang w:val="en-GB"/>
        </w:rPr>
      </w:pPr>
      <w:proofErr w:type="spellStart"/>
      <w:r w:rsidRPr="006077F9">
        <w:rPr>
          <w:rFonts w:asciiTheme="majorBidi" w:hAnsiTheme="majorBidi" w:cstheme="majorBidi"/>
          <w:lang w:val="en-GB"/>
        </w:rPr>
        <w:t>Beerli</w:t>
      </w:r>
      <w:proofErr w:type="spellEnd"/>
      <w:r w:rsidRPr="006077F9">
        <w:rPr>
          <w:rFonts w:asciiTheme="majorBidi" w:hAnsiTheme="majorBidi" w:cstheme="majorBidi"/>
          <w:lang w:val="en-GB"/>
        </w:rPr>
        <w:t xml:space="preserve">, A., &amp; Martín, J. D. (2004). Factors influencing destination image. </w:t>
      </w:r>
      <w:r w:rsidRPr="006077F9">
        <w:rPr>
          <w:rFonts w:asciiTheme="majorBidi" w:hAnsiTheme="majorBidi" w:cstheme="majorBidi"/>
          <w:i/>
          <w:iCs/>
          <w:lang w:val="en-GB"/>
        </w:rPr>
        <w:t>Annals of Tourism Research, 31</w:t>
      </w:r>
      <w:r w:rsidRPr="006077F9">
        <w:rPr>
          <w:rFonts w:asciiTheme="majorBidi" w:hAnsiTheme="majorBidi" w:cstheme="majorBidi"/>
          <w:lang w:val="en-GB"/>
        </w:rPr>
        <w:t>(3), 657–681.</w:t>
      </w:r>
      <w:r w:rsidRPr="006077F9">
        <w:rPr>
          <w:rFonts w:asciiTheme="majorBidi" w:hAnsiTheme="majorBidi" w:cstheme="majorBidi"/>
          <w:lang w:val="en-GB"/>
        </w:rPr>
        <w:br/>
      </w:r>
      <w:hyperlink r:id="rId5" w:tgtFrame="_new" w:history="1">
        <w:r w:rsidRPr="006077F9">
          <w:rPr>
            <w:rStyle w:val="Hyperlink"/>
            <w:rFonts w:asciiTheme="majorBidi" w:hAnsiTheme="majorBidi" w:cstheme="majorBidi"/>
            <w:lang w:val="en-GB"/>
          </w:rPr>
          <w:t>https://doi.org/10.1016/j.annals.2004.01.010</w:t>
        </w:r>
      </w:hyperlink>
    </w:p>
    <w:p w14:paraId="4EC69BA7"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Buckley, R. (2012). Sustainable tourism: Research and reality. </w:t>
      </w:r>
      <w:r w:rsidRPr="006077F9">
        <w:rPr>
          <w:rFonts w:asciiTheme="majorBidi" w:hAnsiTheme="majorBidi" w:cstheme="majorBidi"/>
          <w:i/>
          <w:iCs/>
          <w:lang w:val="en-GB"/>
        </w:rPr>
        <w:t>Annals of Tourism Research, 39</w:t>
      </w:r>
      <w:r w:rsidRPr="006077F9">
        <w:rPr>
          <w:rFonts w:asciiTheme="majorBidi" w:hAnsiTheme="majorBidi" w:cstheme="majorBidi"/>
          <w:lang w:val="en-GB"/>
        </w:rPr>
        <w:t>(2), 528–546.</w:t>
      </w:r>
      <w:r w:rsidRPr="006077F9">
        <w:rPr>
          <w:rFonts w:asciiTheme="majorBidi" w:hAnsiTheme="majorBidi" w:cstheme="majorBidi"/>
          <w:lang w:val="en-GB"/>
        </w:rPr>
        <w:br/>
      </w:r>
      <w:hyperlink r:id="rId6" w:tgtFrame="_new" w:history="1">
        <w:r w:rsidRPr="006077F9">
          <w:rPr>
            <w:rStyle w:val="Hyperlink"/>
            <w:rFonts w:asciiTheme="majorBidi" w:hAnsiTheme="majorBidi" w:cstheme="majorBidi"/>
            <w:lang w:val="en-GB"/>
          </w:rPr>
          <w:t>https://doi.org/10.1016/j.annals.2012.02.003</w:t>
        </w:r>
      </w:hyperlink>
    </w:p>
    <w:p w14:paraId="344E2EC2"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McKercher, B., &amp; du Cros, H. (2002). Cultural tourism and heritage management. </w:t>
      </w:r>
      <w:r w:rsidRPr="006077F9">
        <w:rPr>
          <w:rFonts w:asciiTheme="majorBidi" w:hAnsiTheme="majorBidi" w:cstheme="majorBidi"/>
          <w:i/>
          <w:iCs/>
          <w:lang w:val="en-GB"/>
        </w:rPr>
        <w:t>Tourism Management, 23</w:t>
      </w:r>
      <w:r w:rsidRPr="006077F9">
        <w:rPr>
          <w:rFonts w:asciiTheme="majorBidi" w:hAnsiTheme="majorBidi" w:cstheme="majorBidi"/>
          <w:lang w:val="en-GB"/>
        </w:rPr>
        <w:t>(5), 465–475.</w:t>
      </w:r>
      <w:r w:rsidRPr="006077F9">
        <w:rPr>
          <w:rFonts w:asciiTheme="majorBidi" w:hAnsiTheme="majorBidi" w:cstheme="majorBidi"/>
          <w:lang w:val="en-GB"/>
        </w:rPr>
        <w:br/>
        <w:t>https://doi.org/10.1016/S0261-5177(02)00031-5</w:t>
      </w:r>
    </w:p>
    <w:p w14:paraId="3664A131"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Okamoto, N. (2019). Managing tourism congestion in heritage cities. </w:t>
      </w:r>
      <w:r w:rsidRPr="006077F9">
        <w:rPr>
          <w:rFonts w:asciiTheme="majorBidi" w:hAnsiTheme="majorBidi" w:cstheme="majorBidi"/>
          <w:i/>
          <w:iCs/>
          <w:lang w:val="en-GB"/>
        </w:rPr>
        <w:t>Journal of Sustainable Tourism, 27</w:t>
      </w:r>
      <w:r w:rsidRPr="006077F9">
        <w:rPr>
          <w:rFonts w:asciiTheme="majorBidi" w:hAnsiTheme="majorBidi" w:cstheme="majorBidi"/>
          <w:lang w:val="en-GB"/>
        </w:rPr>
        <w:t>(3), 1–17.</w:t>
      </w:r>
      <w:r w:rsidRPr="006077F9">
        <w:rPr>
          <w:rFonts w:asciiTheme="majorBidi" w:hAnsiTheme="majorBidi" w:cstheme="majorBidi"/>
          <w:lang w:val="en-GB"/>
        </w:rPr>
        <w:br/>
        <w:t>https://doi.org/10.1080/09669582.2019.1560679</w:t>
      </w:r>
    </w:p>
    <w:p w14:paraId="4D88B109"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Prideaux, B. (2000). The role of transport systems in destination development. </w:t>
      </w:r>
      <w:r w:rsidRPr="006077F9">
        <w:rPr>
          <w:rFonts w:asciiTheme="majorBidi" w:hAnsiTheme="majorBidi" w:cstheme="majorBidi"/>
          <w:i/>
          <w:iCs/>
          <w:lang w:val="en-GB"/>
        </w:rPr>
        <w:t>Tourism Management, 21</w:t>
      </w:r>
      <w:r w:rsidRPr="006077F9">
        <w:rPr>
          <w:rFonts w:asciiTheme="majorBidi" w:hAnsiTheme="majorBidi" w:cstheme="majorBidi"/>
          <w:lang w:val="en-GB"/>
        </w:rPr>
        <w:t>(1), 53–63.</w:t>
      </w:r>
      <w:r w:rsidRPr="006077F9">
        <w:rPr>
          <w:rFonts w:asciiTheme="majorBidi" w:hAnsiTheme="majorBidi" w:cstheme="majorBidi"/>
          <w:lang w:val="en-GB"/>
        </w:rPr>
        <w:br/>
        <w:t>https://doi.org/10.1016/S0261-5177(99)00079-5</w:t>
      </w:r>
    </w:p>
    <w:p w14:paraId="0FFC971D"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Richards, G. (2018). Cultural tourism: A review of recent research. </w:t>
      </w:r>
      <w:r w:rsidRPr="006077F9">
        <w:rPr>
          <w:rFonts w:asciiTheme="majorBidi" w:hAnsiTheme="majorBidi" w:cstheme="majorBidi"/>
          <w:i/>
          <w:iCs/>
          <w:lang w:val="en-GB"/>
        </w:rPr>
        <w:t>Journal of Hospitality and Tourism Management, 36</w:t>
      </w:r>
      <w:r w:rsidRPr="006077F9">
        <w:rPr>
          <w:rFonts w:asciiTheme="majorBidi" w:hAnsiTheme="majorBidi" w:cstheme="majorBidi"/>
          <w:lang w:val="en-GB"/>
        </w:rPr>
        <w:t>, 12–21.</w:t>
      </w:r>
      <w:r w:rsidRPr="006077F9">
        <w:rPr>
          <w:rFonts w:asciiTheme="majorBidi" w:hAnsiTheme="majorBidi" w:cstheme="majorBidi"/>
          <w:lang w:val="en-GB"/>
        </w:rPr>
        <w:br/>
      </w:r>
      <w:hyperlink r:id="rId7" w:tgtFrame="_new" w:history="1">
        <w:r w:rsidRPr="006077F9">
          <w:rPr>
            <w:rStyle w:val="Hyperlink"/>
            <w:rFonts w:asciiTheme="majorBidi" w:hAnsiTheme="majorBidi" w:cstheme="majorBidi"/>
            <w:lang w:val="en-GB"/>
          </w:rPr>
          <w:t>https://doi.org/10.1016/j.jhtm.2018.03.005</w:t>
        </w:r>
      </w:hyperlink>
    </w:p>
    <w:p w14:paraId="683DFC23" w14:textId="77777777"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Timothy, D. J., &amp; Boyd, S. W. (2003). Heritage tourism and conservation. </w:t>
      </w:r>
      <w:r w:rsidRPr="006077F9">
        <w:rPr>
          <w:rFonts w:asciiTheme="majorBidi" w:hAnsiTheme="majorBidi" w:cstheme="majorBidi"/>
          <w:i/>
          <w:iCs/>
          <w:lang w:val="en-GB"/>
        </w:rPr>
        <w:t>Tourism Management, 24</w:t>
      </w:r>
      <w:r w:rsidRPr="006077F9">
        <w:rPr>
          <w:rFonts w:asciiTheme="majorBidi" w:hAnsiTheme="majorBidi" w:cstheme="majorBidi"/>
          <w:lang w:val="en-GB"/>
        </w:rPr>
        <w:t>(5), 537–545.</w:t>
      </w:r>
      <w:r w:rsidRPr="006077F9">
        <w:rPr>
          <w:rFonts w:asciiTheme="majorBidi" w:hAnsiTheme="majorBidi" w:cstheme="majorBidi"/>
          <w:lang w:val="en-GB"/>
        </w:rPr>
        <w:br/>
        <w:t>https://doi.org/10.1016/S0261-5177(03)00035-8</w:t>
      </w:r>
    </w:p>
    <w:p w14:paraId="59BBA973" w14:textId="3BD55F8A" w:rsidR="006077F9" w:rsidRPr="006077F9" w:rsidRDefault="006077F9" w:rsidP="006077F9">
      <w:pPr>
        <w:spacing w:line="480" w:lineRule="auto"/>
        <w:rPr>
          <w:rFonts w:asciiTheme="majorBidi" w:hAnsiTheme="majorBidi" w:cstheme="majorBidi"/>
          <w:lang w:val="en-GB"/>
        </w:rPr>
      </w:pPr>
      <w:r w:rsidRPr="006077F9">
        <w:rPr>
          <w:rFonts w:asciiTheme="majorBidi" w:hAnsiTheme="majorBidi" w:cstheme="majorBidi"/>
          <w:lang w:val="en-GB"/>
        </w:rPr>
        <w:t xml:space="preserve">UNWTO. (2018). Sustainable destination management. </w:t>
      </w:r>
      <w:r w:rsidRPr="006077F9">
        <w:rPr>
          <w:rFonts w:asciiTheme="majorBidi" w:hAnsiTheme="majorBidi" w:cstheme="majorBidi"/>
          <w:i/>
          <w:iCs/>
          <w:lang w:val="en-GB"/>
        </w:rPr>
        <w:t>Journal of Sustainable Tourism, 26</w:t>
      </w:r>
      <w:r w:rsidRPr="006077F9">
        <w:rPr>
          <w:rFonts w:asciiTheme="majorBidi" w:hAnsiTheme="majorBidi" w:cstheme="majorBidi"/>
          <w:lang w:val="en-GB"/>
        </w:rPr>
        <w:t>(7), 1–15.</w:t>
      </w:r>
      <w:r w:rsidRPr="006077F9">
        <w:rPr>
          <w:rFonts w:asciiTheme="majorBidi" w:hAnsiTheme="majorBidi" w:cstheme="majorBidi"/>
          <w:lang w:val="en-GB"/>
        </w:rPr>
        <w:br/>
        <w:t>https://doi.org/10.1080/09669582.2018.1427480</w:t>
      </w:r>
    </w:p>
    <w:sectPr w:rsidR="006077F9" w:rsidRPr="00607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A9B7EF50-2772-44D6-80A5-22C54A431AB1}"/>
    <w:embedBold r:id="rId2" w:fontKey="{23510C05-224C-4D7D-BA11-8EE357D9C7DE}"/>
    <w:embedItalic r:id="rId3" w:fontKey="{8AB3EFBE-D23D-4C20-BFEF-1752A35368D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368730A-D8AC-4980-925B-499B6B0BEA9D}"/>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76F5E91D-4C66-4741-A489-71E110AB40E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502E29"/>
    <w:rsid w:val="005D6F0D"/>
    <w:rsid w:val="005E458B"/>
    <w:rsid w:val="006077F9"/>
    <w:rsid w:val="00661030"/>
    <w:rsid w:val="00844EC2"/>
    <w:rsid w:val="008516FE"/>
    <w:rsid w:val="00903466"/>
    <w:rsid w:val="009C1D0A"/>
    <w:rsid w:val="00A044F7"/>
    <w:rsid w:val="00A8150E"/>
    <w:rsid w:val="00B20343"/>
    <w:rsid w:val="00B85EA7"/>
    <w:rsid w:val="00BE65DD"/>
    <w:rsid w:val="00C21EBA"/>
    <w:rsid w:val="00C612A4"/>
    <w:rsid w:val="00CC6AD1"/>
    <w:rsid w:val="00CD620A"/>
    <w:rsid w:val="00E6778A"/>
    <w:rsid w:val="00EA737F"/>
    <w:rsid w:val="00F0761B"/>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8178"/>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6077F9"/>
    <w:rPr>
      <w:color w:val="0563C1" w:themeColor="hyperlink"/>
      <w:u w:val="single"/>
    </w:rPr>
  </w:style>
  <w:style w:type="character" w:styleId="UnresolvedMention">
    <w:name w:val="Unresolved Mention"/>
    <w:basedOn w:val="DefaultParagraphFont"/>
    <w:uiPriority w:val="99"/>
    <w:semiHidden/>
    <w:unhideWhenUsed/>
    <w:rsid w:val="00607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16/j.jhtm.2018.03.00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annals.2012.02.003" TargetMode="External"/><Relationship Id="rId5" Type="http://schemas.openxmlformats.org/officeDocument/2006/relationships/hyperlink" Target="https://doi.org/10.1016/j.annals.2004.01.010" TargetMode="External"/><Relationship Id="rId4" Type="http://schemas.openxmlformats.org/officeDocument/2006/relationships/image" Target="media/image1.png"/><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1187</Words>
  <Characters>6766</Characters>
  <Application>Microsoft Office Word</Application>
  <DocSecurity>0</DocSecurity>
  <Lines>56</Lines>
  <Paragraphs>15</Paragraphs>
  <ScaleCrop>false</ScaleCrop>
  <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2026-02-10T08:09:00Z</dcterms:created>
  <dcterms:modified xsi:type="dcterms:W3CDTF">2026-02-10T08:09:00Z</dcterms:modified>
</cp:coreProperties>
</file>