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480" w:lineRule="auto"/>
        <w:jc w:val="center"/>
      </w:pPr>
      <w:r>
        <w:rPr>
          <w:rFonts w:ascii="Times New Roman" w:hAnsi="Times New Roman"/>
          <w:b/>
          <w:color w:val="1F4E79"/>
          <w:sz w:val="36"/>
        </w:rPr>
        <w:br/>
        <w:br/>
        <w:br/>
        <w:t>Tourism as a Tool for Local Economic Development: A Leakage Controlled Value Chain Strategy for Rwanda, Kerala and AlUla</w:t>
      </w:r>
    </w:p>
    <w:p>
      <w:pPr>
        <w:spacing w:line="480" w:lineRule="auto"/>
        <w:jc w:val="center"/>
      </w:pPr>
      <w:r>
        <w:rPr>
          <w:rFonts w:ascii="Times New Roman" w:hAnsi="Times New Roman"/>
          <w:sz w:val="26"/>
        </w:rPr>
        <w:br/>
        <w:t>M20 Tourism and Local Development Cooperation</w:t>
        <w:br/>
        <w:t>Option 1: Tourism as a Tool for Local Economic Development</w:t>
        <w:br/>
        <w:t>Detailed Project Report</w:t>
        <w:br/>
        <w:t>Submission Deadline: 24 May 2026</w:t>
        <w:br/>
      </w:r>
    </w:p>
    <w:p>
      <w:r>
        <w:br w:type="page"/>
      </w:r>
    </w:p>
    <w:p>
      <w:pPr>
        <w:pStyle w:val="Heading1"/>
        <w:spacing w:before="240" w:after="120"/>
      </w:pPr>
      <w:r>
        <w:t>Table of Contents</w:t>
      </w:r>
    </w:p>
    <w:p>
      <w:pPr>
        <w:spacing w:line="480" w:lineRule="auto" w:after="120" w:before="0"/>
      </w:pPr>
      <w:r>
        <w:t>Abstract</w:t>
      </w:r>
    </w:p>
    <w:p>
      <w:pPr>
        <w:spacing w:line="480" w:lineRule="auto" w:after="120" w:before="0"/>
      </w:pPr>
      <w:r>
        <w:t>1. Introduction</w:t>
      </w:r>
    </w:p>
    <w:p>
      <w:pPr>
        <w:spacing w:line="480" w:lineRule="auto" w:after="120" w:before="0"/>
      </w:pPr>
      <w:r>
        <w:t>2. Literature Review</w:t>
      </w:r>
    </w:p>
    <w:p>
      <w:pPr>
        <w:spacing w:line="480" w:lineRule="auto" w:after="120" w:before="0"/>
      </w:pPr>
      <w:r>
        <w:t>3. Methodology</w:t>
      </w:r>
    </w:p>
    <w:p>
      <w:pPr>
        <w:spacing w:line="480" w:lineRule="auto" w:after="120" w:before="0"/>
      </w:pPr>
      <w:r>
        <w:t>4. Findings</w:t>
      </w:r>
    </w:p>
    <w:p>
      <w:pPr>
        <w:spacing w:line="480" w:lineRule="auto" w:after="120" w:before="0"/>
      </w:pPr>
      <w:r>
        <w:t>5. Discussion</w:t>
      </w:r>
    </w:p>
    <w:p>
      <w:pPr>
        <w:spacing w:line="480" w:lineRule="auto" w:after="120" w:before="0"/>
      </w:pPr>
      <w:r>
        <w:t>6. Technical Implementation Architecture</w:t>
      </w:r>
    </w:p>
    <w:p>
      <w:pPr>
        <w:spacing w:line="480" w:lineRule="auto" w:after="120" w:before="0"/>
      </w:pPr>
      <w:r>
        <w:t>7. Conclusion and Recommendations</w:t>
      </w:r>
    </w:p>
    <w:p>
      <w:pPr>
        <w:spacing w:line="480" w:lineRule="auto" w:after="120" w:before="0"/>
      </w:pPr>
      <w:r>
        <w:t>References</w:t>
      </w:r>
    </w:p>
    <w:p>
      <w:pPr>
        <w:spacing w:line="480" w:lineRule="auto" w:after="120" w:before="0"/>
      </w:pPr>
      <w:r>
        <w:t>Appendices</w:t>
      </w:r>
    </w:p>
    <w:p>
      <w:r>
        <w:br w:type="page"/>
      </w:r>
    </w:p>
    <w:p>
      <w:pPr>
        <w:pStyle w:val="Heading1"/>
        <w:spacing w:before="240" w:after="120"/>
      </w:pPr>
      <w:r>
        <w:t>Abstract</w:t>
      </w:r>
    </w:p>
    <w:p>
      <w:pPr>
        <w:spacing w:line="480" w:lineRule="auto" w:after="120" w:before="0"/>
      </w:pPr>
      <w:r>
        <w:t>This report argues that tourism contributes to local economic development only when destinations deliberately convert visitor demand into locally retained value. The analysis rejects the simplistic assumption that higher arrivals automatically mean stronger local development. Tourism becomes developmental when it generates decent employment, creates supplier linkages, expands micro and small enterprises, finances public infrastructure, strengthens regional competitiveness and distributes benefits beyond accommodation owners and external tour operators. The report applies a leakage controlled value chain approach to 3 current destination examples: Rwanda's gorilla tourism economy, Kerala's responsible tourism platform and AlUla's cultural oasis development model. These cases show that tourism can operate as an economic diversification instrument, but only where procurement rules, community benefit sharing, training systems, visitor levies, destination data and investment governance are technically designed. The report finds that employment quality, local sourcing, land value inflation, import dependency and unequal bargaining power are the decisive variables. It recommends a local value capture ratio, community procurement compact, small enterprise accelerator and infrastructure reinvestment rule for destinations that want tourism growth to produce measurable local development rather than short term visitor volume.</w:t>
      </w:r>
    </w:p>
    <w:p>
      <w:pPr>
        <w:jc w:val="center"/>
      </w:pPr>
      <w:r>
        <w:drawing>
          <wp:inline xmlns:a="http://schemas.openxmlformats.org/drawingml/2006/main" xmlns:pic="http://schemas.openxmlformats.org/drawingml/2006/picture">
            <wp:extent cx="6035040" cy="3394710"/>
            <wp:docPr id="1" name="Picture 1"/>
            <wp:cNvGraphicFramePr>
              <a:graphicFrameLocks noChangeAspect="1"/>
            </wp:cNvGraphicFramePr>
            <a:graphic>
              <a:graphicData uri="http://schemas.openxmlformats.org/drawingml/2006/picture">
                <pic:pic>
                  <pic:nvPicPr>
                    <pic:cNvPr id="0" name="option1_flow.png"/>
                    <pic:cNvPicPr/>
                  </pic:nvPicPr>
                  <pic:blipFill>
                    <a:blip r:embed="rId10"/>
                    <a:stretch>
                      <a:fillRect/>
                    </a:stretch>
                  </pic:blipFill>
                  <pic:spPr>
                    <a:xfrm>
                      <a:off x="0" y="0"/>
                      <a:ext cx="6035040" cy="3394710"/>
                    </a:xfrm>
                    <a:prstGeom prst="rect"/>
                  </pic:spPr>
                </pic:pic>
              </a:graphicData>
            </a:graphic>
          </wp:inline>
        </w:drawing>
      </w:r>
    </w:p>
    <w:p>
      <w:pPr>
        <w:spacing w:line="276" w:lineRule="auto"/>
        <w:jc w:val="center"/>
      </w:pPr>
      <w:r>
        <w:rPr>
          <w:i/>
          <w:sz w:val="20"/>
        </w:rPr>
        <w:t>Figure 1. Leakage Controlled Local Tourism Value Capture Model</w:t>
      </w:r>
    </w:p>
    <w:p>
      <w:pPr>
        <w:pStyle w:val="Heading1"/>
        <w:spacing w:before="240" w:after="120"/>
      </w:pPr>
      <w:r>
        <w:t>1. Introduction</w:t>
      </w:r>
    </w:p>
    <w:p>
      <w:pPr>
        <w:spacing w:line="480" w:lineRule="auto" w:after="120" w:before="0"/>
      </w:pPr>
      <w:r>
        <w:t>Tourism is often presented as a low barrier route to local economic development because it monetises place based assets that cannot be relocated: landscape, culture, heritage, food systems, biodiversity, festivals and everyday community life. This claim is partly valid, particularly after the global tourism recovery. UN Tourism reports that international tourism returned to a record trajectory in 2025, while WTTC identifies travel and tourism as a large source of global GDP and employment in 2025 and 2026 (UN Tourism, 2025; WTTC, 2026). However, a local development lens must ask a harder question than whether tourists arrive. The core issue is how much of each visitor dollar is locally captured, who controls the productive assets and whether the destination uses tourism revenue to upgrade residents' capabilities. A destination can receive high tourism numbers and still create weak local development if imported food, foreign owned platforms, external management contracts and seasonal low wage jobs dominate the value chain.</w:t>
      </w:r>
    </w:p>
    <w:p>
      <w:pPr>
        <w:spacing w:line="480" w:lineRule="auto" w:after="120" w:before="0"/>
      </w:pPr>
      <w:r>
        <w:t>This report therefore treats tourism as a development instrument rather than a sector in isolation. Local economic development is defined as the intentional improvement of local income, employment quality, business formation, infrastructure, fiscal capacity and regional productive capability. Tourism contributes to this agenda through 4 linked mechanisms. First, it creates direct employment in accommodation, guiding, food service, transport, interpretation, maintenance and destination management. Second, it creates indirect income through supply chains for agriculture, crafts, construction, energy, cleaning, cultural production and digital services. Third, it generates fiscal and quasi fiscal revenues through park fees, accommodation taxes, visitor levies, licences and concession payments. Fourth, it can increase regional competitiveness by justifying investment in roads, broadband, water systems, airports, training institutions and public realm improvements that also serve residents.</w:t>
      </w:r>
    </w:p>
    <w:p>
      <w:pPr>
        <w:spacing w:line="480" w:lineRule="auto" w:after="120" w:before="0"/>
      </w:pPr>
      <w:r>
        <w:t>The report uses 3 destination examples because a single case would make the analysis too narrow. Rwanda illustrates conservation based high value tourism and formal revenue sharing. Kerala illustrates a decentralised responsible tourism model where local households, women entrepreneurs, farmers, craft producers and community guides are linked to visitor demand. AlUla illustrates a state led heritage and oasis regeneration strategy where infrastructure investment and regional positioning are central to economic diversification. These examples are deliberately different in governance form, market segment and geography. Their comparison makes it possible to separate the general development logic of tourism from destination specific branding narratives.</w:t>
      </w:r>
    </w:p>
    <w:p>
      <w:pPr>
        <w:spacing w:line="480" w:lineRule="auto" w:after="120" w:before="0"/>
      </w:pPr>
      <w:r>
        <w:t>The central argument is that tourism does not automatically reduce poverty or strengthen local economies. It can also intensify dependency, increase land prices, produce precarious work, overuse public infrastructure and concentrate profits among external firms. The technical development task is therefore to move from arrival counting to value capture governance. This requires destinations to measure local procurement, resident employment, enterprise ownership, training progression, distributional effects, infrastructure reinvestment and ecological stress. Without those indicators, tourism policy can confuse market expansion with development cooperation. With them, tourism can be structured as a disciplined local economic platform rather than a promotional campaign.</w:t>
      </w:r>
    </w:p>
    <w:p>
      <w:pPr>
        <w:pStyle w:val="Heading1"/>
        <w:spacing w:before="240" w:after="120"/>
      </w:pPr>
      <w:r>
        <w:t>2. Literature Review</w:t>
      </w:r>
    </w:p>
    <w:p>
      <w:pPr>
        <w:spacing w:line="480" w:lineRule="auto" w:after="120" w:before="0"/>
      </w:pPr>
      <w:r>
        <w:t>Recent tourism policy literature has shifted away from pure growth promotion toward resilience, inclusiveness and sustainability. OECD (2024) argues that the post pandemic tourism economy requires coordinated and forward looking policy because destinations face labour shortages, climate risks, productivity gaps, resident pressure and uneven regional distribution. This matters for local economic development because the quality of governance determines whether tourism functions as a broad based productive ecosystem or a narrow consumption enclave. A destination management organisation that focuses only on marketing cannot correct leakage, skills mismatch or enterprise exclusion. A development oriented tourism system must combine market access, supplier upgrading, finance, skills, infrastructure and social safeguards.</w:t>
      </w:r>
    </w:p>
    <w:p>
      <w:pPr>
        <w:spacing w:line="480" w:lineRule="auto" w:after="120" w:before="0"/>
      </w:pPr>
      <w:r>
        <w:t>The inclusive growth literature also warns that tourism led growth is not identical to inclusive development. Bhatt et al. (2024) show that tourism can support inclusive growth when it is connected to employment, local entrepreneurship and institutional capacity. The implication is that destinations should not evaluate tourism solely through aggregate spending. A more accurate development metric is the local retained expenditure ratio. This can be expressed as: Local value capture ratio = locally retained tourism expenditure / total visitor expenditure × 100. The numerator should include wages paid to local residents, payments to locally owned suppliers, taxes reinvested locally, community funds and locally owned enterprise profits. It should exclude imported inputs, repatriated profits, external platform commissions and debt service paid outside the local economy.</w:t>
      </w:r>
    </w:p>
    <w:p>
      <w:pPr>
        <w:spacing w:line="480" w:lineRule="auto" w:after="120" w:before="0"/>
      </w:pPr>
      <w:r>
        <w:t>Economic leakage remains a decisive constraint. Leakage occurs when visitor expenditure leaves the destination through imported food, imported construction materials, foreign owned hotels, external tour operators, online travel agency commissions, expatriate management payrolls and debt repayment to non local financiers. Hassan (2024) finds that leakage can be empirically measured in tourism systems and must be treated as a structural variable rather than an incidental side effect. For local development cooperation, this means tourism strategy should include local supplier development. Hotels cannot buy local products if farmers lack quality consistency, cold chains, packaging, food safety certification or delivery logistics. Leakage control therefore requires technical intermediation between tourism demand and local production capacity.</w:t>
      </w:r>
    </w:p>
    <w:p>
      <w:pPr>
        <w:spacing w:line="480" w:lineRule="auto" w:after="120" w:before="0"/>
      </w:pPr>
      <w:r>
        <w:t>Community based and responsible tourism research adds another dimension. Krittayaruangroj et al. (2023) show that sustainable community based tourism depends on participation, benefit sharing, governance capacity and long term monitoring. This is relevant to Option 1 because local economic development is not simply a matter of creating businesses. It requires local ownership, voice and bargaining power. A resident who sells fruit to a resort without a stable contract remains vulnerable. A cooperative that negotiates procurement standards, prices and delivery schedules has more developmental value. Similarly, a community guide who is trained, insured, certified and represented in destination planning has a stronger position than an informal guide dependent on tips and seasonal flows.</w:t>
      </w:r>
    </w:p>
    <w:p>
      <w:pPr>
        <w:spacing w:line="480" w:lineRule="auto" w:after="120" w:before="0"/>
      </w:pPr>
      <w:r>
        <w:t>Recent sustainable tourism frameworks also emphasise integrated measurement. GSTC destination standards organise sustainability around management, socio economic impact, culture and environment (GSTC, 2025). Although these criteria are often used for certification, they also function as a development control system. A destination that wants economic benefits must monitor whether tourism employment is decent, whether local purchasing is increasing, whether vulnerable groups are included and whether cultural assets are protected from commodification. This integrated view prevents the common policy error of treating economic development as separate from sustainability. In tourism, the economy uses the local environment and culture as production inputs. If those inputs deteriorate, the economic base becomes fragile.</w:t>
      </w:r>
    </w:p>
    <w:p>
      <w:pPr>
        <w:spacing w:line="480" w:lineRule="auto" w:after="120" w:before="0"/>
      </w:pPr>
      <w:r>
        <w:t>The latest global evidence further shows why the issue is urgent. Tourism's global recovery has created renewed investment pressure, but destinations are also experiencing congestion, housing pressure and resident resistance. The correct policy question is not whether tourism should grow, but under what institutional rules growth should occur. Development cooperation concepts such as public private community partnership, co financing, capacity building and local benefit agreements are therefore central. Tourism can support local economic development when cooperation converts visitor demand into productive local capability. It undermines development when cooperation is absent and tourism becomes a real estate, platform or import dependent economy detached from residents.</w:t>
      </w:r>
    </w:p>
    <w:p>
      <w:pPr>
        <w:pStyle w:val="Heading1"/>
        <w:spacing w:before="240" w:after="120"/>
      </w:pPr>
      <w:r>
        <w:t>3. Methodology</w:t>
      </w:r>
    </w:p>
    <w:p>
      <w:pPr>
        <w:spacing w:line="480" w:lineRule="auto" w:after="120" w:before="0"/>
      </w:pPr>
      <w:r>
        <w:t>The report uses a qualitative comparative case methodology based on recent secondary evidence. The cases were selected through purposive sampling rather than statistical representativeness. Rwanda, Kerala and AlUla were chosen because they represent 3 different routes through which tourism can be connected to local economic development: conservation revenue sharing, decentralised responsible tourism and state led heritage regeneration. The analytical objective is not to rank these destinations. It is to identify transferable mechanisms that can be used by local governments, development agencies and destination managers.</w:t>
      </w:r>
    </w:p>
    <w:p>
      <w:pPr>
        <w:spacing w:line="480" w:lineRule="auto" w:after="120" w:before="0"/>
      </w:pPr>
      <w:r>
        <w:t>The evidence base is restricted to recent sources published mainly from 2021 onward, including international tourism policy reports, destination standards, official tourism information and recent peer reviewed literature. The review focuses on 6 variables: employment creation, income generation, small business growth, infrastructure improvement, entrepreneurship support and risk exposure. Each variable is examined through the lens of value capture. For example, the employment variable is not assessed by job numbers alone, but by seasonality, skill progression, resident access and wage quality. The infrastructure variable is not assessed by construction spending alone, but by whether infrastructure serves residents and reduces transaction costs for local enterprise.</w:t>
      </w:r>
    </w:p>
    <w:p>
      <w:pPr>
        <w:spacing w:line="480" w:lineRule="auto" w:after="120" w:before="0"/>
      </w:pPr>
      <w:r>
        <w:t>The method also uses a diagnostic matrix. Each case is assessed against development mechanism, likely local benefit, risk of leakage, governance control and practical lesson. This is appropriate for a project report because the assignment requires real world relevance and critical analysis rather than primary data collection. The limitation is that secondary sources cannot measure household level distribution in each destination with full precision. The findings should therefore be read as strategic analysis rather than an econometric impact evaluation. The report compensates for this limitation by specifying indicators that future destination managers should collect.</w:t>
      </w:r>
    </w:p>
    <w:p>
      <w:pPr>
        <w:pStyle w:val="Heading1"/>
        <w:spacing w:before="240" w:after="120"/>
      </w:pPr>
      <w:r>
        <w:t>4. Findings</w:t>
      </w:r>
    </w:p>
    <w:p>
      <w:pPr>
        <w:spacing w:line="480" w:lineRule="auto" w:after="120" w:before="0"/>
      </w:pPr>
      <w:r>
        <w:t>The first finding is that tourism creates local employment, but employment is developmental only when there is a skills ladder. Entry level tourism jobs in cleaning, transport support, catering and security may provide income, but they do not automatically create long term capability. Rwanda's gorilla tourism model shows the potential of high value niche tourism to create guiding, conservation, hospitality and community enterprise opportunities around protected areas. Rwanda Development Board reports strong 2024 tourism revenue performance, and recent coverage of Rwanda's conservation model highlights the reinvestment of national park revenues into communities around parks (RDB, 2026; WEF, 2024). The developmental strength is that conservation tourism creates a premium market where visitor expenditure can finance community projects. The weakness is that local inclusion depends on how revenue sharing is governed, which households gain contracts and whether residents move beyond peripheral roles.</w:t>
      </w:r>
    </w:p>
    <w:p>
      <w:pPr>
        <w:spacing w:line="480" w:lineRule="auto" w:after="120" w:before="0"/>
      </w:pPr>
      <w:r>
        <w:t>The second finding is that income generation depends on local procurement architecture. Kerala's responsible tourism experience demonstrates the importance of connecting tourism demand to farmers, local food producers, crafts, cultural performers, women entrepreneurs and household service providers. The technical insight is that tourism markets are fragmented. A hotel or tour operator requires reliable volume, quality, hygiene, delivery timing and payment documentation. Local producers often have cultural authenticity but not the logistical capacity to meet commercial requirements. A responsible tourism mission or local destination intermediary can reduce this coordination failure by mapping suppliers, training producers, standardising products and creating buyer relationships. This makes local sourcing a system, not a moral appeal.</w:t>
      </w:r>
    </w:p>
    <w:p>
      <w:pPr>
        <w:spacing w:line="480" w:lineRule="auto" w:after="120" w:before="0"/>
      </w:pPr>
      <w:r>
        <w:t>The third finding is that tourism can stimulate small business growth when local enterprises have access to both demand and working capital. Typical tourism micro enterprises include homestays, guiding cooperatives, food stalls, transport providers, souvenir producers, cultural workshops, repair services, laundry, photography, language interpretation and digital content services. Yet many fail because they lack booking visibility, quality assurance, insurance, pricing knowledge and cash flow resilience. Kerala's continuing focus on responsible tourism units and women friendly tourism shows the value of structured enterprise ecosystems rather than isolated micro entrepreneurship. The policy lesson is that destinations should create tourism enterprise accelerators that provide training, digital listing support, standard operating procedures, finance access and collective marketing.</w:t>
      </w:r>
    </w:p>
    <w:p>
      <w:pPr>
        <w:spacing w:line="480" w:lineRule="auto" w:after="120" w:before="0"/>
      </w:pPr>
      <w:r>
        <w:t>The fourth finding is that infrastructure improvement is one of tourism's strongest local development contributions, but only if it is planned as shared infrastructure. AlUla's cultural oasis regeneration strategy illustrates how tourism can justify investment in roads, public realm, heritage conservation, visitor facilities, landscape restoration and digital interpretation. The Journey Through Time masterplan positions heritage, oasis regeneration and spatial connectivity as part of a larger destination transformation. This kind of investment can improve regional competitiveness because it upgrades the destination's asset base. The risk is that infrastructure may primarily serve visitors, premium investors and branded zones while lower income residents face displacement or limited access. Development cooperation requires an infrastructure equity test: every major tourism infrastructure project should specify resident benefit, maintenance responsibility and local enterprise access.</w:t>
      </w:r>
    </w:p>
    <w:p>
      <w:pPr>
        <w:spacing w:line="480" w:lineRule="auto" w:after="120" w:before="0"/>
      </w:pPr>
      <w:r>
        <w:t>The fifth finding is that tourism supports regional competitiveness through destination differentiation. Rwanda competes through high value conservation and global biodiversity identity. Kerala competes through responsible, experiential and cultural tourism. AlUla competes through heritage, archaeology, landscape and controlled cultural regeneration. These forms of competitiveness are not reducible to cheaper prices. They depend on institutional quality, authenticity, environmental integrity, safety, service capability and narrative coherence. Local economic development benefits when competitiveness is based on embedded assets rather than imported attractions. However, this also means that cultural and ecological resources become economic infrastructure. They require protection, reinvestment and local consent.</w:t>
      </w:r>
    </w:p>
    <w:p>
      <w:pPr>
        <w:spacing w:line="480" w:lineRule="auto" w:after="120" w:before="0"/>
      </w:pPr>
      <w:r>
        <w:t>The sixth finding is that tourism dependency is a serious structural risk. A destination that becomes too dependent on visitor spending is exposed to pandemics, aviation disruption, exchange rate shifts, geopolitical shocks, climate events and changing consumer preferences. Tourism dependency is especially risky where alternative sectors are weak and households borrow to build tourism related assets. The recent pandemic already demonstrated that tourism demand can collapse quickly. Therefore, tourism should be designed as one component of a diversified local economy. The strongest model is not tourism replacing agriculture, conservation, manufacturing or services, but tourism creating additional markets for them. For example, culinary tourism should raise demand for local agriculture; cultural tourism should support creative industries; nature tourism should finance conservation jobs.</w:t>
      </w:r>
    </w:p>
    <w:p>
      <w:pPr>
        <w:spacing w:line="480" w:lineRule="auto" w:after="120" w:before="0"/>
      </w:pPr>
      <w:r>
        <w:t>The seventh finding is that unequal distribution is not accidental. It is produced by property ownership, licensing rules, investment incentives, platform access and political influence. High end resorts may create jobs but capture most profit. Online platforms may expand bookings but extract commissions. Destination branding may use community culture while communities remain weakly compensated. This creates a distributive contradiction: tourism markets sell locality, but the financial value of locality can be captured by non local actors. A community benefit agreement can correct this problem by requiring local hiring targets, training budgets, procurement percentages, cultural intellectual property safeguards, visitor levy contributions and grievance mechanisms.</w:t>
      </w:r>
    </w:p>
    <w:p>
      <w:pPr>
        <w:spacing w:line="480" w:lineRule="auto" w:after="120" w:before="0"/>
      </w:pPr>
      <w:r>
        <w:t>The eighth finding is that public finance instruments are underused. Visitor levies, park fees, bed taxes and concession fees can finance waste management, heritage maintenance, visitor dispersal, public toilets, footpaths, training centres, digital data systems and small enterprise funds. Rwanda's revenue sharing approach is important because it turns conservation based tourism income into local social investment. The World Bank notes that Rwanda has a programme to share tourism revenues with poor and disadvantaged groups near protected areas and also allocates funding to prevent human wildlife conflict (World Bank, 2023). This illustrates how tourism revenue can be earmarked for local public goods. However, earmarking must be transparent, audited and participatory, otherwise communities may not trust that tourism revenue is actually being returned.</w:t>
      </w:r>
    </w:p>
    <w:p>
      <w:pPr>
        <w:spacing w:line="480" w:lineRule="auto" w:after="120" w:before="0"/>
      </w:pPr>
      <w:r>
        <w:t>The final finding is that destination data must change. Most destinations still track arrivals, occupancy and visitor spending more carefully than they track local retention. A development oriented tourism observatory should monitor local value capture ratio, tourism wage progression, share of procurement from local suppliers, number of locally owned firms in the visitor economy, gender distribution of enterprise ownership, resident sentiment, infrastructure pressure and leakage channels. These metrics would allow tourism boards to manage development performance rather than merely market the destination.</w:t>
      </w:r>
    </w:p>
    <w:p>
      <w:pPr>
        <w:spacing w:line="480" w:lineRule="auto" w:after="120" w:before="0"/>
      </w:pPr>
      <w:r>
        <w:rPr>
          <w:b/>
        </w:rPr>
        <w:t>Table 1. Comparative diagnosis of tourism as local economic development</w:t>
      </w:r>
    </w:p>
    <w:tbl>
      <w:tblPr>
        <w:tblStyle w:val="TableGrid"/>
        <w:tblW w:type="auto" w:w="0"/>
        <w:jc w:val="center"/>
        <w:tblLook w:firstColumn="1" w:firstRow="1" w:lastColumn="0" w:lastRow="0" w:noHBand="0" w:noVBand="1" w:val="04A0"/>
      </w:tblPr>
      <w:tblGrid>
        <w:gridCol w:w="2340"/>
        <w:gridCol w:w="2340"/>
        <w:gridCol w:w="2340"/>
        <w:gridCol w:w="2340"/>
      </w:tblGrid>
      <w:tr>
        <w:trPr>
          <w:tblHeader w:val="true"/>
        </w:trPr>
        <w:tc>
          <w:tcPr>
            <w:tcW w:type="dxa" w:w="2340"/>
            <w:shd w:fill="D9EAF7"/>
            <w:vAlign w:val="center"/>
          </w:tcPr>
          <w:p>
            <w:pPr>
              <w:jc w:val="center"/>
            </w:pPr>
            <w:r>
              <w:rPr>
                <w:b/>
              </w:rPr>
              <w:t>Case</w:t>
            </w:r>
          </w:p>
        </w:tc>
        <w:tc>
          <w:tcPr>
            <w:tcW w:type="dxa" w:w="2340"/>
            <w:shd w:fill="D9EAF7"/>
            <w:vAlign w:val="center"/>
          </w:tcPr>
          <w:p>
            <w:pPr>
              <w:jc w:val="center"/>
            </w:pPr>
            <w:r>
              <w:rPr>
                <w:b/>
              </w:rPr>
              <w:t>Development mechanism</w:t>
            </w:r>
          </w:p>
        </w:tc>
        <w:tc>
          <w:tcPr>
            <w:tcW w:type="dxa" w:w="2340"/>
            <w:shd w:fill="D9EAF7"/>
            <w:vAlign w:val="center"/>
          </w:tcPr>
          <w:p>
            <w:pPr>
              <w:jc w:val="center"/>
            </w:pPr>
            <w:r>
              <w:rPr>
                <w:b/>
              </w:rPr>
              <w:t>Technical risk</w:t>
            </w:r>
          </w:p>
        </w:tc>
        <w:tc>
          <w:tcPr>
            <w:tcW w:type="dxa" w:w="2340"/>
            <w:shd w:fill="D9EAF7"/>
            <w:vAlign w:val="center"/>
          </w:tcPr>
          <w:p>
            <w:pPr>
              <w:jc w:val="center"/>
            </w:pPr>
            <w:r>
              <w:rPr>
                <w:b/>
              </w:rPr>
              <w:t>Development lesson</w:t>
            </w:r>
          </w:p>
        </w:tc>
      </w:tr>
      <w:tr>
        <w:tc>
          <w:tcPr>
            <w:tcW w:type="dxa" w:w="2340"/>
            <w:vAlign w:val="top"/>
          </w:tcPr>
          <w:p>
            <w:pPr>
              <w:spacing w:line="276" w:lineRule="auto" w:after="40"/>
            </w:pPr>
            <w:r>
              <w:rPr>
                <w:rFonts w:ascii="Times New Roman" w:hAnsi="Times New Roman" w:eastAsia="Times New Roman"/>
                <w:sz w:val="20"/>
              </w:rPr>
              <w:t>Rwanda gorilla tourism</w:t>
            </w:r>
          </w:p>
        </w:tc>
        <w:tc>
          <w:tcPr>
            <w:tcW w:type="dxa" w:w="2340"/>
            <w:vAlign w:val="top"/>
          </w:tcPr>
          <w:p>
            <w:pPr>
              <w:spacing w:line="276" w:lineRule="auto" w:after="40"/>
            </w:pPr>
            <w:r>
              <w:rPr>
                <w:rFonts w:ascii="Times New Roman" w:hAnsi="Times New Roman" w:eastAsia="Times New Roman"/>
                <w:sz w:val="20"/>
              </w:rPr>
              <w:t>High value conservation tourism, park revenue sharing, guiding and conservation employment.</w:t>
            </w:r>
          </w:p>
        </w:tc>
        <w:tc>
          <w:tcPr>
            <w:tcW w:type="dxa" w:w="2340"/>
            <w:vAlign w:val="top"/>
          </w:tcPr>
          <w:p>
            <w:pPr>
              <w:spacing w:line="276" w:lineRule="auto" w:after="40"/>
            </w:pPr>
            <w:r>
              <w:rPr>
                <w:rFonts w:ascii="Times New Roman" w:hAnsi="Times New Roman" w:eastAsia="Times New Roman"/>
                <w:sz w:val="20"/>
              </w:rPr>
              <w:t>Benefit distribution can be uneven if communities near protected areas remain dependent on compensation rather than enterprise ownership.</w:t>
            </w:r>
          </w:p>
        </w:tc>
        <w:tc>
          <w:tcPr>
            <w:tcW w:type="dxa" w:w="2340"/>
            <w:vAlign w:val="top"/>
          </w:tcPr>
          <w:p>
            <w:pPr>
              <w:spacing w:line="276" w:lineRule="auto" w:after="40"/>
            </w:pPr>
            <w:r>
              <w:rPr>
                <w:rFonts w:ascii="Times New Roman" w:hAnsi="Times New Roman" w:eastAsia="Times New Roman"/>
                <w:sz w:val="20"/>
              </w:rPr>
              <w:t>Premium tourism should be paired with audited revenue sharing, training ladders and community procurement.</w:t>
            </w:r>
          </w:p>
        </w:tc>
      </w:tr>
      <w:tr>
        <w:tc>
          <w:tcPr>
            <w:tcW w:type="dxa" w:w="2340"/>
            <w:vAlign w:val="top"/>
          </w:tcPr>
          <w:p>
            <w:pPr>
              <w:spacing w:line="276" w:lineRule="auto" w:after="40"/>
            </w:pPr>
            <w:r>
              <w:rPr>
                <w:rFonts w:ascii="Times New Roman" w:hAnsi="Times New Roman" w:eastAsia="Times New Roman"/>
                <w:sz w:val="20"/>
              </w:rPr>
              <w:t>Kerala responsible tourism</w:t>
            </w:r>
          </w:p>
        </w:tc>
        <w:tc>
          <w:tcPr>
            <w:tcW w:type="dxa" w:w="2340"/>
            <w:vAlign w:val="top"/>
          </w:tcPr>
          <w:p>
            <w:pPr>
              <w:spacing w:line="276" w:lineRule="auto" w:after="40"/>
            </w:pPr>
            <w:r>
              <w:rPr>
                <w:rFonts w:ascii="Times New Roman" w:hAnsi="Times New Roman" w:eastAsia="Times New Roman"/>
                <w:sz w:val="20"/>
              </w:rPr>
              <w:t>Local households, women entrepreneurs, farmers, guides and craft producers are connected to visitor demand.</w:t>
            </w:r>
          </w:p>
        </w:tc>
        <w:tc>
          <w:tcPr>
            <w:tcW w:type="dxa" w:w="2340"/>
            <w:vAlign w:val="top"/>
          </w:tcPr>
          <w:p>
            <w:pPr>
              <w:spacing w:line="276" w:lineRule="auto" w:after="40"/>
            </w:pPr>
            <w:r>
              <w:rPr>
                <w:rFonts w:ascii="Times New Roman" w:hAnsi="Times New Roman" w:eastAsia="Times New Roman"/>
                <w:sz w:val="20"/>
              </w:rPr>
              <w:t>Micro enterprises may remain small if quality assurance, finance and digital market access are weak.</w:t>
            </w:r>
          </w:p>
        </w:tc>
        <w:tc>
          <w:tcPr>
            <w:tcW w:type="dxa" w:w="2340"/>
            <w:vAlign w:val="top"/>
          </w:tcPr>
          <w:p>
            <w:pPr>
              <w:spacing w:line="276" w:lineRule="auto" w:after="40"/>
            </w:pPr>
            <w:r>
              <w:rPr>
                <w:rFonts w:ascii="Times New Roman" w:hAnsi="Times New Roman" w:eastAsia="Times New Roman"/>
                <w:sz w:val="20"/>
              </w:rPr>
              <w:t>A destination intermediary is needed to convert community assets into reliable tourism supply chains.</w:t>
            </w:r>
          </w:p>
        </w:tc>
      </w:tr>
      <w:tr>
        <w:tc>
          <w:tcPr>
            <w:tcW w:type="dxa" w:w="2340"/>
            <w:vAlign w:val="top"/>
          </w:tcPr>
          <w:p>
            <w:pPr>
              <w:spacing w:line="276" w:lineRule="auto" w:after="40"/>
            </w:pPr>
            <w:r>
              <w:rPr>
                <w:rFonts w:ascii="Times New Roman" w:hAnsi="Times New Roman" w:eastAsia="Times New Roman"/>
                <w:sz w:val="20"/>
              </w:rPr>
              <w:t>AlUla cultural oasis</w:t>
            </w:r>
          </w:p>
        </w:tc>
        <w:tc>
          <w:tcPr>
            <w:tcW w:type="dxa" w:w="2340"/>
            <w:vAlign w:val="top"/>
          </w:tcPr>
          <w:p>
            <w:pPr>
              <w:spacing w:line="276" w:lineRule="auto" w:after="40"/>
            </w:pPr>
            <w:r>
              <w:rPr>
                <w:rFonts w:ascii="Times New Roman" w:hAnsi="Times New Roman" w:eastAsia="Times New Roman"/>
                <w:sz w:val="20"/>
              </w:rPr>
              <w:t>Heritage regeneration, infrastructure investment, destination branding and regional diversification.</w:t>
            </w:r>
          </w:p>
        </w:tc>
        <w:tc>
          <w:tcPr>
            <w:tcW w:type="dxa" w:w="2340"/>
            <w:vAlign w:val="top"/>
          </w:tcPr>
          <w:p>
            <w:pPr>
              <w:spacing w:line="276" w:lineRule="auto" w:after="40"/>
            </w:pPr>
            <w:r>
              <w:rPr>
                <w:rFonts w:ascii="Times New Roman" w:hAnsi="Times New Roman" w:eastAsia="Times New Roman"/>
                <w:sz w:val="20"/>
              </w:rPr>
              <w:t>Large scale investment can create enclave effects if resident access and local procurement are weak.</w:t>
            </w:r>
          </w:p>
        </w:tc>
        <w:tc>
          <w:tcPr>
            <w:tcW w:type="dxa" w:w="2340"/>
            <w:vAlign w:val="top"/>
          </w:tcPr>
          <w:p>
            <w:pPr>
              <w:spacing w:line="276" w:lineRule="auto" w:after="40"/>
            </w:pPr>
            <w:r>
              <w:rPr>
                <w:rFonts w:ascii="Times New Roman" w:hAnsi="Times New Roman" w:eastAsia="Times New Roman"/>
                <w:sz w:val="20"/>
              </w:rPr>
              <w:t>Infrastructure must pass a resident benefit and local enterprise access test.</w:t>
            </w:r>
          </w:p>
        </w:tc>
      </w:tr>
    </w:tbl>
    <w:p/>
    <w:p>
      <w:pPr>
        <w:pStyle w:val="Heading1"/>
        <w:spacing w:before="240" w:after="120"/>
      </w:pPr>
      <w:r>
        <w:t>5. Discussion</w:t>
      </w:r>
    </w:p>
    <w:p>
      <w:pPr>
        <w:spacing w:line="480" w:lineRule="auto" w:after="120" w:before="0"/>
      </w:pPr>
      <w:r>
        <w:t>The evidence suggests that tourism is best understood as a territorial value chain. The visitor economy starts before arrival with booking platforms, air access and tour packaging; it continues through accommodation, mobility, attractions, food, retail and experiences; and it ends in reviews, repeat visitation and destination reputation. Local economic development depends on where local actors sit in that chain. If residents only supply low wage labour at the final service point, the development effect is shallow. If residents own firms, supply inputs, manage cultural products, participate in governance and receive reinvested public revenues, the effect is deeper. This is why tourism development cooperation should not be limited to promotion. It must intervene in market structure.</w:t>
      </w:r>
    </w:p>
    <w:p>
      <w:pPr>
        <w:spacing w:line="480" w:lineRule="auto" w:after="120" w:before="0"/>
      </w:pPr>
      <w:r>
        <w:t>A technical value capture strategy has 5 components. The first component is local procurement engineering. Destination managers should map tourism demand by product category, then identify which goods and services can be locally supplied within acceptable quality and price bands. The second component is supplier upgrading. Farmers, artisans and household businesses need training, certification, packaging, accounting, digital payment systems and collective logistics. The third component is contractual inclusion. Hotels and tour operators should use supplier contracts that provide stable demand, payment timelines and quality expectations. The fourth component is value transparency. Local value capture should be reported annually by the destination. The fifth component is adaptive governance. If leakage remains high, incentives and procurement rules should be adjusted.</w:t>
      </w:r>
    </w:p>
    <w:p>
      <w:pPr>
        <w:spacing w:line="480" w:lineRule="auto" w:after="120" w:before="0"/>
      </w:pPr>
      <w:r>
        <w:t>Employment policy requires equal precision. Counting jobs is insufficient because tourism can produce casual, seasonal and low paid work. A developmental employment model should classify jobs by skill level, contract stability, wage progression and resident access. Training should not stop at hospitality service. It should include interpretation, languages, digital marketing, conservation monitoring, event management, food safety, financial management, guiding, maintenance and destination analytics. Tourism can then create a labour market ladder. This is critical for youth retention in rural or peripheral regions where migration is often driven by lack of skilled local work.</w:t>
      </w:r>
    </w:p>
    <w:p>
      <w:pPr>
        <w:spacing w:line="480" w:lineRule="auto" w:after="120" w:before="0"/>
      </w:pPr>
      <w:r>
        <w:t>Small business support must also be realistic. Many tourism policies celebrate entrepreneurship without addressing market power. A small craft producer cannot negotiate fairly with a large resort chain without cooperative organisation or an intermediary. A homestay cannot compete online without professional photographs, standard booking policies and quality assurance. A local guide cannot access premium visitor segments without certification and insurance. Therefore, entrepreneurship policy should create shared platforms, cooperative procurement, destination quality marks and pooled marketing. The objective is to reduce transaction costs that prevent micro and small enterprises from entering formal tourism markets.</w:t>
      </w:r>
    </w:p>
    <w:p>
      <w:pPr>
        <w:spacing w:line="480" w:lineRule="auto" w:after="120" w:before="0"/>
      </w:pPr>
      <w:r>
        <w:t>Infrastructure needs a resident first principle. Tourism infrastructure often improves place accessibility and attractiveness, but it can also redirect public expenditure toward visitor zones while local neighbourhoods face waste, congestion, water pressure and housing inflation. The infrastructure equity test proposed in this report has 4 questions. Does the project reduce costs for local enterprises? Does it improve resident quality of life? Does it protect the ecological or cultural asset that generates tourism demand? Does it include a financing plan for maintenance? If the answer to any question is negative, the project should be redesigned before it is presented as local development.</w:t>
      </w:r>
    </w:p>
    <w:p>
      <w:pPr>
        <w:spacing w:line="480" w:lineRule="auto" w:after="120" w:before="0"/>
      </w:pPr>
      <w:r>
        <w:t>The major risk is tourism dependency. Destinations often become enthusiastic when visitor spending increases, but dependency reduces resilience. A leakage controlled tourism strategy should therefore support economic diversification. Culinary tourism should strengthen agriculture; heritage tourism should strengthen creative industries; nature tourism should finance conservation and scientific monitoring; events tourism should strengthen logistics, digital services and local production. In this way, tourism becomes a market amplifier for other sectors, not a substitute for them. This approach also reduces political pressure to overexpand visitor numbers because development gains are achieved through higher retained value rather than only higher volume.</w:t>
      </w:r>
    </w:p>
    <w:p>
      <w:pPr>
        <w:spacing w:line="480" w:lineRule="auto" w:after="120" w:before="0"/>
      </w:pPr>
      <w:r>
        <w:t>Unequal distribution must be addressed before it becomes resident resistance. Tourism can create visible winners and losers. Property owners near attractions gain rents; renters face price pressure. Skilled bilingual workers gain opportunities; informal workers remain marginal. External investors gain asset appreciation; residents face congestion and cultural disturbance. These distributional problems cannot be solved by destination branding. They require benefit sharing rules, land use regulation, affordable housing protection, limits on short term rentals where necessary, community funds and participatory budgeting. Local development cooperation should include government, private firms, community organisations and NGOs because each controls different levers.</w:t>
      </w:r>
    </w:p>
    <w:p>
      <w:pPr>
        <w:spacing w:line="480" w:lineRule="auto" w:after="120" w:before="0"/>
      </w:pPr>
      <w:r>
        <w:t>The 3 case examples demonstrate that there is no single model. Rwanda's strength is formal revenue sharing linked to conservation value. Kerala's strength is decentralised participation and responsible tourism units. AlUla's strength is large scale asset regeneration and investment coordination. Each also has risks. Rwanda must ensure community revenue reaches the most affected households and does not merely compensate for restrictions on land use. Kerala must ensure that responsible tourism units maintain quality, scale and market access beyond pilot enthusiasm. AlUla must ensure that heritage development does not become an enclave model where local residents are symbolic rather than economically central. These risks show why tourism policy must be evaluated through governance quality, not promotional ambition.</w:t>
      </w:r>
    </w:p>
    <w:p>
      <w:pPr>
        <w:spacing w:line="480" w:lineRule="auto" w:after="120" w:before="0"/>
      </w:pPr>
      <w:r>
        <w:t>The practical recommendation is to adopt a local tourism development compact. The compact should set numerical targets for local hiring, procurement, training, enterprise ownership, community fund allocation and resident satisfaction. It should be signed by local government, the destination management body, major accommodation providers, tour operators, community representatives and relevant NGOs. It should be monitored through an independent tourism observatory. The observatory should publish an annual dashboard showing local value capture ratio, leakage risks, employment quality, infrastructure pressure and distributional outcomes. This would convert tourism from a narrative of growth into a measurable development cooperation system.</w:t>
      </w:r>
    </w:p>
    <w:p>
      <w:pPr>
        <w:spacing w:line="480" w:lineRule="auto" w:after="120" w:before="0"/>
      </w:pPr>
      <w:r>
        <w:rPr>
          <w:b/>
        </w:rPr>
        <w:t>Table 2. Recommended technical indicators for Option 1</w:t>
      </w:r>
    </w:p>
    <w:tbl>
      <w:tblPr>
        <w:tblStyle w:val="TableGrid"/>
        <w:tblW w:type="auto" w:w="0"/>
        <w:jc w:val="center"/>
        <w:tblLook w:firstColumn="1" w:firstRow="1" w:lastColumn="0" w:lastRow="0" w:noHBand="0" w:noVBand="1" w:val="04A0"/>
      </w:tblPr>
      <w:tblGrid>
        <w:gridCol w:w="3120"/>
        <w:gridCol w:w="3120"/>
        <w:gridCol w:w="3120"/>
      </w:tblGrid>
      <w:tr>
        <w:trPr>
          <w:tblHeader w:val="true"/>
        </w:trPr>
        <w:tc>
          <w:tcPr>
            <w:tcW w:type="dxa" w:w="3120"/>
            <w:shd w:fill="D9EAF7"/>
            <w:vAlign w:val="center"/>
          </w:tcPr>
          <w:p>
            <w:pPr>
              <w:jc w:val="center"/>
            </w:pPr>
            <w:r>
              <w:rPr>
                <w:b/>
              </w:rPr>
              <w:t>Indicator</w:t>
            </w:r>
          </w:p>
        </w:tc>
        <w:tc>
          <w:tcPr>
            <w:tcW w:type="dxa" w:w="3120"/>
            <w:shd w:fill="D9EAF7"/>
            <w:vAlign w:val="center"/>
          </w:tcPr>
          <w:p>
            <w:pPr>
              <w:jc w:val="center"/>
            </w:pPr>
            <w:r>
              <w:rPr>
                <w:b/>
              </w:rPr>
              <w:t>Formula or measurement</w:t>
            </w:r>
          </w:p>
        </w:tc>
        <w:tc>
          <w:tcPr>
            <w:tcW w:type="dxa" w:w="3120"/>
            <w:shd w:fill="D9EAF7"/>
            <w:vAlign w:val="center"/>
          </w:tcPr>
          <w:p>
            <w:pPr>
              <w:jc w:val="center"/>
            </w:pPr>
            <w:r>
              <w:rPr>
                <w:b/>
              </w:rPr>
              <w:t>Why it matters</w:t>
            </w:r>
          </w:p>
        </w:tc>
      </w:tr>
      <w:tr>
        <w:tc>
          <w:tcPr>
            <w:tcW w:type="dxa" w:w="3120"/>
            <w:vAlign w:val="top"/>
          </w:tcPr>
          <w:p>
            <w:pPr>
              <w:spacing w:line="276" w:lineRule="auto" w:after="40"/>
            </w:pPr>
            <w:r>
              <w:rPr>
                <w:rFonts w:ascii="Times New Roman" w:hAnsi="Times New Roman" w:eastAsia="Times New Roman"/>
                <w:sz w:val="20"/>
              </w:rPr>
              <w:t>Local value capture ratio</w:t>
            </w:r>
          </w:p>
        </w:tc>
        <w:tc>
          <w:tcPr>
            <w:tcW w:type="dxa" w:w="3120"/>
            <w:vAlign w:val="top"/>
          </w:tcPr>
          <w:p>
            <w:pPr>
              <w:spacing w:line="276" w:lineRule="auto" w:after="40"/>
            </w:pPr>
            <w:r>
              <w:rPr>
                <w:rFonts w:ascii="Times New Roman" w:hAnsi="Times New Roman" w:eastAsia="Times New Roman"/>
                <w:sz w:val="20"/>
              </w:rPr>
              <w:t>Local retained visitor expenditure / total visitor expenditure × 100</w:t>
            </w:r>
          </w:p>
        </w:tc>
        <w:tc>
          <w:tcPr>
            <w:tcW w:type="dxa" w:w="3120"/>
            <w:vAlign w:val="top"/>
          </w:tcPr>
          <w:p>
            <w:pPr>
              <w:spacing w:line="276" w:lineRule="auto" w:after="40"/>
            </w:pPr>
            <w:r>
              <w:rPr>
                <w:rFonts w:ascii="Times New Roman" w:hAnsi="Times New Roman" w:eastAsia="Times New Roman"/>
                <w:sz w:val="20"/>
              </w:rPr>
              <w:t>Measures whether tourism spending stays in the local economy.</w:t>
            </w:r>
          </w:p>
        </w:tc>
      </w:tr>
      <w:tr>
        <w:tc>
          <w:tcPr>
            <w:tcW w:type="dxa" w:w="3120"/>
            <w:vAlign w:val="top"/>
          </w:tcPr>
          <w:p>
            <w:pPr>
              <w:spacing w:line="276" w:lineRule="auto" w:after="40"/>
            </w:pPr>
            <w:r>
              <w:rPr>
                <w:rFonts w:ascii="Times New Roman" w:hAnsi="Times New Roman" w:eastAsia="Times New Roman"/>
                <w:sz w:val="20"/>
              </w:rPr>
              <w:t>Local procurement share</w:t>
            </w:r>
          </w:p>
        </w:tc>
        <w:tc>
          <w:tcPr>
            <w:tcW w:type="dxa" w:w="3120"/>
            <w:vAlign w:val="top"/>
          </w:tcPr>
          <w:p>
            <w:pPr>
              <w:spacing w:line="276" w:lineRule="auto" w:after="40"/>
            </w:pPr>
            <w:r>
              <w:rPr>
                <w:rFonts w:ascii="Times New Roman" w:hAnsi="Times New Roman" w:eastAsia="Times New Roman"/>
                <w:sz w:val="20"/>
              </w:rPr>
              <w:t>Value of purchases from local suppliers / total tourism procurement × 100</w:t>
            </w:r>
          </w:p>
        </w:tc>
        <w:tc>
          <w:tcPr>
            <w:tcW w:type="dxa" w:w="3120"/>
            <w:vAlign w:val="top"/>
          </w:tcPr>
          <w:p>
            <w:pPr>
              <w:spacing w:line="276" w:lineRule="auto" w:after="40"/>
            </w:pPr>
            <w:r>
              <w:rPr>
                <w:rFonts w:ascii="Times New Roman" w:hAnsi="Times New Roman" w:eastAsia="Times New Roman"/>
                <w:sz w:val="20"/>
              </w:rPr>
              <w:t>Shows the strength of backward linkages to agriculture, crafts and services.</w:t>
            </w:r>
          </w:p>
        </w:tc>
      </w:tr>
      <w:tr>
        <w:tc>
          <w:tcPr>
            <w:tcW w:type="dxa" w:w="3120"/>
            <w:vAlign w:val="top"/>
          </w:tcPr>
          <w:p>
            <w:pPr>
              <w:spacing w:line="276" w:lineRule="auto" w:after="40"/>
            </w:pPr>
            <w:r>
              <w:rPr>
                <w:rFonts w:ascii="Times New Roman" w:hAnsi="Times New Roman" w:eastAsia="Times New Roman"/>
                <w:sz w:val="20"/>
              </w:rPr>
              <w:t>Resident skilled employment share</w:t>
            </w:r>
          </w:p>
        </w:tc>
        <w:tc>
          <w:tcPr>
            <w:tcW w:type="dxa" w:w="3120"/>
            <w:vAlign w:val="top"/>
          </w:tcPr>
          <w:p>
            <w:pPr>
              <w:spacing w:line="276" w:lineRule="auto" w:after="40"/>
            </w:pPr>
            <w:r>
              <w:rPr>
                <w:rFonts w:ascii="Times New Roman" w:hAnsi="Times New Roman" w:eastAsia="Times New Roman"/>
                <w:sz w:val="20"/>
              </w:rPr>
              <w:t>Resident jobs in supervisory or technical roles / total tourism jobs × 100</w:t>
            </w:r>
          </w:p>
        </w:tc>
        <w:tc>
          <w:tcPr>
            <w:tcW w:type="dxa" w:w="3120"/>
            <w:vAlign w:val="top"/>
          </w:tcPr>
          <w:p>
            <w:pPr>
              <w:spacing w:line="276" w:lineRule="auto" w:after="40"/>
            </w:pPr>
            <w:r>
              <w:rPr>
                <w:rFonts w:ascii="Times New Roman" w:hAnsi="Times New Roman" w:eastAsia="Times New Roman"/>
                <w:sz w:val="20"/>
              </w:rPr>
              <w:t>Prevents reliance on low wage and seasonal work as the main development claim.</w:t>
            </w:r>
          </w:p>
        </w:tc>
      </w:tr>
      <w:tr>
        <w:tc>
          <w:tcPr>
            <w:tcW w:type="dxa" w:w="3120"/>
            <w:vAlign w:val="top"/>
          </w:tcPr>
          <w:p>
            <w:pPr>
              <w:spacing w:line="276" w:lineRule="auto" w:after="40"/>
            </w:pPr>
            <w:r>
              <w:rPr>
                <w:rFonts w:ascii="Times New Roman" w:hAnsi="Times New Roman" w:eastAsia="Times New Roman"/>
                <w:sz w:val="20"/>
              </w:rPr>
              <w:t>Community reinvestment rate</w:t>
            </w:r>
          </w:p>
        </w:tc>
        <w:tc>
          <w:tcPr>
            <w:tcW w:type="dxa" w:w="3120"/>
            <w:vAlign w:val="top"/>
          </w:tcPr>
          <w:p>
            <w:pPr>
              <w:spacing w:line="276" w:lineRule="auto" w:after="40"/>
            </w:pPr>
            <w:r>
              <w:rPr>
                <w:rFonts w:ascii="Times New Roman" w:hAnsi="Times New Roman" w:eastAsia="Times New Roman"/>
                <w:sz w:val="20"/>
              </w:rPr>
              <w:t>Tourism taxes, fees and levies reinvested locally / total public tourism revenue × 100</w:t>
            </w:r>
          </w:p>
        </w:tc>
        <w:tc>
          <w:tcPr>
            <w:tcW w:type="dxa" w:w="3120"/>
            <w:vAlign w:val="top"/>
          </w:tcPr>
          <w:p>
            <w:pPr>
              <w:spacing w:line="276" w:lineRule="auto" w:after="40"/>
            </w:pPr>
            <w:r>
              <w:rPr>
                <w:rFonts w:ascii="Times New Roman" w:hAnsi="Times New Roman" w:eastAsia="Times New Roman"/>
                <w:sz w:val="20"/>
              </w:rPr>
              <w:t>Tests whether visitor pressure funds resident infrastructure and social benefits.</w:t>
            </w:r>
          </w:p>
        </w:tc>
      </w:tr>
    </w:tbl>
    <w:p/>
    <w:p>
      <w:pPr>
        <w:pStyle w:val="Heading1"/>
        <w:spacing w:before="240" w:after="120"/>
      </w:pPr>
      <w:r>
        <w:t>6. Technical Implementation Architecture</w:t>
      </w:r>
    </w:p>
    <w:p>
      <w:pPr>
        <w:spacing w:line="480" w:lineRule="auto" w:after="120" w:before="0"/>
      </w:pPr>
      <w:r>
        <w:t>A tourism based local economic development strategy should begin with a value chain census. The destination authority should list the main expenditure categories in the visitor economy: accommodation, food, transport, excursions, guiding, retail, cultural experiences, events, cleaning, laundry, construction, waste, energy and digital distribution. Each category should then be coded by ownership, import dependence, substitutability and potential for local upgrading. This creates a technical map of where leakage occurs and where intervention is feasible. For example, imported hotel furniture may be difficult to localise quickly, but food procurement, guiding, cultural products, transport services, laundry, maintenance and landscape management may be easier to localise within 12 to 18 months. The purpose is not autarky. The purpose is strategic embeddedness, where the destination deliberately increases the share of visitor expenditure that strengthens the local productive base.</w:t>
      </w:r>
    </w:p>
    <w:p>
      <w:pPr>
        <w:spacing w:line="480" w:lineRule="auto" w:after="120" w:before="0"/>
      </w:pPr>
      <w:r>
        <w:t>The second implementation layer is a local procurement compact. Hotels, tour operators, restaurants and public attractions should agree minimum local procurement targets by category. The compact should not simply demand local purchasing, because firms may reasonably worry about quality and reliability. It should include a supplier development pipeline, product specifications, delivery schedules, payment terms and dispute resolution. A destination food hub can aggregate products from small farmers, test quality, manage cold storage and deliver to accommodation providers. A craft cooperative can standardise pricing, provenance labels and visitor ready packaging. In this model, local procurement becomes a managed logistics system rather than a charity commitment.</w:t>
      </w:r>
    </w:p>
    <w:p>
      <w:pPr>
        <w:spacing w:line="480" w:lineRule="auto" w:after="120" w:before="0"/>
      </w:pPr>
      <w:r>
        <w:t>The third layer is finance. Small tourism enterprises often fail because they carry fixed costs during low season and face delayed payment from buyers. A local tourism enterprise fund should therefore provide small working capital loans, grant support for safety upgrades, digital booking support and accounting assistance. Financing should be linked to training completion and participation in quality assurance. This reduces default risk and improves professional standards. The fund can be financed through a small visitor levy, a percentage of concession fees and co finance from development agencies. The key rule is ring fencing. Revenue raised from visitor pressure should be visibly reinvested in local capability and public goods.</w:t>
      </w:r>
    </w:p>
    <w:p>
      <w:pPr>
        <w:spacing w:line="480" w:lineRule="auto" w:after="120" w:before="0"/>
      </w:pPr>
      <w:r>
        <w:t>The fourth layer is an employment progression system. Local governments and tourism colleges should classify tourism jobs into entry, skilled, supervisory, entrepreneurial and specialist categories. Training should then move residents from entry positions toward higher value roles such as certified guiding, operations supervision, revenue management, digital marketing, conservation monitoring, interpretation, food enterprise management and event production. Each major tourism investor should publish a resident skills plan. This would prevent the common pattern in which local residents receive front line service jobs while technical and managerial positions go to external workers.</w:t>
      </w:r>
    </w:p>
    <w:p>
      <w:pPr>
        <w:spacing w:line="480" w:lineRule="auto" w:after="120" w:before="0"/>
      </w:pPr>
      <w:r>
        <w:t>The fifth layer is a distributional impact review. Tourism development proposals should identify who gains, who pays and who is exposed to risk. The review should examine tenants, informal workers, women, youth, cultural custodians, transport users, farmers and households near attractions. It should also assess land price impacts and possible displacement. If benefits are concentrated and costs are diffuse, approval should be conditional on mitigation such as affordable housing rules, public transport improvements, community funds or limits on visitor concentration. This makes local economic development more credible because it recognises that aggregate growth can hide local loss.</w:t>
      </w:r>
    </w:p>
    <w:p>
      <w:pPr>
        <w:spacing w:line="480" w:lineRule="auto" w:after="120" w:before="0"/>
      </w:pPr>
      <w:r>
        <w:t>The final layer is adaptive regulation. Local value capture targets should be reviewed annually. If local procurement remains low, the destination can revise incentives, provide additional supplier support or require higher local sourcing in public concessions. If resident employment remains concentrated at low skill levels, training contracts can be redesigned. If tourism revenue rises but infrastructure pressure worsens, levy allocation can shift toward waste, water or transport. This adaptive architecture is what separates tourism as development cooperation from tourism as marketing.</w:t>
      </w:r>
    </w:p>
    <w:p>
      <w:pPr>
        <w:pStyle w:val="Heading1"/>
        <w:spacing w:before="240" w:after="120"/>
      </w:pPr>
      <w:r>
        <w:t>7. Conclusion and Recommendations</w:t>
      </w:r>
    </w:p>
    <w:p>
      <w:pPr>
        <w:spacing w:line="480" w:lineRule="auto" w:after="120" w:before="0"/>
      </w:pPr>
      <w:r>
        <w:t>Tourism can support local economic development, but only when destinations design the visitor economy as a local value capture system. The strongest development effects arise when tourism creates decent employment, stable supplier contracts, small enterprise growth, shared infrastructure, resident skills and transparent reinvestment. The weakest outcomes arise when growth is dominated by leakage, external ownership, seasonal work and unequal benefit distribution. The 3 destination examples show that tourism can finance conservation, empower local suppliers and regenerate heritage assets, but each model requires governance discipline. The recommended approach is to move from arrival based success to retained value based success. Destinations should adopt a local value capture ratio, supplier upgrading programme, community benefit agreement, visitor levy reinvestment rule and tourism observatory. These instruments make tourism a technical development strategy rather than a generic promise of growth.</w:t>
      </w:r>
    </w:p>
    <w:p>
      <w:r>
        <w:br w:type="page"/>
      </w:r>
    </w:p>
    <w:p>
      <w:pPr>
        <w:pStyle w:val="Heading1"/>
        <w:spacing w:before="240" w:after="120"/>
      </w:pPr>
      <w:r>
        <w:t>References</w:t>
      </w:r>
    </w:p>
    <w:p>
      <w:pPr>
        <w:spacing w:line="480" w:lineRule="auto" w:after="120" w:before="0"/>
        <w:ind w:left="720" w:hanging="720"/>
      </w:pPr>
      <w:r>
        <w:t>Bhatt, K., et al. (2024). Tourism led inclusive growth in emerging and developing economies. Sage Open. https://doi.org/10.1177/21582440241252516</w:t>
      </w:r>
    </w:p>
    <w:p>
      <w:pPr>
        <w:spacing w:line="480" w:lineRule="auto" w:after="120" w:before="0"/>
        <w:ind w:left="720" w:hanging="720"/>
      </w:pPr>
      <w:r>
        <w:t>Duarte, C. M., et al. (2024). Advancing global climate and biodiversity goals through regenerative tourism. Sustainability, 16(20), 9133. https://doi.org/10.3390/su16209133</w:t>
      </w:r>
    </w:p>
    <w:p>
      <w:pPr>
        <w:spacing w:line="480" w:lineRule="auto" w:after="120" w:before="0"/>
        <w:ind w:left="720" w:hanging="720"/>
      </w:pPr>
      <w:r>
        <w:t>Global Sustainable Tourism Council. (2025). GSTC destination standard. https://www.gstc.org/gstc-criteria/gstc-destination-criteria/</w:t>
      </w:r>
    </w:p>
    <w:p>
      <w:pPr>
        <w:spacing w:line="480" w:lineRule="auto" w:after="120" w:before="0"/>
        <w:ind w:left="720" w:hanging="720"/>
      </w:pPr>
      <w:r>
        <w:t>Government of India, Ministry of Tourism. (2025). Annual report 2024 to 2025. https://tourism.gov.in/sites/default/files/2025-02/Ministry%20of%20Tourism%20Annual%20Report_2024-25_ENGLISH_0.pdf</w:t>
      </w:r>
    </w:p>
    <w:p>
      <w:pPr>
        <w:spacing w:line="480" w:lineRule="auto" w:after="120" w:before="0"/>
        <w:ind w:left="720" w:hanging="720"/>
      </w:pPr>
      <w:r>
        <w:t>Hassan, K. (2024). Assessment of economic leakage in tourism: Evidence from the Sundarbans. Analele Universitatii din Oradea, Seria Geografie. https://istgeorelint.uoradea.ro/Reviste/Anale/Art/2024-1/auog.34106-917.pdf</w:t>
      </w:r>
    </w:p>
    <w:p>
      <w:pPr>
        <w:spacing w:line="480" w:lineRule="auto" w:after="120" w:before="0"/>
        <w:ind w:left="720" w:hanging="720"/>
      </w:pPr>
      <w:r>
        <w:t>Kerala Responsible Tourism Mission Society. (2025). Responsible tourism in Kerala. https://www.keralatourism.org/responsible-tourism</w:t>
      </w:r>
    </w:p>
    <w:p>
      <w:pPr>
        <w:spacing w:line="480" w:lineRule="auto" w:after="120" w:before="0"/>
        <w:ind w:left="720" w:hanging="720"/>
      </w:pPr>
      <w:r>
        <w:t>Krittayaruangroj, K., et al. (2023). Research on sustainability in community based tourism. Tourism Planning and Development. https://doi.org/10.1080/10941665.2023.2276477</w:t>
      </w:r>
    </w:p>
    <w:p>
      <w:pPr>
        <w:spacing w:line="480" w:lineRule="auto" w:after="120" w:before="0"/>
        <w:ind w:left="720" w:hanging="720"/>
      </w:pPr>
      <w:r>
        <w:t>OECD. (2024). OECD tourism trends and policies 2024. OECD Publishing. https://www.oecd.org/en/publications/2024/07/oecd-tourism-trends-and-policies-2024_17ff33a3.html</w:t>
      </w:r>
    </w:p>
    <w:p>
      <w:pPr>
        <w:spacing w:line="480" w:lineRule="auto" w:after="120" w:before="0"/>
        <w:ind w:left="720" w:hanging="720"/>
      </w:pPr>
      <w:r>
        <w:t>Royal Commission for AlUla. (2024). Journey through time masterplan. https://ucl.rcu.gov.sa/</w:t>
      </w:r>
    </w:p>
    <w:p>
      <w:pPr>
        <w:spacing w:line="480" w:lineRule="auto" w:after="120" w:before="0"/>
        <w:ind w:left="720" w:hanging="720"/>
      </w:pPr>
      <w:r>
        <w:t>Rwanda Development Board. (2026). Tourism investment opportunities. https://rdb.rw/investment-opportunities/invest-in-tourism/</w:t>
      </w:r>
    </w:p>
    <w:p>
      <w:pPr>
        <w:spacing w:line="480" w:lineRule="auto" w:after="120" w:before="0"/>
        <w:ind w:left="720" w:hanging="720"/>
      </w:pPr>
      <w:r>
        <w:t>UN Tourism. (2025). World tourism barometer. UN Tourism. https://www.untourism.int/un-tourism-world-tourism-barometer-data</w:t>
      </w:r>
    </w:p>
    <w:p>
      <w:pPr>
        <w:spacing w:line="480" w:lineRule="auto" w:after="120" w:before="0"/>
        <w:ind w:left="720" w:hanging="720"/>
      </w:pPr>
      <w:r>
        <w:t>World Bank. (2023). Making the most of nature based tourism in Rwanda. https://documents.worldbank.org/</w:t>
      </w:r>
    </w:p>
    <w:p>
      <w:pPr>
        <w:spacing w:line="480" w:lineRule="auto" w:after="120" w:before="0"/>
        <w:ind w:left="720" w:hanging="720"/>
      </w:pPr>
      <w:r>
        <w:t>World Economic Forum. (2024). How conservation is protecting mountain gorillas in Rwanda. https://www.weforum.org/stories/2024/10/sustainable-tourism-mountain-gorillas-rwanda/</w:t>
      </w:r>
    </w:p>
    <w:p>
      <w:pPr>
        <w:spacing w:line="480" w:lineRule="auto" w:after="120" w:before="0"/>
        <w:ind w:left="720" w:hanging="720"/>
      </w:pPr>
      <w:r>
        <w:t>World Travel and Tourism Council. (2026). Travel and tourism economic impact research. WTTC. https://wttc.org/research/economic-impact</w:t>
      </w:r>
    </w:p>
    <w:p>
      <w:r>
        <w:br w:type="page"/>
      </w:r>
    </w:p>
    <w:p>
      <w:pPr>
        <w:pStyle w:val="Heading1"/>
        <w:spacing w:before="240" w:after="120"/>
      </w:pPr>
      <w:r>
        <w:t>Appendices</w:t>
      </w:r>
    </w:p>
    <w:p>
      <w:pPr>
        <w:pStyle w:val="Heading2"/>
        <w:spacing w:before="240" w:after="120"/>
      </w:pPr>
      <w:r>
        <w:t>Appendix A. Technical implementation notes</w:t>
      </w:r>
    </w:p>
    <w:p>
      <w:pPr>
        <w:spacing w:line="480" w:lineRule="auto" w:after="120" w:before="0"/>
      </w:pPr>
      <w:r>
        <w:rPr>
          <w:b/>
        </w:rPr>
        <w:t>Appendix Table A1. Implementation sequence</w:t>
      </w:r>
    </w:p>
    <w:tbl>
      <w:tblPr>
        <w:tblStyle w:val="TableGrid"/>
        <w:tblW w:type="auto" w:w="0"/>
        <w:jc w:val="center"/>
        <w:tblLook w:firstColumn="1" w:firstRow="1" w:lastColumn="0" w:lastRow="0" w:noHBand="0" w:noVBand="1" w:val="04A0"/>
      </w:tblPr>
      <w:tblGrid>
        <w:gridCol w:w="4680"/>
        <w:gridCol w:w="4680"/>
      </w:tblGrid>
      <w:tr>
        <w:trPr>
          <w:tblHeader w:val="true"/>
        </w:trPr>
        <w:tc>
          <w:tcPr>
            <w:tcW w:type="dxa" w:w="4680"/>
            <w:shd w:fill="D9EAF7"/>
            <w:vAlign w:val="center"/>
          </w:tcPr>
          <w:p>
            <w:pPr>
              <w:jc w:val="center"/>
            </w:pPr>
            <w:r>
              <w:rPr>
                <w:b/>
              </w:rPr>
              <w:t>Period</w:t>
            </w:r>
          </w:p>
        </w:tc>
        <w:tc>
          <w:tcPr>
            <w:tcW w:type="dxa" w:w="4680"/>
            <w:shd w:fill="D9EAF7"/>
            <w:vAlign w:val="center"/>
          </w:tcPr>
          <w:p>
            <w:pPr>
              <w:jc w:val="center"/>
            </w:pPr>
            <w:r>
              <w:rPr>
                <w:b/>
              </w:rPr>
              <w:t>Action</w:t>
            </w:r>
          </w:p>
        </w:tc>
      </w:tr>
      <w:tr>
        <w:tc>
          <w:tcPr>
            <w:tcW w:type="dxa" w:w="4680"/>
            <w:vAlign w:val="top"/>
          </w:tcPr>
          <w:p>
            <w:pPr>
              <w:spacing w:line="276" w:lineRule="auto" w:after="40"/>
            </w:pPr>
            <w:r>
              <w:rPr>
                <w:rFonts w:ascii="Times New Roman" w:hAnsi="Times New Roman" w:eastAsia="Times New Roman"/>
                <w:sz w:val="20"/>
              </w:rPr>
              <w:t>0 to 3 months</w:t>
            </w:r>
          </w:p>
        </w:tc>
        <w:tc>
          <w:tcPr>
            <w:tcW w:type="dxa" w:w="4680"/>
            <w:vAlign w:val="top"/>
          </w:tcPr>
          <w:p>
            <w:pPr>
              <w:spacing w:line="276" w:lineRule="auto" w:after="40"/>
            </w:pPr>
            <w:r>
              <w:rPr>
                <w:rFonts w:ascii="Times New Roman" w:hAnsi="Times New Roman" w:eastAsia="Times New Roman"/>
                <w:sz w:val="20"/>
              </w:rPr>
              <w:t>Map tourism expenditure, identify import categories, create supplier registry and agree local value capture baseline.</w:t>
            </w:r>
          </w:p>
        </w:tc>
      </w:tr>
      <w:tr>
        <w:tc>
          <w:tcPr>
            <w:tcW w:type="dxa" w:w="4680"/>
            <w:vAlign w:val="top"/>
          </w:tcPr>
          <w:p>
            <w:pPr>
              <w:spacing w:line="276" w:lineRule="auto" w:after="40"/>
            </w:pPr>
            <w:r>
              <w:rPr>
                <w:rFonts w:ascii="Times New Roman" w:hAnsi="Times New Roman" w:eastAsia="Times New Roman"/>
                <w:sz w:val="20"/>
              </w:rPr>
              <w:t>4 to 9 months</w:t>
            </w:r>
          </w:p>
        </w:tc>
        <w:tc>
          <w:tcPr>
            <w:tcW w:type="dxa" w:w="4680"/>
            <w:vAlign w:val="top"/>
          </w:tcPr>
          <w:p>
            <w:pPr>
              <w:spacing w:line="276" w:lineRule="auto" w:after="40"/>
            </w:pPr>
            <w:r>
              <w:rPr>
                <w:rFonts w:ascii="Times New Roman" w:hAnsi="Times New Roman" w:eastAsia="Times New Roman"/>
                <w:sz w:val="20"/>
              </w:rPr>
              <w:t>Launch supplier upgrading, food safety certification, cooperative logistics and local procurement agreements.</w:t>
            </w:r>
          </w:p>
        </w:tc>
      </w:tr>
      <w:tr>
        <w:tc>
          <w:tcPr>
            <w:tcW w:type="dxa" w:w="4680"/>
            <w:vAlign w:val="top"/>
          </w:tcPr>
          <w:p>
            <w:pPr>
              <w:spacing w:line="276" w:lineRule="auto" w:after="40"/>
            </w:pPr>
            <w:r>
              <w:rPr>
                <w:rFonts w:ascii="Times New Roman" w:hAnsi="Times New Roman" w:eastAsia="Times New Roman"/>
                <w:sz w:val="20"/>
              </w:rPr>
              <w:t>10 to 18 months</w:t>
            </w:r>
          </w:p>
        </w:tc>
        <w:tc>
          <w:tcPr>
            <w:tcW w:type="dxa" w:w="4680"/>
            <w:vAlign w:val="top"/>
          </w:tcPr>
          <w:p>
            <w:pPr>
              <w:spacing w:line="276" w:lineRule="auto" w:after="40"/>
            </w:pPr>
            <w:r>
              <w:rPr>
                <w:rFonts w:ascii="Times New Roman" w:hAnsi="Times New Roman" w:eastAsia="Times New Roman"/>
                <w:sz w:val="20"/>
              </w:rPr>
              <w:t>Create tourism enterprise accelerator, visitor levy fund and annual public dashboard.</w:t>
            </w:r>
          </w:p>
        </w:tc>
      </w:tr>
      <w:tr>
        <w:tc>
          <w:tcPr>
            <w:tcW w:type="dxa" w:w="4680"/>
            <w:vAlign w:val="top"/>
          </w:tcPr>
          <w:p>
            <w:pPr>
              <w:spacing w:line="276" w:lineRule="auto" w:after="40"/>
            </w:pPr>
            <w:r>
              <w:rPr>
                <w:rFonts w:ascii="Times New Roman" w:hAnsi="Times New Roman" w:eastAsia="Times New Roman"/>
                <w:sz w:val="20"/>
              </w:rPr>
              <w:t>18 months onward</w:t>
            </w:r>
          </w:p>
        </w:tc>
        <w:tc>
          <w:tcPr>
            <w:tcW w:type="dxa" w:w="4680"/>
            <w:vAlign w:val="top"/>
          </w:tcPr>
          <w:p>
            <w:pPr>
              <w:spacing w:line="276" w:lineRule="auto" w:after="40"/>
            </w:pPr>
            <w:r>
              <w:rPr>
                <w:rFonts w:ascii="Times New Roman" w:hAnsi="Times New Roman" w:eastAsia="Times New Roman"/>
                <w:sz w:val="20"/>
              </w:rPr>
              <w:t>Use dashboard results to adjust incentives, visitor taxes, procurement targets and infrastructure investment.</w:t>
            </w:r>
          </w:p>
        </w:tc>
      </w:tr>
    </w:tbl>
    <w:p/>
    <w:p>
      <w:pPr>
        <w:spacing w:line="480" w:lineRule="auto" w:after="120" w:before="0"/>
      </w:pPr>
      <w:r>
        <w:t>The most important implementation risk is collecting data without changing procurement and investment decisions. The dashboard must therefore be connected to budget rules and licence incentives.</w:t>
      </w:r>
    </w:p>
    <w:p>
      <w:pPr>
        <w:spacing w:line="480" w:lineRule="auto" w:after="120" w:before="0"/>
      </w:pPr>
      <w:r>
        <w:t>Indicative main body word count excluding references and appendices: 4297 words.</w:t>
      </w:r>
    </w:p>
    <w:sectPr w:rsidR="00FC693F" w:rsidRPr="0006063C" w:rsidSect="00034616">
      <w:footerReference w:type="defaul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M20 Tourism and Local Development Cooperation | Page </w:t>
    </w: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1F4E79"/>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Times New Roman" w:hAnsi="Times New Roman" w:eastAsia="Times New Roman"/>
      <w:b/>
      <w:bCs/>
      <w:color w:val="1F4E79"/>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