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638E6" w14:textId="77777777"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C1D945" w14:textId="77777777"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14:paraId="6DB926DF" w14:textId="77777777"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7C7917">
        <w:rPr>
          <w:lang w:val="en-US"/>
        </w:rPr>
        <w:t xml:space="preserve"> </w:t>
      </w:r>
      <w:r w:rsidR="00232559">
        <w:rPr>
          <w:lang w:val="en-US"/>
        </w:rPr>
        <w:t>1</w:t>
      </w:r>
      <w:r w:rsidR="007079EF">
        <w:rPr>
          <w:lang w:val="en-US"/>
        </w:rPr>
        <w:t>1</w:t>
      </w:r>
    </w:p>
    <w:p w14:paraId="73152E1F" w14:textId="77777777" w:rsidR="00672345" w:rsidRPr="0019504D" w:rsidRDefault="007079EF" w:rsidP="00672345">
      <w:pPr>
        <w:rPr>
          <w:lang w:val="en-US"/>
        </w:rPr>
      </w:pPr>
      <w:r>
        <w:rPr>
          <w:lang w:val="en-US"/>
        </w:rPr>
        <w:t>24</w:t>
      </w:r>
      <w:r w:rsidR="00672345">
        <w:rPr>
          <w:lang w:val="en-US"/>
        </w:rPr>
        <w:t>.0</w:t>
      </w:r>
      <w:r w:rsidR="00705037">
        <w:rPr>
          <w:lang w:val="en-US"/>
        </w:rPr>
        <w:t>6</w:t>
      </w:r>
      <w:r w:rsidR="00672345">
        <w:rPr>
          <w:lang w:val="en-US"/>
        </w:rPr>
        <w:t>.2026</w:t>
      </w:r>
    </w:p>
    <w:p w14:paraId="0E9757DF" w14:textId="77777777" w:rsidR="00672345" w:rsidRDefault="00672345"/>
    <w:p w14:paraId="5F12BC2F" w14:textId="77777777" w:rsidR="00672345" w:rsidRDefault="00672345"/>
    <w:p w14:paraId="6CCA3D6D" w14:textId="77777777" w:rsidR="00672345" w:rsidRDefault="00672345"/>
    <w:p w14:paraId="25A35D16" w14:textId="77777777" w:rsidR="00672345" w:rsidRDefault="00672345"/>
    <w:p w14:paraId="0736CA6B" w14:textId="77777777" w:rsidR="00672345" w:rsidRDefault="00672345"/>
    <w:p w14:paraId="5C0031E7" w14:textId="77777777" w:rsidR="00672345" w:rsidRDefault="00672345"/>
    <w:p w14:paraId="0E874C41" w14:textId="77777777" w:rsidR="00672345" w:rsidRDefault="00672345"/>
    <w:p w14:paraId="77850B36" w14:textId="77777777" w:rsidR="00672345" w:rsidRDefault="00672345"/>
    <w:p w14:paraId="460C2043" w14:textId="77777777" w:rsidR="00672345" w:rsidRDefault="00672345"/>
    <w:p w14:paraId="5A3E77BD" w14:textId="77777777" w:rsidR="00672345" w:rsidRDefault="00672345"/>
    <w:p w14:paraId="29847FDA" w14:textId="77777777" w:rsidR="00672345" w:rsidRDefault="00672345"/>
    <w:p w14:paraId="5B29A124" w14:textId="77777777" w:rsidR="00672345" w:rsidRDefault="00672345"/>
    <w:p w14:paraId="6717BED6" w14:textId="77777777" w:rsidR="00672345" w:rsidRDefault="00672345"/>
    <w:p w14:paraId="15011301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Choose a cultural heritage site and conduct a SWOT Analysis of the selected site.</w:t>
      </w:r>
    </w:p>
    <w:p w14:paraId="6542B91F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Strengths</w:t>
      </w:r>
    </w:p>
    <w:p w14:paraId="4BC4B719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Weaknesses</w:t>
      </w:r>
    </w:p>
    <w:p w14:paraId="54B115F1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Opportunities</w:t>
      </w:r>
    </w:p>
    <w:p w14:paraId="28A3B2EB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Threats</w:t>
      </w:r>
    </w:p>
    <w:p w14:paraId="2B139838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</w:p>
    <w:p w14:paraId="29C374B0" w14:textId="77777777" w:rsid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Link the SWOT analysis to</w:t>
      </w:r>
      <w:r>
        <w:rPr>
          <w:b/>
          <w:bCs/>
          <w:lang w:val="en-US"/>
        </w:rPr>
        <w:t>:</w:t>
      </w:r>
    </w:p>
    <w:p w14:paraId="4A603D55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Objectives</w:t>
      </w:r>
    </w:p>
    <w:p w14:paraId="691DC4F6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Strategies</w:t>
      </w:r>
    </w:p>
    <w:p w14:paraId="3619FE77" w14:textId="77777777" w:rsidR="00CF34F8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Actions</w:t>
      </w:r>
    </w:p>
    <w:p w14:paraId="7F7E0BC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6BD2C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44665C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1FE3CA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777054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0EE4B17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CB21ED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0783E1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24FD58F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8BD372F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229C3BE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2C156B8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40728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31531C5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2C2CD1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6A6A86F" w14:textId="77777777" w:rsidR="00CB519B" w:rsidRDefault="00CB519B" w:rsidP="004E190D">
      <w:pPr>
        <w:pStyle w:val="ListParagraph"/>
        <w:spacing w:line="276" w:lineRule="auto"/>
        <w:ind w:left="0"/>
        <w:rPr>
          <w:lang w:val="en-US"/>
        </w:rPr>
      </w:pPr>
    </w:p>
    <w:p w14:paraId="7408BCC8" w14:textId="77777777" w:rsidR="00BF0CC1" w:rsidRPr="00BF0CC1" w:rsidRDefault="00BF0CC1" w:rsidP="00BF0CC1">
      <w:pPr>
        <w:pStyle w:val="ListParagraph"/>
        <w:spacing w:line="276" w:lineRule="auto"/>
        <w:rPr>
          <w:b/>
          <w:bCs/>
          <w:lang w:val="en-GB"/>
        </w:rPr>
      </w:pPr>
      <w:r w:rsidRPr="00BF0CC1">
        <w:rPr>
          <w:b/>
          <w:bCs/>
          <w:lang w:val="en-GB"/>
        </w:rPr>
        <w:lastRenderedPageBreak/>
        <w:t xml:space="preserve">SWOT Analysis of </w:t>
      </w:r>
      <w:proofErr w:type="spellStart"/>
      <w:r w:rsidRPr="00BF0CC1">
        <w:rPr>
          <w:b/>
          <w:bCs/>
          <w:lang w:val="en-GB"/>
        </w:rPr>
        <w:t>Chichén</w:t>
      </w:r>
      <w:proofErr w:type="spellEnd"/>
      <w:r w:rsidRPr="00BF0CC1">
        <w:rPr>
          <w:b/>
          <w:bCs/>
          <w:lang w:val="en-GB"/>
        </w:rPr>
        <w:t xml:space="preserve"> </w:t>
      </w:r>
      <w:proofErr w:type="spellStart"/>
      <w:r w:rsidRPr="00BF0CC1">
        <w:rPr>
          <w:b/>
          <w:bCs/>
          <w:lang w:val="en-GB"/>
        </w:rPr>
        <w:t>Itzá</w:t>
      </w:r>
      <w:proofErr w:type="spellEnd"/>
      <w:r w:rsidRPr="00BF0CC1">
        <w:rPr>
          <w:b/>
          <w:bCs/>
          <w:lang w:val="en-GB"/>
        </w:rPr>
        <w:t xml:space="preserve"> (Mexico)</w:t>
      </w:r>
    </w:p>
    <w:p w14:paraId="0E3F46F6" w14:textId="77777777" w:rsidR="00BF0CC1" w:rsidRPr="00BF0CC1" w:rsidRDefault="00BF0CC1" w:rsidP="00BF0CC1">
      <w:pPr>
        <w:pStyle w:val="ListParagraph"/>
        <w:spacing w:line="276" w:lineRule="auto"/>
        <w:rPr>
          <w:b/>
          <w:bCs/>
          <w:lang w:val="en-GB"/>
        </w:rPr>
      </w:pPr>
      <w:r w:rsidRPr="00BF0CC1">
        <w:rPr>
          <w:b/>
          <w:bCs/>
          <w:lang w:val="en-GB"/>
        </w:rPr>
        <w:t>SWOT Analysis Table</w:t>
      </w:r>
    </w:p>
    <w:tbl>
      <w:tblPr>
        <w:tblStyle w:val="ListTable5Dark-Accent3"/>
        <w:tblW w:w="0" w:type="auto"/>
        <w:tblLook w:val="04A0" w:firstRow="1" w:lastRow="0" w:firstColumn="1" w:lastColumn="0" w:noHBand="0" w:noVBand="1"/>
      </w:tblPr>
      <w:tblGrid>
        <w:gridCol w:w="2262"/>
        <w:gridCol w:w="2230"/>
        <w:gridCol w:w="2230"/>
        <w:gridCol w:w="2244"/>
      </w:tblGrid>
      <w:tr w:rsidR="00BF0CC1" w:rsidRPr="00BF0CC1" w14:paraId="1FDB4D4C" w14:textId="77777777" w:rsidTr="00BF0C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hideMark/>
          </w:tcPr>
          <w:p w14:paraId="2C91FA0D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Strengths</w:t>
            </w:r>
          </w:p>
        </w:tc>
        <w:tc>
          <w:tcPr>
            <w:tcW w:w="0" w:type="auto"/>
            <w:hideMark/>
          </w:tcPr>
          <w:p w14:paraId="77327E6A" w14:textId="77777777" w:rsidR="00BF0CC1" w:rsidRPr="00BF0CC1" w:rsidRDefault="00BF0CC1" w:rsidP="00BF0CC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Weaknesses</w:t>
            </w:r>
          </w:p>
        </w:tc>
        <w:tc>
          <w:tcPr>
            <w:tcW w:w="0" w:type="auto"/>
            <w:hideMark/>
          </w:tcPr>
          <w:p w14:paraId="6728A377" w14:textId="77777777" w:rsidR="00BF0CC1" w:rsidRPr="00BF0CC1" w:rsidRDefault="00BF0CC1" w:rsidP="00BF0CC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Opportunities</w:t>
            </w:r>
          </w:p>
        </w:tc>
        <w:tc>
          <w:tcPr>
            <w:tcW w:w="0" w:type="auto"/>
            <w:hideMark/>
          </w:tcPr>
          <w:p w14:paraId="1D13E8EB" w14:textId="77777777" w:rsidR="00BF0CC1" w:rsidRPr="00BF0CC1" w:rsidRDefault="00BF0CC1" w:rsidP="00BF0CC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Threats</w:t>
            </w:r>
          </w:p>
        </w:tc>
      </w:tr>
      <w:tr w:rsidR="00BF0CC1" w:rsidRPr="00BF0CC1" w14:paraId="5221A5DF" w14:textId="77777777" w:rsidTr="00BF0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B3132DA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UNESCO World Heritage Site and one of the New Seven Wonders of the World, recognized for its outstanding Mayan heritage.</w:t>
            </w:r>
          </w:p>
        </w:tc>
        <w:tc>
          <w:tcPr>
            <w:tcW w:w="0" w:type="auto"/>
            <w:hideMark/>
          </w:tcPr>
          <w:p w14:paraId="6978B1A8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Ancient limestone structures require continuous restoration and conservation.</w:t>
            </w:r>
          </w:p>
        </w:tc>
        <w:tc>
          <w:tcPr>
            <w:tcW w:w="0" w:type="auto"/>
            <w:hideMark/>
          </w:tcPr>
          <w:p w14:paraId="5644596A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Expand digital tourism through Virtual Reality (VR), Augmented Reality (AR), and virtual museum experiences.</w:t>
            </w:r>
          </w:p>
        </w:tc>
        <w:tc>
          <w:tcPr>
            <w:tcW w:w="0" w:type="auto"/>
            <w:hideMark/>
          </w:tcPr>
          <w:p w14:paraId="17271A1E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Climate change, hurricanes, and heavy rainfall accelerate the deterioration of archaeological structures.</w:t>
            </w:r>
          </w:p>
        </w:tc>
      </w:tr>
      <w:tr w:rsidR="00BF0CC1" w:rsidRPr="00BF0CC1" w14:paraId="4ABB45E6" w14:textId="77777777" w:rsidTr="00BF0C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FE545F5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Rich historical, cultural, and archaeological significance attracts millions of domestic and international visitors annually.</w:t>
            </w:r>
          </w:p>
        </w:tc>
        <w:tc>
          <w:tcPr>
            <w:tcW w:w="0" w:type="auto"/>
            <w:hideMark/>
          </w:tcPr>
          <w:p w14:paraId="49B9C210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Visitor overcrowding during peak seasons affects both the monument and visitor experience.</w:t>
            </w:r>
          </w:p>
        </w:tc>
        <w:tc>
          <w:tcPr>
            <w:tcW w:w="0" w:type="auto"/>
            <w:hideMark/>
          </w:tcPr>
          <w:p w14:paraId="7656B59A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Strengthen international archaeological research and cultural exchange programs.</w:t>
            </w:r>
          </w:p>
        </w:tc>
        <w:tc>
          <w:tcPr>
            <w:tcW w:w="0" w:type="auto"/>
            <w:hideMark/>
          </w:tcPr>
          <w:p w14:paraId="7781D452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Environmental pollution and natural erosion threaten the long-term preservation of the site.</w:t>
            </w:r>
          </w:p>
        </w:tc>
      </w:tr>
      <w:tr w:rsidR="00BF0CC1" w:rsidRPr="00BF0CC1" w14:paraId="162D2E80" w14:textId="77777777" w:rsidTr="00BF0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D7568FE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Significant contributor to Mexico's tourism economy and cultural identity.</w:t>
            </w:r>
          </w:p>
        </w:tc>
        <w:tc>
          <w:tcPr>
            <w:tcW w:w="0" w:type="auto"/>
            <w:hideMark/>
          </w:tcPr>
          <w:p w14:paraId="6C4982FB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Limited accessibility and visitor facilities in some parts of the archaeological complex.</w:t>
            </w:r>
          </w:p>
        </w:tc>
        <w:tc>
          <w:tcPr>
            <w:tcW w:w="0" w:type="auto"/>
            <w:hideMark/>
          </w:tcPr>
          <w:p w14:paraId="5B32C58D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Promote sustainable tourism by engaging local communities in conservation and tourism activities.</w:t>
            </w:r>
          </w:p>
        </w:tc>
        <w:tc>
          <w:tcPr>
            <w:tcW w:w="0" w:type="auto"/>
            <w:hideMark/>
          </w:tcPr>
          <w:p w14:paraId="45D1A17E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Illegal artifact trafficking, vandalism, and uncontrolled tourism activities pose risks to the site.</w:t>
            </w:r>
          </w:p>
        </w:tc>
      </w:tr>
    </w:tbl>
    <w:p w14:paraId="5E5DA22A" w14:textId="77777777" w:rsidR="00BF0CC1" w:rsidRPr="00BF0CC1" w:rsidRDefault="00BF0CC1" w:rsidP="00BF0CC1">
      <w:pPr>
        <w:pStyle w:val="ListParagraph"/>
        <w:spacing w:line="276" w:lineRule="auto"/>
        <w:rPr>
          <w:lang w:val="en-GB"/>
        </w:rPr>
      </w:pPr>
      <w:r w:rsidRPr="00BF0CC1">
        <w:rPr>
          <w:lang w:val="en-GB"/>
        </w:rPr>
        <w:pict w14:anchorId="4EA990A6">
          <v:rect id="_x0000_i1212" style="width:0;height:1.5pt" o:hralign="center" o:hrstd="t" o:hr="t" fillcolor="#a0a0a0" stroked="f"/>
        </w:pict>
      </w:r>
    </w:p>
    <w:p w14:paraId="492311E7" w14:textId="77777777" w:rsidR="00BF0CC1" w:rsidRPr="00BF0CC1" w:rsidRDefault="00BF0CC1" w:rsidP="00BF0CC1">
      <w:pPr>
        <w:pStyle w:val="ListParagraph"/>
        <w:spacing w:line="276" w:lineRule="auto"/>
        <w:rPr>
          <w:b/>
          <w:bCs/>
          <w:lang w:val="en-GB"/>
        </w:rPr>
      </w:pPr>
      <w:r w:rsidRPr="00BF0CC1">
        <w:rPr>
          <w:b/>
          <w:bCs/>
          <w:lang w:val="en-GB"/>
        </w:rPr>
        <w:lastRenderedPageBreak/>
        <w:t>Linking the SWOT Analysis to Objectives, Strategies, and Actions</w:t>
      </w:r>
    </w:p>
    <w:tbl>
      <w:tblPr>
        <w:tblStyle w:val="ListTable6Colorful"/>
        <w:tblW w:w="0" w:type="auto"/>
        <w:tblLook w:val="04A0" w:firstRow="1" w:lastRow="0" w:firstColumn="1" w:lastColumn="0" w:noHBand="0" w:noVBand="1"/>
      </w:tblPr>
      <w:tblGrid>
        <w:gridCol w:w="2251"/>
        <w:gridCol w:w="2217"/>
        <w:gridCol w:w="2218"/>
        <w:gridCol w:w="2340"/>
      </w:tblGrid>
      <w:tr w:rsidR="00BF0CC1" w:rsidRPr="00BF0CC1" w14:paraId="7E5A14AA" w14:textId="77777777" w:rsidTr="00BF0C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172B34B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SWOT Factor</w:t>
            </w:r>
          </w:p>
        </w:tc>
        <w:tc>
          <w:tcPr>
            <w:tcW w:w="0" w:type="auto"/>
            <w:hideMark/>
          </w:tcPr>
          <w:p w14:paraId="08551F10" w14:textId="77777777" w:rsidR="00BF0CC1" w:rsidRPr="00BF0CC1" w:rsidRDefault="00BF0CC1" w:rsidP="00BF0CC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Objective</w:t>
            </w:r>
          </w:p>
        </w:tc>
        <w:tc>
          <w:tcPr>
            <w:tcW w:w="0" w:type="auto"/>
            <w:hideMark/>
          </w:tcPr>
          <w:p w14:paraId="449561FC" w14:textId="77777777" w:rsidR="00BF0CC1" w:rsidRPr="00BF0CC1" w:rsidRDefault="00BF0CC1" w:rsidP="00BF0CC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Strategy</w:t>
            </w:r>
          </w:p>
        </w:tc>
        <w:tc>
          <w:tcPr>
            <w:tcW w:w="0" w:type="auto"/>
            <w:hideMark/>
          </w:tcPr>
          <w:p w14:paraId="31DCCABA" w14:textId="77777777" w:rsidR="00BF0CC1" w:rsidRPr="00BF0CC1" w:rsidRDefault="00BF0CC1" w:rsidP="00BF0CC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Actions</w:t>
            </w:r>
          </w:p>
        </w:tc>
      </w:tr>
      <w:tr w:rsidR="00BF0CC1" w:rsidRPr="00BF0CC1" w14:paraId="5952EBA1" w14:textId="77777777" w:rsidTr="00BF0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0D7A874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Strength 1: UNESCO World Heritage status</w:t>
            </w:r>
          </w:p>
        </w:tc>
        <w:tc>
          <w:tcPr>
            <w:tcW w:w="0" w:type="auto"/>
            <w:hideMark/>
          </w:tcPr>
          <w:p w14:paraId="4C665D28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 xml:space="preserve">Preserve </w:t>
            </w:r>
            <w:proofErr w:type="spellStart"/>
            <w:r w:rsidRPr="00BF0CC1">
              <w:rPr>
                <w:lang w:val="en-GB"/>
              </w:rPr>
              <w:t>Chichén</w:t>
            </w:r>
            <w:proofErr w:type="spellEnd"/>
            <w:r w:rsidRPr="00BF0CC1">
              <w:rPr>
                <w:lang w:val="en-GB"/>
              </w:rPr>
              <w:t xml:space="preserve"> Itzá as a globally recognized cultural heritage site.</w:t>
            </w:r>
          </w:p>
        </w:tc>
        <w:tc>
          <w:tcPr>
            <w:tcW w:w="0" w:type="auto"/>
            <w:hideMark/>
          </w:tcPr>
          <w:p w14:paraId="0E109A68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Strengthen conservation through international partnerships.</w:t>
            </w:r>
          </w:p>
        </w:tc>
        <w:tc>
          <w:tcPr>
            <w:tcW w:w="0" w:type="auto"/>
            <w:hideMark/>
          </w:tcPr>
          <w:p w14:paraId="2E003736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Collaborate with UNESCO, Mexico's National Institute of Anthropology and History (INAH), and international conservation organizations to secure funding and technical expertise.</w:t>
            </w:r>
          </w:p>
        </w:tc>
      </w:tr>
      <w:tr w:rsidR="00BF0CC1" w:rsidRPr="00BF0CC1" w14:paraId="44E7E95A" w14:textId="77777777" w:rsidTr="00BF0C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D267799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Strength 2: Historical and archaeological importance</w:t>
            </w:r>
          </w:p>
        </w:tc>
        <w:tc>
          <w:tcPr>
            <w:tcW w:w="0" w:type="auto"/>
            <w:hideMark/>
          </w:tcPr>
          <w:p w14:paraId="27C708F1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Enhance public understanding of Mayan civilization.</w:t>
            </w:r>
          </w:p>
        </w:tc>
        <w:tc>
          <w:tcPr>
            <w:tcW w:w="0" w:type="auto"/>
            <w:hideMark/>
          </w:tcPr>
          <w:p w14:paraId="19AECFA8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Promote educational tourism and cultural interpretation.</w:t>
            </w:r>
          </w:p>
        </w:tc>
        <w:tc>
          <w:tcPr>
            <w:tcW w:w="0" w:type="auto"/>
            <w:hideMark/>
          </w:tcPr>
          <w:p w14:paraId="62612C28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Develop guided heritage tours, museum exhibitions, educational workshops, and multilingual information materials.</w:t>
            </w:r>
          </w:p>
        </w:tc>
      </w:tr>
      <w:tr w:rsidR="00BF0CC1" w:rsidRPr="00BF0CC1" w14:paraId="0F5C99C3" w14:textId="77777777" w:rsidTr="00BF0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FEFEDFA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Strength 3: Strong tourism demand</w:t>
            </w:r>
          </w:p>
        </w:tc>
        <w:tc>
          <w:tcPr>
            <w:tcW w:w="0" w:type="auto"/>
            <w:hideMark/>
          </w:tcPr>
          <w:p w14:paraId="02893FDA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Increase tourism benefits while protecting the archaeological site.</w:t>
            </w:r>
          </w:p>
        </w:tc>
        <w:tc>
          <w:tcPr>
            <w:tcW w:w="0" w:type="auto"/>
            <w:hideMark/>
          </w:tcPr>
          <w:p w14:paraId="6663523A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Improve visitor management and tourism infrastructure.</w:t>
            </w:r>
          </w:p>
        </w:tc>
        <w:tc>
          <w:tcPr>
            <w:tcW w:w="0" w:type="auto"/>
            <w:hideMark/>
          </w:tcPr>
          <w:p w14:paraId="0B567895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Introduce online ticket reservations, timed-entry systems, improved visitor centres, and professional guide services.</w:t>
            </w:r>
          </w:p>
        </w:tc>
      </w:tr>
      <w:tr w:rsidR="00BF0CC1" w:rsidRPr="00BF0CC1" w14:paraId="50C992B0" w14:textId="77777777" w:rsidTr="00BF0C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E839911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lastRenderedPageBreak/>
              <w:t>Weakness 1: High conservation requirements</w:t>
            </w:r>
          </w:p>
        </w:tc>
        <w:tc>
          <w:tcPr>
            <w:tcW w:w="0" w:type="auto"/>
            <w:hideMark/>
          </w:tcPr>
          <w:p w14:paraId="4994091A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Ensure long-term preservation of archaeological structures.</w:t>
            </w:r>
          </w:p>
        </w:tc>
        <w:tc>
          <w:tcPr>
            <w:tcW w:w="0" w:type="auto"/>
            <w:hideMark/>
          </w:tcPr>
          <w:p w14:paraId="4F2E01E3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Develop sustainable conservation funding.</w:t>
            </w:r>
          </w:p>
        </w:tc>
        <w:tc>
          <w:tcPr>
            <w:tcW w:w="0" w:type="auto"/>
            <w:hideMark/>
          </w:tcPr>
          <w:p w14:paraId="330B3A55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Secure government funding, private sponsorships, international grants, and allocate tourism revenue for restoration projects.</w:t>
            </w:r>
          </w:p>
        </w:tc>
      </w:tr>
      <w:tr w:rsidR="00BF0CC1" w:rsidRPr="00BF0CC1" w14:paraId="7F993098" w14:textId="77777777" w:rsidTr="00BF0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00D5289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Weakness 2: Visitor overcrowding</w:t>
            </w:r>
          </w:p>
        </w:tc>
        <w:tc>
          <w:tcPr>
            <w:tcW w:w="0" w:type="auto"/>
            <w:hideMark/>
          </w:tcPr>
          <w:p w14:paraId="7A24417C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Improve visitor experience and reduce damage to the site.</w:t>
            </w:r>
          </w:p>
        </w:tc>
        <w:tc>
          <w:tcPr>
            <w:tcW w:w="0" w:type="auto"/>
            <w:hideMark/>
          </w:tcPr>
          <w:p w14:paraId="5BF12B94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Implement effective crowd management strategies.</w:t>
            </w:r>
          </w:p>
        </w:tc>
        <w:tc>
          <w:tcPr>
            <w:tcW w:w="0" w:type="auto"/>
            <w:hideMark/>
          </w:tcPr>
          <w:p w14:paraId="4E21BE95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Introduce visitor quotas, designated walking routes, and encourage off-season tourism.</w:t>
            </w:r>
          </w:p>
        </w:tc>
      </w:tr>
      <w:tr w:rsidR="00BF0CC1" w:rsidRPr="00BF0CC1" w14:paraId="143DBF04" w14:textId="77777777" w:rsidTr="00BF0C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2EA2896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Weakness 3: Limited accessibility</w:t>
            </w:r>
          </w:p>
        </w:tc>
        <w:tc>
          <w:tcPr>
            <w:tcW w:w="0" w:type="auto"/>
            <w:hideMark/>
          </w:tcPr>
          <w:p w14:paraId="5C23D596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Improve visitor access while protecting the heritage site.</w:t>
            </w:r>
          </w:p>
        </w:tc>
        <w:tc>
          <w:tcPr>
            <w:tcW w:w="0" w:type="auto"/>
            <w:hideMark/>
          </w:tcPr>
          <w:p w14:paraId="65C5C630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Upgrade tourism infrastructure responsibly.</w:t>
            </w:r>
          </w:p>
        </w:tc>
        <w:tc>
          <w:tcPr>
            <w:tcW w:w="0" w:type="auto"/>
            <w:hideMark/>
          </w:tcPr>
          <w:p w14:paraId="6F511273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Improve pathways, signage, shuttle services, and accessibility features for elderly and disabled visitors where feasible.</w:t>
            </w:r>
          </w:p>
        </w:tc>
      </w:tr>
      <w:tr w:rsidR="00BF0CC1" w:rsidRPr="00BF0CC1" w14:paraId="03A5F2D2" w14:textId="77777777" w:rsidTr="00BF0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FD5AC09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Opportunity 1: Digital tourism</w:t>
            </w:r>
          </w:p>
        </w:tc>
        <w:tc>
          <w:tcPr>
            <w:tcW w:w="0" w:type="auto"/>
            <w:hideMark/>
          </w:tcPr>
          <w:p w14:paraId="633595DB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 xml:space="preserve">Increase global access to </w:t>
            </w:r>
            <w:proofErr w:type="spellStart"/>
            <w:r w:rsidRPr="00BF0CC1">
              <w:rPr>
                <w:lang w:val="en-GB"/>
              </w:rPr>
              <w:t>Chichén</w:t>
            </w:r>
            <w:proofErr w:type="spellEnd"/>
            <w:r w:rsidRPr="00BF0CC1">
              <w:rPr>
                <w:lang w:val="en-GB"/>
              </w:rPr>
              <w:t xml:space="preserve"> Itzá.</w:t>
            </w:r>
          </w:p>
        </w:tc>
        <w:tc>
          <w:tcPr>
            <w:tcW w:w="0" w:type="auto"/>
            <w:hideMark/>
          </w:tcPr>
          <w:p w14:paraId="19C2E26E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Invest in digital heritage technologies.</w:t>
            </w:r>
          </w:p>
        </w:tc>
        <w:tc>
          <w:tcPr>
            <w:tcW w:w="0" w:type="auto"/>
            <w:hideMark/>
          </w:tcPr>
          <w:p w14:paraId="647550B4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Develop VR tours, AR mobile applications, virtual exhibitions, and interactive educational platforms.</w:t>
            </w:r>
          </w:p>
        </w:tc>
      </w:tr>
      <w:tr w:rsidR="00BF0CC1" w:rsidRPr="00BF0CC1" w14:paraId="50FF032A" w14:textId="77777777" w:rsidTr="00BF0C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0610535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lastRenderedPageBreak/>
              <w:t>Opportunity 2: International research collaboration</w:t>
            </w:r>
          </w:p>
        </w:tc>
        <w:tc>
          <w:tcPr>
            <w:tcW w:w="0" w:type="auto"/>
            <w:hideMark/>
          </w:tcPr>
          <w:p w14:paraId="75118E74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Advance archaeological knowledge and conservation practices.</w:t>
            </w:r>
          </w:p>
        </w:tc>
        <w:tc>
          <w:tcPr>
            <w:tcW w:w="0" w:type="auto"/>
            <w:hideMark/>
          </w:tcPr>
          <w:p w14:paraId="3D92EDEE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Strengthen partnerships with universities and research institutions.</w:t>
            </w:r>
          </w:p>
        </w:tc>
        <w:tc>
          <w:tcPr>
            <w:tcW w:w="0" w:type="auto"/>
            <w:hideMark/>
          </w:tcPr>
          <w:p w14:paraId="48BE8B9E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Conduct joint archaeological excavations, conservation research, and heritage management training.</w:t>
            </w:r>
          </w:p>
        </w:tc>
      </w:tr>
      <w:tr w:rsidR="00BF0CC1" w:rsidRPr="00BF0CC1" w14:paraId="441ED050" w14:textId="77777777" w:rsidTr="00BF0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2294922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Opportunity 3: Community-based tourism</w:t>
            </w:r>
          </w:p>
        </w:tc>
        <w:tc>
          <w:tcPr>
            <w:tcW w:w="0" w:type="auto"/>
            <w:hideMark/>
          </w:tcPr>
          <w:p w14:paraId="64E78640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Improve local economic development while preserving cultural heritage.</w:t>
            </w:r>
          </w:p>
        </w:tc>
        <w:tc>
          <w:tcPr>
            <w:tcW w:w="0" w:type="auto"/>
            <w:hideMark/>
          </w:tcPr>
          <w:p w14:paraId="21162A7B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Encourage local participation in tourism.</w:t>
            </w:r>
          </w:p>
        </w:tc>
        <w:tc>
          <w:tcPr>
            <w:tcW w:w="0" w:type="auto"/>
            <w:hideMark/>
          </w:tcPr>
          <w:p w14:paraId="6A68735E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Support local artisans, traditional cultural performances, eco-tourism businesses, and community-led tourism initiatives.</w:t>
            </w:r>
          </w:p>
        </w:tc>
      </w:tr>
      <w:tr w:rsidR="00BF0CC1" w:rsidRPr="00BF0CC1" w14:paraId="1E6DE97F" w14:textId="77777777" w:rsidTr="00BF0C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D2A6DDE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Threat 1: Climate change and natural disasters</w:t>
            </w:r>
          </w:p>
        </w:tc>
        <w:tc>
          <w:tcPr>
            <w:tcW w:w="0" w:type="auto"/>
            <w:hideMark/>
          </w:tcPr>
          <w:p w14:paraId="0FC5D191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Reduce environmental risks to the archaeological site.</w:t>
            </w:r>
          </w:p>
        </w:tc>
        <w:tc>
          <w:tcPr>
            <w:tcW w:w="0" w:type="auto"/>
            <w:hideMark/>
          </w:tcPr>
          <w:p w14:paraId="33055B27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Strengthen environmental monitoring and disaster preparedness.</w:t>
            </w:r>
          </w:p>
        </w:tc>
        <w:tc>
          <w:tcPr>
            <w:tcW w:w="0" w:type="auto"/>
            <w:hideMark/>
          </w:tcPr>
          <w:p w14:paraId="6F86B8D6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Install weather monitoring systems, improve drainage infrastructure, and develop emergency conservation plans.</w:t>
            </w:r>
          </w:p>
        </w:tc>
      </w:tr>
      <w:tr w:rsidR="00BF0CC1" w:rsidRPr="00BF0CC1" w14:paraId="09A287FA" w14:textId="77777777" w:rsidTr="00BF0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9A37B6F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Threat 2: Environmental erosion</w:t>
            </w:r>
          </w:p>
        </w:tc>
        <w:tc>
          <w:tcPr>
            <w:tcW w:w="0" w:type="auto"/>
            <w:hideMark/>
          </w:tcPr>
          <w:p w14:paraId="0FC34A69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Protect archaeological structures from long-term deterioration.</w:t>
            </w:r>
          </w:p>
        </w:tc>
        <w:tc>
          <w:tcPr>
            <w:tcW w:w="0" w:type="auto"/>
            <w:hideMark/>
          </w:tcPr>
          <w:p w14:paraId="520A6600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Implement preventive conservation measures.</w:t>
            </w:r>
          </w:p>
        </w:tc>
        <w:tc>
          <w:tcPr>
            <w:tcW w:w="0" w:type="auto"/>
            <w:hideMark/>
          </w:tcPr>
          <w:p w14:paraId="73F7EF41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Conduct regular structural inspections, stone restoration, and landscape management programs.</w:t>
            </w:r>
          </w:p>
        </w:tc>
      </w:tr>
      <w:tr w:rsidR="00BF0CC1" w:rsidRPr="00BF0CC1" w14:paraId="51C182E7" w14:textId="77777777" w:rsidTr="00BF0C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B4742EF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 xml:space="preserve">Threat 3: Vandalism </w:t>
            </w:r>
            <w:r w:rsidRPr="00BF0CC1">
              <w:rPr>
                <w:lang w:val="en-GB"/>
              </w:rPr>
              <w:lastRenderedPageBreak/>
              <w:t>and illegal artifact trafficking</w:t>
            </w:r>
          </w:p>
        </w:tc>
        <w:tc>
          <w:tcPr>
            <w:tcW w:w="0" w:type="auto"/>
            <w:hideMark/>
          </w:tcPr>
          <w:p w14:paraId="37DF9EBF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lastRenderedPageBreak/>
              <w:t xml:space="preserve">Strengthen heritage </w:t>
            </w:r>
            <w:r w:rsidRPr="00BF0CC1">
              <w:rPr>
                <w:lang w:val="en-GB"/>
              </w:rPr>
              <w:lastRenderedPageBreak/>
              <w:t>protection and visitor safety.</w:t>
            </w:r>
          </w:p>
        </w:tc>
        <w:tc>
          <w:tcPr>
            <w:tcW w:w="0" w:type="auto"/>
            <w:hideMark/>
          </w:tcPr>
          <w:p w14:paraId="18D9C9A6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lastRenderedPageBreak/>
              <w:t xml:space="preserve">Enhance security </w:t>
            </w:r>
            <w:r w:rsidRPr="00BF0CC1">
              <w:rPr>
                <w:lang w:val="en-GB"/>
              </w:rPr>
              <w:lastRenderedPageBreak/>
              <w:t>systems and legal enforcement.</w:t>
            </w:r>
          </w:p>
        </w:tc>
        <w:tc>
          <w:tcPr>
            <w:tcW w:w="0" w:type="auto"/>
            <w:hideMark/>
          </w:tcPr>
          <w:p w14:paraId="7619AAFC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lastRenderedPageBreak/>
              <w:t xml:space="preserve">Increase CCTV surveillance, </w:t>
            </w:r>
            <w:r w:rsidRPr="00BF0CC1">
              <w:rPr>
                <w:lang w:val="en-GB"/>
              </w:rPr>
              <w:lastRenderedPageBreak/>
              <w:t>deploy trained security personnel, improve artifact documentation, and enforce stricter penalties for heritage crimes.</w:t>
            </w:r>
          </w:p>
        </w:tc>
      </w:tr>
    </w:tbl>
    <w:p w14:paraId="07C7AD6A" w14:textId="77777777" w:rsidR="00BF0CC1" w:rsidRPr="00BF0CC1" w:rsidRDefault="00BF0CC1" w:rsidP="00BF0CC1">
      <w:pPr>
        <w:pStyle w:val="ListParagraph"/>
        <w:spacing w:line="276" w:lineRule="auto"/>
        <w:rPr>
          <w:lang w:val="en-GB"/>
        </w:rPr>
      </w:pPr>
      <w:r w:rsidRPr="00BF0CC1">
        <w:rPr>
          <w:lang w:val="en-GB"/>
        </w:rPr>
        <w:lastRenderedPageBreak/>
        <w:pict w14:anchorId="5A1F0B7E">
          <v:rect id="_x0000_i1213" style="width:0;height:1.5pt" o:hralign="center" o:hrstd="t" o:hr="t" fillcolor="#a0a0a0" stroked="f"/>
        </w:pict>
      </w:r>
    </w:p>
    <w:p w14:paraId="125478A7" w14:textId="77777777" w:rsidR="00BF0CC1" w:rsidRPr="00BF0CC1" w:rsidRDefault="00BF0CC1" w:rsidP="00BF0CC1">
      <w:pPr>
        <w:pStyle w:val="ListParagraph"/>
        <w:spacing w:line="276" w:lineRule="auto"/>
        <w:rPr>
          <w:b/>
          <w:bCs/>
          <w:lang w:val="en-GB"/>
        </w:rPr>
      </w:pPr>
      <w:r w:rsidRPr="00BF0CC1">
        <w:rPr>
          <w:b/>
          <w:bCs/>
          <w:lang w:val="en-GB"/>
        </w:rPr>
        <w:t>Summary Table</w:t>
      </w:r>
    </w:p>
    <w:tbl>
      <w:tblPr>
        <w:tblStyle w:val="ListTable6Colorful"/>
        <w:tblW w:w="0" w:type="auto"/>
        <w:tblLook w:val="04A0" w:firstRow="1" w:lastRow="0" w:firstColumn="1" w:lastColumn="0" w:noHBand="0" w:noVBand="1"/>
      </w:tblPr>
      <w:tblGrid>
        <w:gridCol w:w="1979"/>
        <w:gridCol w:w="7047"/>
      </w:tblGrid>
      <w:tr w:rsidR="00BF0CC1" w:rsidRPr="00BF0CC1" w14:paraId="1BB0B0AE" w14:textId="77777777" w:rsidTr="00BF0C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DA55A89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Category</w:t>
            </w:r>
          </w:p>
        </w:tc>
        <w:tc>
          <w:tcPr>
            <w:tcW w:w="0" w:type="auto"/>
            <w:hideMark/>
          </w:tcPr>
          <w:p w14:paraId="5B8F18A1" w14:textId="77777777" w:rsidR="00BF0CC1" w:rsidRPr="00BF0CC1" w:rsidRDefault="00BF0CC1" w:rsidP="00BF0CC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Key Focus</w:t>
            </w:r>
          </w:p>
        </w:tc>
      </w:tr>
      <w:tr w:rsidR="00BF0CC1" w:rsidRPr="00BF0CC1" w14:paraId="0E9F72C9" w14:textId="77777777" w:rsidTr="00BF0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476D508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Objectives</w:t>
            </w:r>
          </w:p>
        </w:tc>
        <w:tc>
          <w:tcPr>
            <w:tcW w:w="0" w:type="auto"/>
            <w:hideMark/>
          </w:tcPr>
          <w:p w14:paraId="3DD77B3C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 xml:space="preserve">Preserve </w:t>
            </w:r>
            <w:proofErr w:type="spellStart"/>
            <w:r w:rsidRPr="00BF0CC1">
              <w:rPr>
                <w:lang w:val="en-GB"/>
              </w:rPr>
              <w:t>Chichén</w:t>
            </w:r>
            <w:proofErr w:type="spellEnd"/>
            <w:r w:rsidRPr="00BF0CC1">
              <w:rPr>
                <w:lang w:val="en-GB"/>
              </w:rPr>
              <w:t xml:space="preserve"> Itzá's cultural heritage, improve visitor experience, strengthen conservation, promote sustainable tourism, and support local community development.</w:t>
            </w:r>
          </w:p>
        </w:tc>
      </w:tr>
      <w:tr w:rsidR="00BF0CC1" w:rsidRPr="00BF0CC1" w14:paraId="72D42F0C" w14:textId="77777777" w:rsidTr="00BF0C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6032F29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Strategies</w:t>
            </w:r>
          </w:p>
        </w:tc>
        <w:tc>
          <w:tcPr>
            <w:tcW w:w="0" w:type="auto"/>
            <w:hideMark/>
          </w:tcPr>
          <w:p w14:paraId="1334FCD5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Heritage conservation, digital innovation, sustainable tourism, visitor management, international collaboration, environmental protection, and community engagement.</w:t>
            </w:r>
          </w:p>
        </w:tc>
      </w:tr>
      <w:tr w:rsidR="00BF0CC1" w:rsidRPr="00BF0CC1" w14:paraId="250574FA" w14:textId="77777777" w:rsidTr="00BF0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11DDDFD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Actions</w:t>
            </w:r>
          </w:p>
        </w:tc>
        <w:tc>
          <w:tcPr>
            <w:tcW w:w="0" w:type="auto"/>
            <w:hideMark/>
          </w:tcPr>
          <w:p w14:paraId="01DA0BDB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Restoration projects, VR and AR experiences, online ticketing, educational programs, accessibility improvements, environmental monitoring, enhanced security, disaster preparedness, and partnerships with local communities and research institutions.</w:t>
            </w:r>
          </w:p>
        </w:tc>
      </w:tr>
    </w:tbl>
    <w:p w14:paraId="4B9FEF74" w14:textId="77777777" w:rsidR="00BF0CC1" w:rsidRDefault="00BF0CC1" w:rsidP="004E190D">
      <w:pPr>
        <w:pStyle w:val="ListParagraph"/>
        <w:spacing w:line="276" w:lineRule="auto"/>
        <w:ind w:left="0"/>
        <w:rPr>
          <w:lang w:val="en-US"/>
        </w:rPr>
      </w:pPr>
    </w:p>
    <w:sectPr w:rsidR="00BF0C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A21038C-CCAE-48C4-B362-BDC90CF6E120}"/>
    <w:embedBold r:id="rId2" w:fontKey="{A52B57E0-0872-4515-B55C-1FBF317CEC0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3DBA3F9B-A11B-43DF-9739-FA725EB37C89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CAFCEEA9-C7DD-4248-B8FA-36C180386442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A32492"/>
    <w:multiLevelType w:val="hybridMultilevel"/>
    <w:tmpl w:val="399E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55465"/>
    <w:multiLevelType w:val="hybridMultilevel"/>
    <w:tmpl w:val="D08E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A7426"/>
    <w:multiLevelType w:val="hybridMultilevel"/>
    <w:tmpl w:val="5C602C58"/>
    <w:lvl w:ilvl="0" w:tplc="E9BC69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6079D"/>
    <w:multiLevelType w:val="hybridMultilevel"/>
    <w:tmpl w:val="9A56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B07AF"/>
    <w:multiLevelType w:val="hybridMultilevel"/>
    <w:tmpl w:val="DF3A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82321"/>
    <w:multiLevelType w:val="hybridMultilevel"/>
    <w:tmpl w:val="B6685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B2512"/>
    <w:multiLevelType w:val="hybridMultilevel"/>
    <w:tmpl w:val="9A2E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BF239E"/>
    <w:multiLevelType w:val="hybridMultilevel"/>
    <w:tmpl w:val="2E6A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459CA"/>
    <w:multiLevelType w:val="hybridMultilevel"/>
    <w:tmpl w:val="AD0C1FCA"/>
    <w:lvl w:ilvl="0" w:tplc="74101C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90511"/>
    <w:multiLevelType w:val="hybridMultilevel"/>
    <w:tmpl w:val="2DD22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3"/>
  </w:num>
  <w:num w:numId="2" w16cid:durableId="1882092387">
    <w:abstractNumId w:val="11"/>
  </w:num>
  <w:num w:numId="3" w16cid:durableId="1544052912">
    <w:abstractNumId w:val="0"/>
  </w:num>
  <w:num w:numId="4" w16cid:durableId="746540664">
    <w:abstractNumId w:val="1"/>
  </w:num>
  <w:num w:numId="5" w16cid:durableId="1108088842">
    <w:abstractNumId w:val="4"/>
  </w:num>
  <w:num w:numId="6" w16cid:durableId="1713579031">
    <w:abstractNumId w:val="10"/>
  </w:num>
  <w:num w:numId="7" w16cid:durableId="612253008">
    <w:abstractNumId w:val="9"/>
  </w:num>
  <w:num w:numId="8" w16cid:durableId="314267375">
    <w:abstractNumId w:val="7"/>
  </w:num>
  <w:num w:numId="9" w16cid:durableId="327443921">
    <w:abstractNumId w:val="8"/>
  </w:num>
  <w:num w:numId="10" w16cid:durableId="1481845840">
    <w:abstractNumId w:val="6"/>
  </w:num>
  <w:num w:numId="11" w16cid:durableId="1209099905">
    <w:abstractNumId w:val="5"/>
  </w:num>
  <w:num w:numId="12" w16cid:durableId="2084132962">
    <w:abstractNumId w:val="12"/>
  </w:num>
  <w:num w:numId="13" w16cid:durableId="867915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0F1FD0"/>
    <w:rsid w:val="001700EC"/>
    <w:rsid w:val="00174BB1"/>
    <w:rsid w:val="001E1286"/>
    <w:rsid w:val="00224FD9"/>
    <w:rsid w:val="00232559"/>
    <w:rsid w:val="002F4AE0"/>
    <w:rsid w:val="00384E8A"/>
    <w:rsid w:val="003D1074"/>
    <w:rsid w:val="00426865"/>
    <w:rsid w:val="00477CAA"/>
    <w:rsid w:val="004E190D"/>
    <w:rsid w:val="00502E29"/>
    <w:rsid w:val="005076A9"/>
    <w:rsid w:val="005E1FD5"/>
    <w:rsid w:val="005E458B"/>
    <w:rsid w:val="00672345"/>
    <w:rsid w:val="00705037"/>
    <w:rsid w:val="007079EF"/>
    <w:rsid w:val="007955FE"/>
    <w:rsid w:val="007C7917"/>
    <w:rsid w:val="00844EC2"/>
    <w:rsid w:val="008516FE"/>
    <w:rsid w:val="0089075B"/>
    <w:rsid w:val="009231A0"/>
    <w:rsid w:val="00942251"/>
    <w:rsid w:val="009C1D0A"/>
    <w:rsid w:val="00A044F7"/>
    <w:rsid w:val="00A057BE"/>
    <w:rsid w:val="00A437B5"/>
    <w:rsid w:val="00A8150E"/>
    <w:rsid w:val="00B20343"/>
    <w:rsid w:val="00B62C8D"/>
    <w:rsid w:val="00B85EA7"/>
    <w:rsid w:val="00BE5257"/>
    <w:rsid w:val="00BE65DD"/>
    <w:rsid w:val="00BF0CC1"/>
    <w:rsid w:val="00C612A4"/>
    <w:rsid w:val="00C80777"/>
    <w:rsid w:val="00CB519B"/>
    <w:rsid w:val="00CC6AD1"/>
    <w:rsid w:val="00CF34F8"/>
    <w:rsid w:val="00DB7FC2"/>
    <w:rsid w:val="00E3345A"/>
    <w:rsid w:val="00E6778A"/>
    <w:rsid w:val="00E67A86"/>
    <w:rsid w:val="00F25F5B"/>
    <w:rsid w:val="00F837B1"/>
    <w:rsid w:val="00FE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7DDCC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  <w:style w:type="table" w:styleId="PlainTable1">
    <w:name w:val="Plain Table 1"/>
    <w:basedOn w:val="TableNormal"/>
    <w:uiPriority w:val="41"/>
    <w:rsid w:val="004E190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4E1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4E190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">
    <w:name w:val="List Table 3"/>
    <w:basedOn w:val="TableNormal"/>
    <w:uiPriority w:val="48"/>
    <w:rsid w:val="00BE525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GridTable1Light-Accent1">
    <w:name w:val="Grid Table 1 Light Accent 1"/>
    <w:basedOn w:val="TableNormal"/>
    <w:uiPriority w:val="46"/>
    <w:rsid w:val="008907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4-Accent4">
    <w:name w:val="List Table 4 Accent 4"/>
    <w:basedOn w:val="TableNormal"/>
    <w:uiPriority w:val="49"/>
    <w:rsid w:val="005076A9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4">
    <w:name w:val="Grid Table 4 Accent 4"/>
    <w:basedOn w:val="TableNormal"/>
    <w:uiPriority w:val="49"/>
    <w:rsid w:val="005076A9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E67A86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6Colorful">
    <w:name w:val="List Table 6 Colorful"/>
    <w:basedOn w:val="TableNormal"/>
    <w:uiPriority w:val="51"/>
    <w:rsid w:val="001E1286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5Dark-Accent6">
    <w:name w:val="List Table 5 Dark Accent 6"/>
    <w:basedOn w:val="TableNormal"/>
    <w:uiPriority w:val="50"/>
    <w:rsid w:val="001E1286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GridTable1Light-Accent2">
    <w:name w:val="Grid Table 1 Light Accent 2"/>
    <w:basedOn w:val="TableNormal"/>
    <w:uiPriority w:val="46"/>
    <w:rsid w:val="00DB7FC2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CB519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1Light-Accent4">
    <w:name w:val="Grid Table 1 Light Accent 4"/>
    <w:basedOn w:val="TableNormal"/>
    <w:uiPriority w:val="46"/>
    <w:rsid w:val="007955FE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5Dark-Accent4">
    <w:name w:val="List Table 5 Dark Accent 4"/>
    <w:basedOn w:val="TableNormal"/>
    <w:uiPriority w:val="50"/>
    <w:rsid w:val="00BF0CC1"/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BF0CC1"/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33496</cp:lastModifiedBy>
  <cp:revision>2</cp:revision>
  <dcterms:created xsi:type="dcterms:W3CDTF">2026-06-25T14:10:00Z</dcterms:created>
  <dcterms:modified xsi:type="dcterms:W3CDTF">2026-06-25T14:10:00Z</dcterms:modified>
</cp:coreProperties>
</file>