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80" w:lineRule="auto" w:after="0" w:before="0"/>
        <w:jc w:val="center"/>
      </w:pPr>
      <w:r>
        <w:rPr>
          <w:b/>
        </w:rPr>
        <w:br/>
        <w:br/>
        <w:br/>
        <w:t>M09 – DIGITAL TRANSFORMATION AND INNOVATION</w:t>
      </w:r>
    </w:p>
    <w:p>
      <w:pPr>
        <w:spacing w:line="480" w:lineRule="auto" w:after="0" w:before="0"/>
        <w:jc w:val="center"/>
      </w:pPr>
      <w:r>
        <w:rPr>
          <w:b/>
        </w:rPr>
        <w:t>DIGITAL LEADERSHIP, CHANGE MANAGEMENT, AND ETHICAL TECHNOLOGY USE</w:t>
      </w:r>
    </w:p>
    <w:p>
      <w:pPr>
        <w:spacing w:line="480" w:lineRule="auto" w:after="0" w:before="0"/>
        <w:jc w:val="center"/>
      </w:pPr>
      <w:r>
        <w:t>A Critical Report on Leadership, Organisational Change, and Responsible Digital Transformation</w:t>
      </w:r>
    </w:p>
    <w:p>
      <w:pPr>
        <w:spacing w:line="480" w:lineRule="auto" w:after="0" w:before="0"/>
        <w:jc w:val="center"/>
      </w:pPr>
      <w:r/>
    </w:p>
    <w:p>
      <w:pPr>
        <w:spacing w:line="480" w:lineRule="auto" w:after="0" w:before="0"/>
        <w:jc w:val="center"/>
      </w:pPr>
      <w:r>
        <w:rPr>
          <w:rFonts w:ascii="Times New Roman" w:hAnsi="Times New Roman" w:eastAsia="Times New Roman"/>
          <w:sz w:val="24"/>
        </w:rPr>
        <w:t>Student Name: Sania</w:t>
      </w:r>
    </w:p>
    <w:p>
      <w:pPr>
        <w:spacing w:line="480" w:lineRule="auto" w:after="0" w:before="0"/>
        <w:jc w:val="center"/>
      </w:pPr>
      <w:r>
        <w:t>Student ID: _________________________________</w:t>
      </w:r>
    </w:p>
    <w:p>
      <w:pPr>
        <w:spacing w:line="480" w:lineRule="auto" w:after="0" w:before="0"/>
        <w:jc w:val="center"/>
      </w:pPr>
      <w:r>
        <w:rPr>
          <w:rFonts w:ascii="Times New Roman" w:hAnsi="Times New Roman" w:eastAsia="Times New Roman"/>
          <w:sz w:val="24"/>
        </w:rPr>
        <w:t>Programme: Bachelor in Business Administration and Management</w:t>
      </w:r>
    </w:p>
    <w:p>
      <w:pPr>
        <w:spacing w:line="480" w:lineRule="auto" w:after="0" w:before="0"/>
        <w:jc w:val="center"/>
      </w:pPr>
      <w:r>
        <w:rPr>
          <w:rFonts w:ascii="Times New Roman" w:hAnsi="Times New Roman" w:eastAsia="Times New Roman"/>
          <w:sz w:val="24"/>
        </w:rPr>
        <w:t>Institution: European Institute of Innovation, Entrepreneurship, and Technology - EIIET</w:t>
      </w:r>
    </w:p>
    <w:p>
      <w:pPr>
        <w:spacing w:line="480" w:lineRule="auto" w:after="0" w:before="0"/>
        <w:jc w:val="center"/>
      </w:pPr>
      <w:r>
        <w:t>Module: M09 – Digital Transformation and Innovation</w:t>
      </w:r>
    </w:p>
    <w:p>
      <w:pPr>
        <w:spacing w:line="480" w:lineRule="auto" w:after="0" w:before="0"/>
        <w:jc w:val="center"/>
      </w:pPr>
      <w:r>
        <w:t>Submission Date: 4 September 2026</w:t>
      </w:r>
    </w:p>
    <w:p>
      <w:pPr>
        <w:pStyle w:val="Heading1"/>
      </w:pPr>
      <w:r>
        <w:t>Abstract</w:t>
      </w:r>
    </w:p>
    <w:p>
      <w:pPr>
        <w:spacing w:line="480" w:lineRule="auto" w:after="0" w:before="0"/>
      </w:pPr>
      <w:r>
        <w:rPr>
          <w:i w:val="0"/>
        </w:rPr>
        <w:t>Digital transformation is often discussed as if purchasing new technology is enough to make an organisation more competitive. In practice, however, successful transformation depends on how leaders shape strategy, culture, employee behaviour, and ethical controls around technology. This report critically examines the role of digital leadership, change management, and ethical technology use in successful digital transformation. It argues that technology creates possibilities, but leadership and organisational capability determine whether those possibilities become sustainable value. The report uses a secondary research methodology based on academic literature, professional frameworks, regulatory guidance, and real-world organisational examples. The literature indicates that digital transformation is a broad organisational process involving changes to value creation, structures, processes, capabilities, and culture rather than a simple information-technology project. Leadership is therefore required to create a clear digital vision, encourage experimentation, coordinate cross-functional work, develop employee capabilities, and maintain accountability. The report also finds that employee resistance is not necessarily irrational: it may reflect uncertainty, workload, skills gaps, fear of job displacement, or a lack of trust. Effective change management should consequently combine communication, participation, training, support, and visible leadership behaviour. Ethical technology use is equally important because digital systems can create risks involving privacy, cybersecurity, algorithmic bias, employee surveillance, and irresponsible artificial intelligence. The report evaluates the European Union General Data Protection Regulation (GDPR) and the NIST Artificial Intelligence Risk Management Framework as practical governance references. Microsoft is examined as a positive example of culture-led transformation and responsible AI governance, while Amazon's abandoned AI recruitment tool illustrates the consequences of biased data and insufficient human oversight. The report concludes with a practical integrated framework combining digital leadership, employee-centred change management, and responsible technology governance. Such an approach can help organisations achieve transformation that is not only faster and more innovative, but also trusted, inclusive, secure, and sustainable.</w:t>
      </w:r>
    </w:p>
    <w:p>
      <w:pPr>
        <w:pStyle w:val="Heading1"/>
      </w:pPr>
      <w:r>
        <w:t>1. Introduction</w:t>
      </w:r>
    </w:p>
    <w:p>
      <w:pPr>
        <w:spacing w:line="480" w:lineRule="auto" w:after="0" w:before="0"/>
      </w:pPr>
      <w:r>
        <w:rPr>
          <w:i w:val="0"/>
        </w:rPr>
        <w:t>Digital technology has moved from being a support function to becoming a central part of organisational strategy. Cloud computing, artificial intelligence (AI), advanced analytics, mobile platforms, automation, connected devices, and digital collaboration tools have changed how organisations design products, communicate with customers, manage employees, and compete. The important point, however, is that digital transformation is not simply the replacement of paper processes with software. It involves changing how an organisation creates and captures value. Vial (2019), after reviewing 282 works, describes digital transformation as a process in which combinations of digital technologies trigger significant changes to organisational properties and value-creation paths. This perspective is important because it places organisational change, rather than technology alone, at the centre of transformation.</w:t>
      </w:r>
    </w:p>
    <w:p>
      <w:pPr>
        <w:spacing w:line="480" w:lineRule="auto" w:after="0" w:before="0"/>
      </w:pPr>
      <w:r>
        <w:rPr>
          <w:i w:val="0"/>
        </w:rPr>
        <w:t>Digital transformation also creates a leadership problem. Traditional management approaches can be too slow when markets, customer expectations, and technologies change rapidly. Leaders need to make decisions with incomplete information, support experimentation, coordinate specialists, and create a culture in which employees can learn continuously. Digital leadership therefore involves more than technical knowledge. It includes strategic vision, openness to learning, collaboration, data-informed decision-making, and the ability to balance innovation with risk and responsibility. Research on digital leadership similarly emphasises the interaction between leadership, organisational culture, and digital maturity (Shah &amp; Patki, 2020).</w:t>
      </w:r>
    </w:p>
    <w:p>
      <w:pPr>
        <w:spacing w:line="480" w:lineRule="auto" w:after="0" w:before="0"/>
      </w:pPr>
      <w:r>
        <w:rPr>
          <w:i w:val="0"/>
        </w:rPr>
        <w:t>At the same time, digital transformation changes people's work. Employees may have to learn new systems, accept redesigned roles, work with algorithms, or collaborate through unfamiliar platforms. Some employees may welcome these changes, while others may fear redundancy, loss of autonomy, increased monitoring, or the pressure of learning new skills. Resistance should therefore not automatically be treated as a problem to eliminate. It can also be useful feedback about weaknesses in the transformation process. Recent research shows that learning, communication, and employee participation can help reduce resistance, while technostress and poor digital literacy can increase it (Mauroner et al., 2024; Scholkmann, 2021).</w:t>
      </w:r>
    </w:p>
    <w:p>
      <w:pPr>
        <w:spacing w:line="480" w:lineRule="auto" w:after="0" w:before="0"/>
      </w:pPr>
      <w:r>
        <w:rPr>
          <w:i w:val="0"/>
        </w:rPr>
        <w:t>Ethics adds another dimension. The more organisations depend on data and algorithms, the more decisions can affect individuals without being made directly by a human. Customer data can be collected at scale; employees can be monitored through digital systems; AI can influence recruitment, credit, pricing, or service decisions; and cyberattacks can expose sensitive information. A transformation that improves efficiency while damaging privacy or fairness cannot be considered fully successful. Vial (2019) specifically identifies ethics as an important area for digital transformation research, while the GDPR establishes principles such as lawfulness, fairness, transparency, purpose limitation, data minimisation, accuracy, storage limitation, security, and accountability (European Commission, n.d.).</w:t>
      </w:r>
    </w:p>
    <w:p>
      <w:pPr>
        <w:spacing w:line="480" w:lineRule="auto" w:after="0" w:before="0"/>
      </w:pPr>
      <w:r>
        <w:rPr>
          <w:i w:val="0"/>
        </w:rPr>
        <w:t>This report therefore analyses the relationship between digital leadership, organisational change, and ethical technology use. It focuses on four questions: (1) What role do digital leaders play in guiding transformation and building digital culture? (2) How can change management practices improve employee adoption? (3) What ethical risks arise from digital technologies, especially data-driven and AI systems? and (4) Which practical frameworks can organisations use to make digital transformation responsible and sustainable? The discussion uses academic research, established change and technology-governance frameworks, and real-world cases to develop practical recommendations.</w:t>
      </w:r>
    </w:p>
    <w:p>
      <w:pPr>
        <w:pStyle w:val="Heading1"/>
      </w:pPr>
      <w:r>
        <w:t>2. Literature Review</w:t>
      </w:r>
    </w:p>
    <w:p>
      <w:pPr>
        <w:pStyle w:val="Heading2"/>
      </w:pPr>
      <w:r>
        <w:t>2.1 Digital transformation as an organisational process</w:t>
      </w:r>
    </w:p>
    <w:p>
      <w:pPr>
        <w:spacing w:line="480" w:lineRule="auto" w:after="0" w:before="0"/>
      </w:pPr>
      <w:r>
        <w:rPr>
          <w:i w:val="0"/>
        </w:rPr>
        <w:t>Digital transformation is broader than digitisation. Digitisation refers to converting analogue information into digital form, while digitalisation generally describes the use of digital technologies to improve existing processes. Digital transformation goes further by changing the organisation itself: its strategy, structures, capabilities, customer relationships, and value proposition. Vial (2019) argues that transformation emerges when digital technologies create disruptions that encourage organisations to alter their paths of value creation while dealing with organisational barriers. Westerman et al. (2014) similarly argue that digital mastery combines digital capabilities with leadership capabilities. This distinction explains why organisations can spend heavily on technology and still fail to achieve meaningful transformation.</w:t>
      </w:r>
    </w:p>
    <w:p>
      <w:pPr>
        <w:spacing w:line="480" w:lineRule="auto" w:after="0" w:before="0"/>
      </w:pPr>
      <w:r>
        <w:rPr>
          <w:i w:val="0"/>
        </w:rPr>
        <w:t>The strategic implications are significant. Digital transformation can reduce transaction costs, accelerate decision-making, create new channels, personalise customer experiences, and enable new forms of collaboration. However, the same technologies can create dependence on data infrastructure, cybersecurity exposure, skills shortages, and regulatory obligations. Technology choices must therefore be connected to business strategy. Kane et al. (2015) found that digital success is not primarily about having the newest technology; organisations also need a strategy and culture that enable digital progress. This supports the argument that leaders should start with a business problem or opportunity and then select technology that contributes to a measurable organisational outcome.</w:t>
      </w:r>
    </w:p>
    <w:p>
      <w:pPr>
        <w:pStyle w:val="Heading2"/>
      </w:pPr>
      <w:r>
        <w:t>2.2 Digital leadership and organisational culture</w:t>
      </w:r>
    </w:p>
    <w:p>
      <w:pPr>
        <w:spacing w:line="480" w:lineRule="auto" w:after="0" w:before="0"/>
      </w:pPr>
      <w:r>
        <w:rPr>
          <w:i w:val="0"/>
        </w:rPr>
        <w:t>Leadership becomes especially important because digital transformation creates uncertainty. A digital leader must communicate a direction while allowing enough flexibility for experimentation. The leader should not attempt to know every technical detail; instead, they need to ask good questions, bring together different expertise, remove organisational barriers, and establish priorities. Shah and Patki (2020) note that traditional leadership assumptions can be challenged by digital environments, where relationships, knowledge flows, and capabilities are increasingly technology-mediated.</w:t>
      </w:r>
    </w:p>
    <w:p>
      <w:pPr>
        <w:spacing w:line="480" w:lineRule="auto" w:after="0" w:before="0"/>
      </w:pPr>
      <w:r>
        <w:rPr>
          <w:i w:val="0"/>
        </w:rPr>
        <w:t>Culture is the behavioural environment in which transformation happens. If employees believe that mistakes will be punished, they may avoid experimentation even when leaders ask for innovation. Edmondson's (1999) concept of psychological safety is relevant here: teams learn more effectively when people feel able to speak up, ask questions, and discuss errors without fear of interpersonal punishment. A digitally mature culture should therefore combine accountability with psychological safety. Employees should be responsible for outcomes, but they should also be encouraged to identify problems early and propose improvements.</w:t>
      </w:r>
    </w:p>
    <w:p>
      <w:pPr>
        <w:spacing w:line="480" w:lineRule="auto" w:after="0" w:before="0"/>
      </w:pPr>
      <w:r>
        <w:rPr>
          <w:i w:val="0"/>
        </w:rPr>
        <w:t>Microsoft provides a useful example of culture-led transformation. Under Satya Nadella, Microsoft placed strong emphasis on a growth mindset, customer focus, learning, and collaboration. Its annual reporting has described a culture in which employees are encouraged to be curious, experiment, and share what they learn (Microsoft, 2021). The lesson is not that every organisation should copy Microsoft's culture exactly. Rather, the case shows that leadership messages become meaningful when they are translated into management behaviour, learning practices, incentives, and everyday decision-making.</w:t>
      </w:r>
    </w:p>
    <w:p>
      <w:pPr>
        <w:pStyle w:val="Heading2"/>
      </w:pPr>
      <w:r>
        <w:t>2.3 Change management and employee adoption</w:t>
      </w:r>
    </w:p>
    <w:p>
      <w:pPr>
        <w:spacing w:line="480" w:lineRule="auto" w:after="0" w:before="0"/>
      </w:pPr>
      <w:r>
        <w:rPr>
          <w:i w:val="0"/>
        </w:rPr>
        <w:t>Technology adoption depends on people accepting and using the new way of working. Kotter (1995, 2007) argues that major organisational change requires leadership actions such as establishing urgency, building a guiding coalition, developing a vision, communicating that vision, empowering action, creating short-term wins, consolidating progress, and anchoring new approaches in organisational culture. These ideas remain useful for digital transformation because they address the social side of change rather than focusing only on technical implementation.</w:t>
      </w:r>
    </w:p>
    <w:p>
      <w:pPr>
        <w:spacing w:line="480" w:lineRule="auto" w:after="0" w:before="0"/>
      </w:pPr>
      <w:r>
        <w:rPr>
          <w:i w:val="0"/>
        </w:rPr>
        <w:t>However, a purely top-down approach can be insufficient. Employees who are expected to use a new system understand its practical consequences better than senior leaders may. Participation can therefore improve both adoption and the quality of the transformation. Research on digital transformation resistance suggests that learning, communication, and participation are important ways of reducing resistance and protecting employee well-being (Mauroner et al., 2024). Resistance may also be connected to technostress, particularly when employees lack digital literacy or feel that new technologies increase workload without adequate support.</w:t>
      </w:r>
    </w:p>
    <w:p>
      <w:pPr>
        <w:spacing w:line="480" w:lineRule="auto" w:after="0" w:before="0"/>
      </w:pPr>
      <w:r>
        <w:rPr>
          <w:i w:val="0"/>
        </w:rPr>
        <w:t>The Technology Acceptance Model (Davis, 1989) offers another useful perspective. Employees are more likely to accept technology when they perceive it as useful and easy to use. In practice, this means leaders should demonstrate how a new system solves real problems, provide hands-on training, design simple workflows, and listen to user feedback. Adoption should be measured through meaningful outcomes rather than login statistics alone. A system may be technically implemented but still fail if employees create workarounds or use it only minimally.</w:t>
      </w:r>
    </w:p>
    <w:p>
      <w:pPr>
        <w:pStyle w:val="Heading2"/>
      </w:pPr>
      <w:r>
        <w:t>2.4 Ethical technology use</w:t>
      </w:r>
    </w:p>
    <w:p>
      <w:pPr>
        <w:spacing w:line="480" w:lineRule="auto" w:after="0" w:before="0"/>
      </w:pPr>
      <w:r>
        <w:rPr>
          <w:i w:val="0"/>
        </w:rPr>
        <w:t>Digital transformation increases the ethical responsibilities of organisations because data and algorithms can influence opportunities, treatment, and access to services. Privacy is one major concern. Under the GDPR, organisations must have lawful and transparent grounds for processing personal data and should collect only data that is necessary for a specified purpose (European Commission, n.d.). This principle of data minimisation challenges the assumption that organisations should collect as much data as possible simply because storage is inexpensive.</w:t>
      </w:r>
    </w:p>
    <w:p>
      <w:pPr>
        <w:spacing w:line="480" w:lineRule="auto" w:after="0" w:before="0"/>
      </w:pPr>
      <w:r>
        <w:rPr>
          <w:i w:val="0"/>
        </w:rPr>
        <w:t>Cybersecurity is closely connected to ethics. A company that stores large amounts of customer or employee data has a responsibility to protect it from unauthorised access, loss, and misuse. Security should therefore be built into transformation programmes from the beginning rather than added after implementation. Microsoft's Secure Future Initiative, for example, has connected cybersecurity with organisational culture and governance, including training and a security-first mindset (Microsoft, 2024).</w:t>
      </w:r>
    </w:p>
    <w:p>
      <w:pPr>
        <w:spacing w:line="480" w:lineRule="auto" w:after="0" w:before="0"/>
      </w:pPr>
      <w:r>
        <w:rPr>
          <w:i w:val="0"/>
        </w:rPr>
        <w:t>Algorithmic bias is another concern. AI systems learn from data and organisational decisions, meaning that historical inequalities can be reproduced or amplified. The well-known case of Amazon's experimental recruitment tool illustrates this risk: the system was reported to have disadvantaged women because it learned patterns from historical recruitment data (Reuters, 2024). The broader lesson is that an AI system can be technically sophisticated and still produce unfair outcomes. Human review, representative data, testing, monitoring, and clear accountability are therefore necessary.</w:t>
      </w:r>
    </w:p>
    <w:p>
      <w:pPr>
        <w:spacing w:line="480" w:lineRule="auto" w:after="0" w:before="0"/>
      </w:pPr>
      <w:r>
        <w:rPr>
          <w:i w:val="0"/>
        </w:rPr>
        <w:t>Employee surveillance creates a further tension. Digital tools can measure productivity, location, communications, and behaviour. Some monitoring may be legitimate for safety or security, but excessive monitoring can reduce trust and autonomy. Ethical leadership requires proportionality: organisations should ask whether monitoring is necessary, what purpose it serves, who can access the information, how long it will be stored, and what impact it has on employees. Transparency is particularly important because hidden surveillance can create a culture of fear rather than a culture of innovation.</w:t>
      </w:r>
    </w:p>
    <w:p>
      <w:pPr>
        <w:pStyle w:val="Heading1"/>
      </w:pPr>
      <w:r>
        <w:t>3. Methodology</w:t>
      </w:r>
    </w:p>
    <w:p>
      <w:pPr>
        <w:spacing w:line="480" w:lineRule="auto" w:after="0" w:before="0"/>
      </w:pPr>
      <w:r>
        <w:rPr>
          <w:i w:val="0"/>
        </w:rPr>
        <w:t>This report adopts a qualitative secondary-research methodology. No primary survey or interview was conducted; instead, evidence was gathered from peer-reviewed academic literature, established management frameworks, regulatory guidance, and public organisational reports. This approach is appropriate for the assignment because the objective is to critically examine theories and practices relating to digital leadership, change management, and ethical technology use rather than to estimate a single population parameter.</w:t>
      </w:r>
    </w:p>
    <w:p>
      <w:pPr>
        <w:spacing w:line="480" w:lineRule="auto" w:after="0" w:before="0"/>
      </w:pPr>
      <w:r>
        <w:rPr>
          <w:i w:val="0"/>
        </w:rPr>
        <w:t>The literature review focused on four themes: digital transformation and leadership; organisational culture and employee adoption; change management and resistance; and ethical governance of data and AI. Academic sources were selected because they provide conceptual and empirical foundations, while regulatory and organisational sources were used to connect those concepts to practical business contexts. Real-world cases were selected to illustrate both positive practices and failures.</w:t>
      </w:r>
    </w:p>
    <w:p>
      <w:pPr>
        <w:spacing w:line="480" w:lineRule="auto" w:after="0" w:before="0"/>
      </w:pPr>
      <w:r>
        <w:rPr>
          <w:i w:val="0"/>
        </w:rPr>
        <w:t>The analysis was thematic. Evidence was compared across sources to identify recurring relationships between leadership behaviour, culture, change adoption, and responsible technology governance. The resulting findings were then interpreted through practical frameworks, particularly Kotter's change model, psychological safety, the Technology Acceptance Model, GDPR principles, and the NIST AI Risk Management Framework. The main limitation of this method is that the report depends on existing published evidence and therefore cannot claim to represent the experience of every organisation or industry. In addition, company-reported practices may present a more positive picture than independent evaluation would.</w:t>
      </w:r>
    </w:p>
    <w:p>
      <w:pPr>
        <w:spacing w:line="480" w:lineRule="auto" w:after="0" w:before="0"/>
      </w:pPr>
      <w:r>
        <w:t>For guidance on the assignment length, the main discussion (Sections 1–8) is approximately 4819 words; the reference list, title page, table of contents, and appendices are excluded from this estimate.</w:t>
      </w:r>
    </w:p>
    <CT_P/>
    <w:p>
      <w:pPr>
        <w:pStyle w:val="Heading1"/>
      </w:pPr>
      <w:r>
        <w:t>4. Findings</w:t>
      </w:r>
    </w:p>
    <w:p>
      <w:pPr>
        <w:pStyle w:val="Heading2"/>
      </w:pPr>
      <w:r>
        <w:t>4.1 Finding 1: Digital leadership is a strategic capability, not an IT role</w:t>
      </w:r>
    </w:p>
    <w:p>
      <w:pPr>
        <w:spacing w:line="480" w:lineRule="auto" w:after="0" w:before="0"/>
      </w:pPr>
      <w:r>
        <w:rPr>
          <w:i w:val="0"/>
        </w:rPr>
        <w:t>The first finding is that digital leadership should be treated as an organisation-wide capability. Successful leaders do not simply approve technology projects; they connect technology to customer needs, competitive positioning, employee capability, and long-term strategy. Vial (2019) shows that digital transformation changes value-creation paths, which means senior leadership must be involved in decisions about strategy and organisational design.</w:t>
      </w:r>
    </w:p>
    <w:p>
      <w:pPr>
        <w:spacing w:line="480" w:lineRule="auto" w:after="0" w:before="0"/>
      </w:pPr>
      <w:r>
        <w:rPr>
          <w:i w:val="0"/>
        </w:rPr>
        <w:t>Leadership also matters because transformation requires choices about where to invest and what not to pursue. Organisations face a constant stream of technologies described as 'next generation'. A leader who adopts technology because it is fashionable can create fragmented systems, unnecessary costs, and employee fatigue. A stronger approach is to identify strategic priorities first and then test which technologies can support them. This is consistent with the argument that strategy, rather than technology alone, drives digital transformation (Kane et al., 2015).</w:t>
      </w:r>
    </w:p>
    <w:p>
      <w:pPr>
        <w:spacing w:line="480" w:lineRule="auto" w:after="0" w:before="0"/>
      </w:pPr>
      <w:r>
        <w:rPr>
          <w:i w:val="0"/>
        </w:rPr>
        <w:t>Microsoft's transformation provides a useful example of this principle. The company moved from a strong dependence on traditional software licensing towards a broader cloud and services strategy, while leadership also emphasised growth mindset and learning. Its reporting connects culture, customer focus, experimentation, and digital capability rather than presenting technology as a standalone project (Microsoft, 2021). This suggests that leadership consistency is more important than isolated technology investments.</w:t>
      </w:r>
    </w:p>
    <w:p>
      <w:pPr>
        <w:pStyle w:val="Heading2"/>
      </w:pPr>
      <w:r>
        <w:t>4.2 Finding 2: Culture determines whether technology becomes normal work</w:t>
      </w:r>
    </w:p>
    <w:p>
      <w:pPr>
        <w:spacing w:line="480" w:lineRule="auto" w:after="0" w:before="0"/>
      </w:pPr>
      <w:r>
        <w:rPr>
          <w:i w:val="0"/>
        </w:rPr>
        <w:t>A second finding is that organisational culture can either accelerate or block transformation. New software cannot create collaboration if departments continue to protect information. AI cannot create innovation if employees are afraid to experiment. Cloud systems cannot produce agility if internal approval processes remain excessively slow.</w:t>
      </w:r>
    </w:p>
    <w:p>
      <w:pPr>
        <w:spacing w:line="480" w:lineRule="auto" w:after="0" w:before="0"/>
      </w:pPr>
      <w:r>
        <w:rPr>
          <w:i w:val="0"/>
        </w:rPr>
        <w:t>A supportive digital culture includes curiosity, learning, collaboration, customer orientation, psychological safety, and responsible experimentation. Leaders can influence these behaviours by rewarding learning, sharing information, involving employees in decisions, and openly discussing failures. Psychological safety is particularly valuable because digital transformation inevitably involves trial and error. When people can raise concerns without fear, organisations can identify technical and ethical problems before they become expensive failures.</w:t>
      </w:r>
    </w:p>
    <w:p>
      <w:pPr>
        <w:spacing w:line="480" w:lineRule="auto" w:after="0" w:before="0"/>
      </w:pPr>
      <w:r>
        <w:rPr>
          <w:i w:val="0"/>
        </w:rPr>
        <w:t>Culture also needs to be supported by organisational systems. Training, recruitment, performance management, promotion criteria, and incentives should reinforce the desired behaviours. It is difficult to build a learning culture if employees are evaluated only on short-term output and receive no time for development. Therefore, culture should not be treated as a motivational slogan; it should be reflected in how work is actually managed.</w:t>
      </w:r>
    </w:p>
    <w:p>
      <w:pPr>
        <w:pStyle w:val="Heading2"/>
      </w:pPr>
      <w:r>
        <w:t>4.3 Finding 3: Employee resistance is information, not simply opposition</w:t>
      </w:r>
    </w:p>
    <w:p>
      <w:pPr>
        <w:spacing w:line="480" w:lineRule="auto" w:after="0" w:before="0"/>
      </w:pPr>
      <w:r>
        <w:rPr>
          <w:i w:val="0"/>
        </w:rPr>
        <w:t>The third finding is that employee resistance should be understood rather than automatically suppressed. Employees may resist because they do not understand the reason for change, believe the new technology will make their work harder, lack the required skills, distrust leadership, fear job loss, or have experienced previous transformation projects that did not deliver promised benefits. Treating these concerns as 'negative attitudes' can increase resistance.</w:t>
      </w:r>
    </w:p>
    <w:p>
      <w:pPr>
        <w:spacing w:line="480" w:lineRule="auto" w:after="0" w:before="0"/>
      </w:pPr>
      <w:r>
        <w:rPr>
          <w:i w:val="0"/>
        </w:rPr>
        <w:t>Change management should therefore begin before implementation. Leaders should explain why change is needed, what will change, what will remain stable, and how employees will be supported. Two-way communication is important because employees need opportunities to ask questions and influence implementation. Training should be role-specific rather than generic. For example, a salesperson, finance employee, and operations worker may use the same digital platform differently and therefore need different learning support.</w:t>
      </w:r>
    </w:p>
    <w:p>
      <w:pPr>
        <w:spacing w:line="480" w:lineRule="auto" w:after="0" w:before="0"/>
      </w:pPr>
      <w:r>
        <w:rPr>
          <w:i w:val="0"/>
        </w:rPr>
        <w:t>Short-term wins can also increase confidence. Kotter's framework suggests that visible early successes help build momentum. In a digital project, an early win might be reducing the time required for a repetitive task, improving customer response time, or eliminating a common reporting problem. The organisation can then use the evidence to refine the solution and expand it. This reduces the perception that transformation is an abstract management project.</w:t>
      </w:r>
    </w:p>
    <w:p>
      <w:pPr>
        <w:pStyle w:val="Heading2"/>
      </w:pPr>
      <w:r>
        <w:t>4.4 Finding 4: Ethical governance must be designed into transformation</w:t>
      </w:r>
    </w:p>
    <w:p>
      <w:pPr>
        <w:spacing w:line="480" w:lineRule="auto" w:after="0" w:before="0"/>
      </w:pPr>
      <w:r>
        <w:rPr>
          <w:i w:val="0"/>
        </w:rPr>
        <w:t>The fourth finding is that ethical governance cannot be added at the end. Privacy, cybersecurity, bias, transparency, and accountability need to be considered during technology selection, design, testing, deployment, and monitoring. The GDPR's principles of purpose limitation, data minimisation, security, and accountability provide a strong baseline for organisations processing personal data in Europe (European Commission, n.d.).</w:t>
      </w:r>
    </w:p>
    <w:p>
      <w:pPr>
        <w:spacing w:line="480" w:lineRule="auto" w:after="0" w:before="0"/>
      </w:pPr>
      <w:r>
        <w:rPr>
          <w:i w:val="0"/>
        </w:rPr>
        <w:t>For AI, the NIST AI Risk Management Framework provides a practical structure based on four functions: Govern, Map, Measure, and Manage (Tabassi, 2023). Governance establishes responsibility and policies; mapping identifies context and potential harms; measurement evaluates performance and risk; and management addresses identified risks. The framework is voluntary, but its lifecycle orientation is valuable because AI risks can change after deployment.</w:t>
      </w:r>
    </w:p>
    <w:p>
      <w:pPr>
        <w:spacing w:line="480" w:lineRule="auto" w:after="0" w:before="0"/>
      </w:pPr>
      <w:r>
        <w:rPr>
          <w:i w:val="0"/>
        </w:rPr>
        <w:t>Microsoft's responsible AI programme illustrates how such governance can be operationalised. Microsoft reports that it aligns its responsible AI work with the NIST functions and uses pre-release oversight, risk assessment, testing, and governance mechanisms (Microsoft, 2026). Whether every organisation can achieve the same scale is doubtful, but the principle is transferable: responsibility should be built into processes, not left to individual employees' good intentions.</w:t>
      </w:r>
    </w:p>
    <w:p>
      <w:pPr>
        <w:spacing w:line="480" w:lineRule="auto" w:after="0" w:before="0"/>
      </w:pPr>
      <w:r>
        <w:rPr>
          <w:i w:val="0"/>
        </w:rPr>
        <w:t>Amazon's recruitment-tool case demonstrates why this is necessary. A system trained on historical recruitment data can reproduce the biases present in that history. Human oversight is therefore not merely a legal formality; it is a quality-control mechanism. Organisations should test models for disparate outcomes, document data sources, monitor performance after deployment, and provide a route for human review and appeal where decisions materially affect people.</w:t>
      </w:r>
    </w:p>
    <w:p>
      <w:pPr>
        <w:pStyle w:val="Heading2"/>
      </w:pPr>
      <w:r>
        <w:t>4.5 Finding 5: The strongest model integrates leadership, change, and ethics</w:t>
      </w:r>
    </w:p>
    <w:p>
      <w:pPr>
        <w:spacing w:line="480" w:lineRule="auto" w:after="0" w:before="0"/>
      </w:pPr>
      <w:r>
        <w:rPr>
          <w:i w:val="0"/>
        </w:rPr>
        <w:t>The final finding is that leadership, change management, and ethics are interconnected rather than separate topics. A leader who communicates a digital vision but ignores employee well-being may achieve short-term implementation but lose trust. A change programme that trains employees but ignores privacy can create compliance and reputational risk. An ethical policy that exists only on paper will not protect an organisation if leaders reward speed at any cost.</w:t>
      </w:r>
    </w:p>
    <w:p>
      <w:pPr>
        <w:spacing w:line="480" w:lineRule="auto" w:after="0" w:before="0"/>
      </w:pPr>
      <w:r>
        <w:rPr>
          <w:i w:val="0"/>
        </w:rPr>
        <w:t>An integrated approach therefore has three layers. First, strategic leadership defines the purpose, priorities, investment boundaries, and accountability. Second, change management translates strategy into employee adoption through communication, participation, training, support, and reinforcement. Third, ethical governance sets controls for privacy, cybersecurity, AI risk, transparency, and human oversight. The three layers should operate continuously rather than sequentially.</w:t>
      </w:r>
    </w:p>
    <w:p>
      <w:pPr>
        <w:pStyle w:val="Heading1"/>
      </w:pPr>
      <w:r>
        <w:t>5. Discussion</w:t>
      </w:r>
    </w:p>
    <w:p>
      <w:pPr>
        <w:pStyle w:val="Heading2"/>
      </w:pPr>
      <w:r>
        <w:t>5.1 The role of digital leaders in guiding transformation</w:t>
      </w:r>
    </w:p>
    <w:p>
      <w:pPr>
        <w:spacing w:line="480" w:lineRule="auto" w:after="0" w:before="0"/>
      </w:pPr>
      <w:r>
        <w:rPr>
          <w:i w:val="0"/>
        </w:rPr>
        <w:t>The findings support the view that digital leaders act as translators between business strategy, technology, and people. They must understand enough technology to evaluate opportunities and risks, but their greater responsibility is to create organisational conditions in which technology can generate value. This requires a clear digital vision connected to measurable business outcomes.</w:t>
      </w:r>
    </w:p>
    <w:p>
      <w:pPr>
        <w:spacing w:line="480" w:lineRule="auto" w:after="0" w:before="0"/>
      </w:pPr>
      <w:r>
        <w:rPr>
          <w:i w:val="0"/>
        </w:rPr>
        <w:t>First, leaders should establish strategic clarity. Employees are more likely to support transformation when they understand the problem being solved. A statement such as 'we need AI' is weaker than 'we need to reduce customer response time while maintaining service quality, and AI may help us achieve this'. The second statement gives technology a purpose and makes it easier to evaluate whether it works.</w:t>
      </w:r>
    </w:p>
    <w:p>
      <w:pPr>
        <w:spacing w:line="480" w:lineRule="auto" w:after="0" w:before="0"/>
      </w:pPr>
      <w:r>
        <w:rPr>
          <w:i w:val="0"/>
        </w:rPr>
        <w:t>Second, leaders should model the behaviour they expect. If senior managers refuse to use new digital systems while asking employees to adopt them, the transformation loses credibility. Leaders should participate in training, use data responsibly, admit when they do not know something, and respond constructively to concerns. Digital leadership is therefore demonstrated through behaviour as much as through strategy documents.</w:t>
      </w:r>
    </w:p>
    <w:p>
      <w:pPr>
        <w:spacing w:line="480" w:lineRule="auto" w:after="0" w:before="0"/>
      </w:pPr>
      <w:r>
        <w:rPr>
          <w:i w:val="0"/>
        </w:rPr>
        <w:t>Third, leaders need cross-functional governance. Digital transformation often crosses IT, finance, operations, marketing, HR, legal, compliance, and customer service. A single department cannot manage all consequences. A transformation steering group should therefore include business, technology, security, legal/privacy, HR, and where appropriate employee representatives. This reduces the risk of technically successful but organisationally harmful projects.</w:t>
      </w:r>
    </w:p>
    <w:p>
      <w:pPr>
        <w:pStyle w:val="Heading2"/>
      </w:pPr>
      <w:r>
        <w:t>5.2 Building a digital culture</w:t>
      </w:r>
    </w:p>
    <w:p>
      <w:pPr>
        <w:spacing w:line="480" w:lineRule="auto" w:after="0" w:before="0"/>
      </w:pPr>
      <w:r>
        <w:rPr>
          <w:i w:val="0"/>
        </w:rPr>
        <w:t>A digital culture should not mean that employees are expected to be available through technology all the time. It should mean that the organisation is capable of learning and adapting. This distinction is important because excessive digitalisation can create burnout and technostress. Research on resistance highlights the importance of learning and support, suggesting that digital capability should be developed rather than assumed (Mauroner et al., 2024).</w:t>
      </w:r>
    </w:p>
    <w:p>
      <w:pPr>
        <w:spacing w:line="480" w:lineRule="auto" w:after="0" w:before="0"/>
      </w:pPr>
      <w:r>
        <w:rPr>
          <w:i w:val="0"/>
        </w:rPr>
        <w:t>Organisations can build such a culture through continuous learning, communities of practice, internal experimentation, mentoring, and accessible digital training. Managers should also create psychological safety by asking employees what is not working and responding seriously to negative feedback. When employees believe that speaking up can lead to improvement, they become a source of transformation rather than an obstacle to it.</w:t>
      </w:r>
    </w:p>
    <w:p>
      <w:pPr>
        <w:spacing w:line="480" w:lineRule="auto" w:after="0" w:before="0"/>
      </w:pPr>
      <w:r>
        <w:rPr>
          <w:i w:val="0"/>
        </w:rPr>
        <w:t>However, cultural change takes time. Leaders should avoid announcing a new culture and expecting immediate behavioural change. Culture becomes credible when recruitment, promotion, incentives, meeting practices, information sharing, and resource allocation all reinforce the same values. Microsoft's growth-mindset example illustrates the value of connecting leadership messaging with ongoing learning and collaboration (Microsoft, 2021).</w:t>
      </w:r>
    </w:p>
    <w:p>
      <w:pPr>
        <w:pStyle w:val="Heading2"/>
      </w:pPr>
      <w:r>
        <w:t>5.3 Managing resistance and adoption</w:t>
      </w:r>
    </w:p>
    <w:p>
      <w:pPr>
        <w:spacing w:line="480" w:lineRule="auto" w:after="0" w:before="0"/>
      </w:pPr>
      <w:r>
        <w:rPr>
          <w:i w:val="0"/>
        </w:rPr>
        <w:t>An effective digital change programme should follow a people-centred sequence. First, assess readiness: understand current processes, employee skills, pain points, and likely sources of resistance. Second, explain the case for change and invite employee input. Third, provide training and practical support before and during implementation. Fourth, introduce the system through pilots or phased deployment where possible. Fifth, measure adoption and outcomes and make improvements based on evidence.</w:t>
      </w:r>
    </w:p>
    <w:p>
      <w:pPr>
        <w:spacing w:line="480" w:lineRule="auto" w:after="0" w:before="0"/>
      </w:pPr>
      <w:r>
        <w:rPr>
          <w:i w:val="0"/>
        </w:rPr>
        <w:t>Communication should also be honest about uncertainty. Leaders should not promise that technology will have no effect on jobs when role redesign is possible. Instead, they should explain which tasks may change, which new skills will be needed, and what reskilling support will be provided. This approach can strengthen trust even when the transformation is difficult.</w:t>
      </w:r>
    </w:p>
    <w:p>
      <w:pPr>
        <w:spacing w:line="480" w:lineRule="auto" w:after="0" w:before="0"/>
      </w:pPr>
      <w:r>
        <w:rPr>
          <w:i w:val="0"/>
        </w:rPr>
        <w:t>Employee representatives can play an important role, especially in Europe where employment relations and data protection expectations are significant. Involving employees early can identify practical problems and ethical concerns before deployment. It also turns change management from a communication exercise into a participation process.</w:t>
      </w:r>
    </w:p>
    <w:p>
      <w:pPr>
        <w:pStyle w:val="Heading2"/>
      </w:pPr>
      <w:r>
        <w:t>5.4 Ethical issues: privacy, cybersecurity, bias, and surveillance</w:t>
      </w:r>
    </w:p>
    <w:p>
      <w:pPr>
        <w:spacing w:line="480" w:lineRule="auto" w:after="0" w:before="0"/>
      </w:pPr>
      <w:r>
        <w:rPr>
          <w:i w:val="0"/>
        </w:rPr>
        <w:t>Privacy should be treated as a design principle rather than an administrative checklist. Organisations should define why data is needed, minimise collection, restrict access, establish retention periods, and communicate clearly with individuals. The GDPR's accountability principle means that organisations should also be able to demonstrate compliance rather than merely claim that they respect privacy (European Commission, n.d.).</w:t>
      </w:r>
    </w:p>
    <w:p>
      <w:pPr>
        <w:spacing w:line="480" w:lineRule="auto" w:after="0" w:before="0"/>
      </w:pPr>
      <w:r>
        <w:rPr>
          <w:i w:val="0"/>
        </w:rPr>
        <w:t>Cybersecurity should similarly be integrated into transformation architecture. Cloud migration, remote work, connected devices, and AI applications can increase the number of access points and dependencies. Leaders should establish clear ownership, multi-factor authentication, access controls, encryption where appropriate, secure development practices, incident response plans, and employee awareness training. Security investments should be framed as protecting organisational continuity and stakeholder trust, not simply as an IT expense.</w:t>
      </w:r>
    </w:p>
    <w:p>
      <w:pPr>
        <w:spacing w:line="480" w:lineRule="auto" w:after="0" w:before="0"/>
      </w:pPr>
      <w:r>
        <w:rPr>
          <w:i w:val="0"/>
        </w:rPr>
        <w:t>Algorithmic bias requires both technical and organisational controls. Data should be assessed for quality and representativeness; models should be tested against relevant fairness criteria; outputs should be monitored after deployment; and high-impact decisions should retain appropriate human oversight. The Amazon recruitment example demonstrates that historical data can encode discrimination. A model that reproduces past decisions is not automatically objective.</w:t>
      </w:r>
    </w:p>
    <w:p>
      <w:pPr>
        <w:spacing w:line="480" w:lineRule="auto" w:after="0" w:before="0"/>
      </w:pPr>
      <w:r>
        <w:rPr>
          <w:i w:val="0"/>
        </w:rPr>
        <w:t>Employee surveillance is particularly sensitive because the power relationship between employer and employee is unequal. Organisations should establish a clear legitimate purpose, collect the minimum information required, provide transparency, restrict access, and evaluate whether monitoring produces harmful unintended consequences. Productivity measurement should not become a substitute for good management. If employees believe every action is being watched, the organisation may reduce trust and psychological safety—the very conditions needed for innovation.</w:t>
      </w:r>
    </w:p>
    <w:p>
      <w:pPr>
        <w:pStyle w:val="Heading2"/>
      </w:pPr>
      <w:r>
        <w:t>5.5 Responsible AI and the NIST framework</w:t>
      </w:r>
    </w:p>
    <w:p>
      <w:pPr>
        <w:spacing w:line="480" w:lineRule="auto" w:after="0" w:before="0"/>
      </w:pPr>
      <w:r>
        <w:rPr>
          <w:i w:val="0"/>
        </w:rPr>
        <w:t>The NIST AI RMF provides a useful practical bridge between ethical principles and operational management. Its four functions—Govern, Map, Measure, and Manage—can be incorporated into an organisation's AI lifecycle (Tabassi, 2023). 'Govern' means establishing policies, roles, accountability, and organisational culture. 'Map' means understanding the intended use, stakeholders, context, and potential harms. 'Measure' means evaluating accuracy, reliability, fairness, security, and other relevant characteristics. 'Manage' means prioritising and treating risks and monitoring them over time.</w:t>
      </w:r>
    </w:p>
    <w:p>
      <w:pPr>
        <w:spacing w:line="480" w:lineRule="auto" w:after="0" w:before="0"/>
      </w:pPr>
      <w:r>
        <w:rPr>
          <w:i w:val="0"/>
        </w:rPr>
        <w:t>This framework is valuable because it avoids treating ethics as a one-time approval. AI systems can change when data changes, users interact with them in unexpected ways, or models are updated. Continuous monitoring is therefore necessary. Microsoft's reported alignment with NIST and use of pre-release review and red teaming demonstrates one way a large technology company has attempted to operationalise these ideas (Microsoft, 2026). Smaller organisations may use a simplified version, but the underlying principle remains the same.</w:t>
      </w:r>
    </w:p>
    <w:p>
      <w:pPr>
        <w:spacing w:line="480" w:lineRule="auto" w:after="0" w:before="0"/>
      </w:pPr>
      <w:r>
        <w:rPr>
          <w:i w:val="0"/>
        </w:rPr>
        <w:t>Responsible AI also requires clear accountability for human decisions. 'The algorithm decided' should not be accepted as an organisational excuse. Leaders need to know who owns the system, who approves its use, who monitors risks, and who can stop or modify it when serious problems appear. This is especially important when AI is used in employment, finance, healthcare, education, or other high-impact contexts.</w:t>
      </w:r>
    </w:p>
    <w:p>
      <w:pPr>
        <w:pStyle w:val="Heading1"/>
      </w:pPr>
      <w:r>
        <w:t>6. Recommended Practical Framework for Responsible Digital Transformation</w:t>
      </w:r>
    </w:p>
    <w:p>
      <w:pPr>
        <w:spacing w:line="480" w:lineRule="auto" w:after="0" w:before="0"/>
      </w:pPr>
      <w:r>
        <w:rPr>
          <w:i w:val="0"/>
        </w:rPr>
        <w:t>Based on the literature and findings, this report proposes the following seven-stage framework. The stages should be treated as a continuous cycle rather than a rigid one-way process.</w:t>
      </w:r>
    </w:p>
    <w:p>
      <w:pPr>
        <w:spacing w:line="480" w:lineRule="auto" w:after="0" w:before="0"/>
      </w:pPr>
      <w:r>
        <w:rPr>
          <w:b/>
        </w:rPr>
        <w:t xml:space="preserve">1. Define the strategic purpose: </w:t>
      </w:r>
      <w:r>
        <w:t>Identify the customer, operational, or competitive problem before choosing technology. Set measurable outcomes and define what success means.</w:t>
      </w:r>
    </w:p>
    <w:p>
      <w:pPr>
        <w:spacing w:line="480" w:lineRule="auto" w:after="0" w:before="0"/>
      </w:pPr>
      <w:r>
        <w:rPr>
          <w:b/>
        </w:rPr>
        <w:t xml:space="preserve">2. Build leadership ownership: </w:t>
      </w:r>
      <w:r>
        <w:t>Create a cross-functional leadership team with clear decision rights. Senior leaders should model the desired behaviours and remain accountable for outcomes.</w:t>
      </w:r>
    </w:p>
    <w:p>
      <w:pPr>
        <w:spacing w:line="480" w:lineRule="auto" w:after="0" w:before="0"/>
      </w:pPr>
      <w:r>
        <w:rPr>
          <w:b/>
        </w:rPr>
        <w:t xml:space="preserve">3. Assess people and culture: </w:t>
      </w:r>
      <w:r>
        <w:t>Map employee skills, concerns, existing processes, cultural barriers, and readiness. Identify groups that may require additional support.</w:t>
      </w:r>
    </w:p>
    <w:p>
      <w:pPr>
        <w:spacing w:line="480" w:lineRule="auto" w:after="0" w:before="0"/>
      </w:pPr>
      <w:r>
        <w:rPr>
          <w:b/>
        </w:rPr>
        <w:t xml:space="preserve">4. Co-design and pilot: </w:t>
      </w:r>
      <w:r>
        <w:t>Involve employees and relevant stakeholders in design. Run small pilots where possible, learn from failure, and create visible short-term wins.</w:t>
      </w:r>
    </w:p>
    <w:p>
      <w:pPr>
        <w:spacing w:line="480" w:lineRule="auto" w:after="0" w:before="0"/>
      </w:pPr>
      <w:r>
        <w:rPr>
          <w:b/>
        </w:rPr>
        <w:t xml:space="preserve">5. Embed change management: </w:t>
      </w:r>
      <w:r>
        <w:t>Use clear communication, role-specific training, coaching, participation, feedback channels, and reinforcement. Measure adoption as well as business outcomes.</w:t>
      </w:r>
    </w:p>
    <w:p>
      <w:pPr>
        <w:spacing w:line="480" w:lineRule="auto" w:after="0" w:before="0"/>
      </w:pPr>
      <w:r>
        <w:rPr>
          <w:b/>
        </w:rPr>
        <w:t xml:space="preserve">6. Apply ethical-by-design controls: </w:t>
      </w:r>
      <w:r>
        <w:t>For data and AI, assess purpose, legality, privacy, security, bias, transparency, accessibility, and human oversight before deployment. Use GDPR principles and an AI risk framework where appropriate.</w:t>
      </w:r>
    </w:p>
    <w:p>
      <w:pPr>
        <w:spacing w:line="480" w:lineRule="auto" w:after="0" w:before="0"/>
      </w:pPr>
      <w:r>
        <w:rPr>
          <w:b/>
        </w:rPr>
        <w:t xml:space="preserve">7. Monitor, learn, and improve: </w:t>
      </w:r>
      <w:r>
        <w:t>Track technical performance, employee experience, customer outcomes, security incidents, ethical risks, and regulatory changes. Review the transformation regularly and adjust it.</w:t>
      </w:r>
    </w:p>
    <w:p>
      <w:pPr>
        <w:spacing w:line="480" w:lineRule="auto" w:after="0" w:before="0"/>
      </w:pPr>
      <w:r>
        <w:rPr>
          <w:i w:val="0"/>
        </w:rPr>
        <w:t>The framework can be visualised as a cycle: Strategy → Leadership → People &amp; Culture → Pilot → Adoption → Ethical Governance → Measurement &amp; Learning → back to Strategy. The key advantage of this approach is integration. It prevents organisations from treating technology implementation, employee change, and ethics as separate projects.</w:t>
      </w:r>
    </w:p>
    <w:p>
      <w:pPr>
        <w:pStyle w:val="Heading1"/>
      </w:pPr>
      <w:r>
        <w:t>7. Real-World Case Analysis</w:t>
      </w:r>
    </w:p>
    <w:p>
      <w:pPr>
        <w:pStyle w:val="Heading2"/>
      </w:pPr>
      <w:r>
        <w:t>7.1 Microsoft: leadership, culture, and responsible AI</w:t>
      </w:r>
    </w:p>
    <w:p>
      <w:pPr>
        <w:spacing w:line="480" w:lineRule="auto" w:after="0" w:before="0"/>
      </w:pPr>
      <w:r>
        <w:rPr>
          <w:i w:val="0"/>
        </w:rPr>
        <w:t>Microsoft illustrates how leadership and culture can support long-term digital transformation. Under Satya Nadella, the organisation placed strong emphasis on growth mindset, learning, customer focus, and collaboration. Microsoft's 2021 annual report described a culture in which employees were encouraged to be curious, experiment, and share learning (Microsoft, 2021). This is relevant to digital transformation because cloud computing, AI, and platform businesses require continuous learning rather than one-off technology implementation.</w:t>
      </w:r>
    </w:p>
    <w:p>
      <w:pPr>
        <w:spacing w:line="480" w:lineRule="auto" w:after="0" w:before="0"/>
      </w:pPr>
      <w:r>
        <w:rPr>
          <w:i w:val="0"/>
        </w:rPr>
        <w:t>The case also demonstrates that transformation does not end when a new business model becomes successful. As Microsoft expanded its AI capabilities, ethical governance became increasingly important. Its responsible AI materials identify fairness, reliability and safety, privacy and security, transparency, accountability, and inclusiveness as core values (Microsoft, 2025). Its 2026 transparency reporting states that responsible AI practices are aligned with NIST's Govern, Map, Measure, and Manage functions and supported by pre-release oversight and risk evaluation (Microsoft, 2026).</w:t>
      </w:r>
    </w:p>
    <w:p>
      <w:pPr>
        <w:spacing w:line="480" w:lineRule="auto" w:after="0" w:before="0"/>
      </w:pPr>
      <w:r>
        <w:rPr>
          <w:i w:val="0"/>
        </w:rPr>
        <w:t>The critical lesson is that culture and governance must evolve with technology. A company cannot rely on the same controls used for traditional software when deploying systems that can generate content, make predictions, or act with greater autonomy. Leadership therefore has to treat responsible innovation as a continuing organisational capability.</w:t>
      </w:r>
    </w:p>
    <w:p>
      <w:pPr>
        <w:pStyle w:val="Heading2"/>
      </w:pPr>
      <w:r>
        <w:t>7.2 Amazon recruitment AI: the risk of historical bias</w:t>
      </w:r>
    </w:p>
    <w:p>
      <w:pPr>
        <w:spacing w:line="480" w:lineRule="auto" w:after="0" w:before="0"/>
      </w:pPr>
      <w:r>
        <w:rPr>
          <w:i w:val="0"/>
        </w:rPr>
        <w:t>Amazon's experimental recruitment tool provides a contrasting lesson. The system was developed to assist recruitment but reportedly learned from historical resumes and recruitment patterns that reflected a male-dominated workforce. The result was a risk that applications containing signals associated with women would be evaluated less favourably. The project was eventually abandoned. The case demonstrates why AI should not be assumed to be neutral simply because mathematical models are used.</w:t>
      </w:r>
    </w:p>
    <w:p>
      <w:pPr>
        <w:spacing w:line="480" w:lineRule="auto" w:after="0" w:before="0"/>
      </w:pPr>
      <w:r>
        <w:rPr>
          <w:i w:val="0"/>
        </w:rPr>
        <w:t>From a leadership perspective, the lesson is the need for clear responsibility before deployment. A responsible process would ask what data is being used, whose historical decisions are represented in that data, what groups could be disadvantaged, how outcomes will be tested, and what human review is required. The case also demonstrates why ethical assessment must occur before the system becomes embedded in a critical business process.</w:t>
      </w:r>
    </w:p>
    <w:p>
      <w:pPr>
        <w:pStyle w:val="Heading1"/>
      </w:pPr>
      <w:r>
        <w:t>8. Conclusion</w:t>
      </w:r>
    </w:p>
    <w:p>
      <w:pPr>
        <w:spacing w:line="480" w:lineRule="auto" w:after="0" w:before="0"/>
      </w:pPr>
      <w:r>
        <w:rPr>
          <w:i w:val="0"/>
        </w:rPr>
        <w:t>Digital transformation is fundamentally an organisational transformation enabled by technology. The evidence examined in this report shows that leadership, culture, employee adoption, and ethical governance are central to whether digital investments create sustainable value. Organisations can buy advanced software, cloud infrastructure, analytics platforms, and AI systems relatively quickly; developing the human and governance capabilities required to use them responsibly is much harder.</w:t>
      </w:r>
    </w:p>
    <w:p>
      <w:pPr>
        <w:spacing w:line="480" w:lineRule="auto" w:after="0" w:before="0"/>
      </w:pPr>
      <w:r>
        <w:rPr>
          <w:i w:val="0"/>
        </w:rPr>
        <w:t>Digital leaders have three major responsibilities. First, they must provide strategic direction by connecting technology to real organisational objectives. Second, they must build a culture of learning, collaboration, and psychological safety so employees can adapt to continuous change. Third, they must establish accountability for the social and ethical consequences of digital systems. Leadership therefore cannot delegate the entire transformation agenda to the IT department.</w:t>
      </w:r>
    </w:p>
    <w:p>
      <w:pPr>
        <w:spacing w:line="480" w:lineRule="auto" w:after="0" w:before="0"/>
      </w:pPr>
      <w:r>
        <w:rPr>
          <w:i w:val="0"/>
        </w:rPr>
        <w:t>Change management is equally important. Resistance is often a rational response to uncertainty, skills gaps, workload, or lack of trust. Organisations should respond through early communication, participation, role-specific training, coaching, phased implementation, and continuous feedback. When employees are treated as partners in transformation rather than as passive users of technology, adoption and organisational learning are more likely to improve.</w:t>
      </w:r>
    </w:p>
    <w:p>
      <w:pPr>
        <w:spacing w:line="480" w:lineRule="auto" w:after="0" w:before="0"/>
      </w:pPr>
      <w:r>
        <w:rPr>
          <w:i w:val="0"/>
        </w:rPr>
        <w:t>Ethical technology use is not separate from business performance. Privacy failures, cybersecurity incidents, biased algorithms, and excessive employee surveillance can damage trust, create legal exposure, and undermine organisational culture. The GDPR provides important principles for personal-data governance, while the NIST AI RMF provides a practical lifecycle approach for AI risk. The Microsoft and Amazon cases demonstrate both the potential of culture and governance and the consequences of inadequate attention to bias and oversight.</w:t>
      </w:r>
    </w:p>
    <w:p>
      <w:pPr>
        <w:spacing w:line="480" w:lineRule="auto" w:after="0" w:before="0"/>
      </w:pPr>
      <w:r>
        <w:rPr>
          <w:i w:val="0"/>
        </w:rPr>
        <w:t>Overall, successful digital transformation should be understood as responsible transformation. The goal is not simply to become more digital; it is to become more capable of learning, adapting, innovating, and creating value while protecting the interests of customers, employees, and other stakeholders. The seven-stage framework proposed in this report provides a practical way to connect strategy, leadership, culture, change management, and ethical governance. Organisations that combine these capabilities are more likely to achieve digital transformation that is not only technologically advanced, but also trusted, resilient, and sustainable.</w:t>
      </w:r>
    </w:p>
    <w:p>
      <w:pPr>
        <w:pStyle w:val="Heading1"/>
      </w:pPr>
      <w:r>
        <w:t>9. References</w:t>
      </w:r>
    </w:p>
    <w:p>
      <w:pPr>
        <w:spacing w:line="480" w:lineRule="auto" w:after="0" w:before="0"/>
        <w:ind w:left="720" w:hanging="720"/>
      </w:pPr>
      <w:r>
        <w:t>Zappulla, A. (2024, November 19). Comment: Business leaders risk sleepwalking towards AI misuse. Reuters. https://www.reuters.com/sustainability/society-equity/comment-business-leaders-risk-sleepwalking-towards-ai-misuse-2024-11-19/</w:t>
      </w:r>
    </w:p>
    <w:p>
      <w:pPr>
        <w:spacing w:line="480" w:lineRule="auto" w:after="0" w:before="0"/>
        <w:ind w:left="720" w:hanging="720"/>
      </w:pPr>
      <w:r>
        <w:t>Davis, F. D. (1989). Perceived usefulness, perceived ease of use, and user acceptance of information technology. MIS Quarterly, 13(3), 319–340. https://doi.org/10.2307/249008</w:t>
      </w:r>
    </w:p>
    <w:p>
      <w:pPr>
        <w:spacing w:line="480" w:lineRule="auto" w:after="0" w:before="0"/>
        <w:ind w:left="720" w:hanging="720"/>
      </w:pPr>
      <w:r>
        <w:t>Edmondson, A. (1999). Psychological safety and learning behavior in work teams. Administrative Science Quarterly, 44(2), 350–383. https://doi.org/10.2307/2666999</w:t>
      </w:r>
    </w:p>
    <w:p>
      <w:pPr>
        <w:spacing w:line="480" w:lineRule="auto" w:after="0" w:before="0"/>
        <w:ind w:left="720" w:hanging="720"/>
      </w:pPr>
      <w:r>
        <w:t>European Commission. (n.d.). Principles of the GDPR. European Commission.</w:t>
      </w:r>
    </w:p>
    <w:p>
      <w:pPr>
        <w:spacing w:line="480" w:lineRule="auto" w:after="0" w:before="0"/>
        <w:ind w:left="720" w:hanging="720"/>
      </w:pPr>
      <w:r>
        <w:t>Gierlich-Joas, M., Hess, T., &amp; Neuburger, R. (2020). More self-organization, more control—or even both? Inverse transparency as a digital leadership concept. Business Research, 13, 921–947. https://doi.org/10.1007/s40685-020-00130-0</w:t>
      </w:r>
    </w:p>
    <w:p>
      <w:pPr>
        <w:spacing w:line="480" w:lineRule="auto" w:after="0" w:before="0"/>
        <w:ind w:left="720" w:hanging="720"/>
      </w:pPr>
      <w:r>
        <w:t>Kane, G. C., Palmer, D., Phillips, A. N., Kiron, D., &amp; Buckley, N. (2015). Strategy, not technology, drives digital transformation. MIT Sloan Management Review and Deloitte University Press.</w:t>
      </w:r>
    </w:p>
    <w:p>
      <w:pPr>
        <w:spacing w:line="480" w:lineRule="auto" w:after="0" w:before="0"/>
        <w:ind w:left="720" w:hanging="720"/>
      </w:pPr>
      <w:r>
        <w:t>Kotter, J. P. (1995). Leading change: Why transformation efforts fail. Harvard Business Review, 73(2), 59–67.</w:t>
      </w:r>
    </w:p>
    <w:p>
      <w:pPr>
        <w:spacing w:line="480" w:lineRule="auto" w:after="0" w:before="0"/>
        <w:ind w:left="720" w:hanging="720"/>
      </w:pPr>
      <w:r>
        <w:t>Kotter, J. P. (2007). Leading change: Why transformation efforts fail. Harvard Business Review, 85(1), 96–103.</w:t>
      </w:r>
    </w:p>
    <w:p>
      <w:pPr>
        <w:spacing w:line="480" w:lineRule="auto" w:after="0" w:before="0"/>
        <w:ind w:left="720" w:hanging="720"/>
      </w:pPr>
      <w:r>
        <w:t>Mauroner, O., et al. (2024). Technology-induced stress and employee resistance in the context of digital transformation and identification of countermeasures. International Journal of Innovation and Technology Management. https://doi.org/10.1142/S0219877024500299</w:t>
      </w:r>
    </w:p>
    <w:p>
      <w:pPr>
        <w:spacing w:line="480" w:lineRule="auto" w:after="0" w:before="0"/>
        <w:ind w:left="720" w:hanging="720"/>
      </w:pPr>
      <w:r>
        <w:t>Microsoft. (2021). Microsoft 2021 annual report.</w:t>
      </w:r>
    </w:p>
    <w:p>
      <w:pPr>
        <w:spacing w:line="480" w:lineRule="auto" w:after="0" w:before="0"/>
        <w:ind w:left="720" w:hanging="720"/>
      </w:pPr>
      <w:r>
        <w:t>Microsoft. (2024). Secure Future Initiative progress report.</w:t>
      </w:r>
    </w:p>
    <w:p>
      <w:pPr>
        <w:spacing w:line="480" w:lineRule="auto" w:after="0" w:before="0"/>
        <w:ind w:left="720" w:hanging="720"/>
      </w:pPr>
      <w:r>
        <w:t>Microsoft. (2025). Responsible AI transparency report.</w:t>
      </w:r>
    </w:p>
    <w:p>
      <w:pPr>
        <w:spacing w:line="480" w:lineRule="auto" w:after="0" w:before="0"/>
        <w:ind w:left="720" w:hanging="720"/>
      </w:pPr>
      <w:r>
        <w:t>Microsoft. (2026). Responsible AI transparency report.</w:t>
      </w:r>
    </w:p>
    <w:p>
      <w:pPr>
        <w:spacing w:line="480" w:lineRule="auto" w:after="0" w:before="0"/>
        <w:ind w:left="720" w:hanging="720"/>
      </w:pPr>
      <w:r>
        <w:t>Rogers, E. M. (2003). Diffusion of innovations (5th ed.). Free Press.</w:t>
      </w:r>
    </w:p>
    <w:p>
      <w:pPr>
        <w:spacing w:line="480" w:lineRule="auto" w:after="0" w:before="0"/>
        <w:ind w:left="720" w:hanging="720"/>
      </w:pPr>
      <w:r>
        <w:t>Scholkmann, A. B. (2021). Resistance to (digital) change: Individual, systemic and learning-related perspectives. In Digital Transformation of Learning Organizations. Springer.</w:t>
      </w:r>
    </w:p>
    <w:p>
      <w:pPr>
        <w:spacing w:line="480" w:lineRule="auto" w:after="0" w:before="0"/>
        <w:ind w:left="720" w:hanging="720"/>
      </w:pPr>
      <w:r>
        <w:t>Shah, S. S., &amp; Patki, S. M. (2020). Getting traditionally rooted Indian leadership to embrace digital leadership: Challenges and way forward with reference to LMX. Leadership, Education, Personality: An Interdisciplinary Journal, 2, 29–40. https://doi.org/10.1365/s42681-020-00013-2</w:t>
      </w:r>
    </w:p>
    <w:p>
      <w:pPr>
        <w:spacing w:line="480" w:lineRule="auto" w:after="0" w:before="0"/>
        <w:ind w:left="720" w:hanging="720"/>
      </w:pPr>
      <w:r>
        <w:t>Tabassi, E. (2023). Artificial intelligence risk management framework (AI RMF 1.0). National Institute of Standards and Technology. https://doi.org/10.6028/NIST.AI.100-1</w:t>
      </w:r>
    </w:p>
    <w:p>
      <w:pPr>
        <w:spacing w:line="480" w:lineRule="auto" w:after="0" w:before="0"/>
        <w:ind w:left="720" w:hanging="720"/>
      </w:pPr>
      <w:r>
        <w:t>Vial, G. (2019). Understanding digital transformation: A review and a research agenda. The Journal of Strategic Information Systems, 28(2), 118–144. https://doi.org/10.1016/j.jsis.2019.01.003</w:t>
      </w:r>
    </w:p>
    <w:p>
      <w:pPr>
        <w:spacing w:line="480" w:lineRule="auto" w:after="0" w:before="0"/>
        <w:ind w:left="720" w:hanging="720"/>
      </w:pPr>
      <w:r>
        <w:t>Westerman, G., Bonnet, D., &amp; McAfee, A. (2014). Leading digital: Turning technology into business transformation. Harvard Business Review Press.</w:t>
      </w:r>
    </w:p>
    <w:p>
      <w:pPr>
        <w:pStyle w:val="Heading1"/>
      </w:pPr>
      <w:r>
        <w:t>10. Appendices</w:t>
      </w:r>
    </w:p>
    <w:p>
      <w:pPr>
        <w:pStyle w:val="Heading2"/>
      </w:pPr>
      <w:r>
        <w:t>Appendix A: Digital Transformation Leadership Checklist</w:t>
      </w:r>
    </w:p>
    <w:p>
      <w:pPr>
        <w:pStyle w:val="ListBullet"/>
        <w:spacing w:line="480" w:lineRule="auto" w:after="0" w:before="0"/>
      </w:pPr>
      <w:r>
        <w:t>☐ Is the transformation linked to a clear business or customer problem?</w:t>
      </w:r>
    </w:p>
    <w:p>
      <w:pPr>
        <w:pStyle w:val="ListBullet"/>
        <w:spacing w:line="480" w:lineRule="auto" w:after="0" w:before="0"/>
      </w:pPr>
      <w:r>
        <w:t>☐ Does senior leadership visibly support and participate in the transformation?</w:t>
      </w:r>
    </w:p>
    <w:p>
      <w:pPr>
        <w:pStyle w:val="ListBullet"/>
        <w:spacing w:line="480" w:lineRule="auto" w:after="0" w:before="0"/>
      </w:pPr>
      <w:r>
        <w:t>☐ Are employees involved in design and implementation decisions?</w:t>
      </w:r>
    </w:p>
    <w:p>
      <w:pPr>
        <w:pStyle w:val="ListBullet"/>
        <w:spacing w:line="480" w:lineRule="auto" w:after="0" w:before="0"/>
      </w:pPr>
      <w:r>
        <w:t>☐ Has the organisation assessed digital skills and training needs?</w:t>
      </w:r>
    </w:p>
    <w:p>
      <w:pPr>
        <w:pStyle w:val="ListBullet"/>
        <w:spacing w:line="480" w:lineRule="auto" w:after="0" w:before="0"/>
      </w:pPr>
      <w:r>
        <w:t>☐ Are communication and feedback channels available throughout implementation?</w:t>
      </w:r>
    </w:p>
    <w:p>
      <w:pPr>
        <w:pStyle w:val="ListBullet"/>
        <w:spacing w:line="480" w:lineRule="auto" w:after="0" w:before="0"/>
      </w:pPr>
      <w:r>
        <w:t>☐ Are privacy and data-protection requirements identified before deployment?</w:t>
      </w:r>
    </w:p>
    <w:p>
      <w:pPr>
        <w:pStyle w:val="ListBullet"/>
        <w:spacing w:line="480" w:lineRule="auto" w:after="0" w:before="0"/>
      </w:pPr>
      <w:r>
        <w:t>☐ Have cybersecurity risks and incident-response responsibilities been defined?</w:t>
      </w:r>
    </w:p>
    <w:p>
      <w:pPr>
        <w:pStyle w:val="ListBullet"/>
        <w:spacing w:line="480" w:lineRule="auto" w:after="0" w:before="0"/>
      </w:pPr>
      <w:r>
        <w:t>☐ Has AI or algorithmic bias been assessed where relevant?</w:t>
      </w:r>
    </w:p>
    <w:p>
      <w:pPr>
        <w:pStyle w:val="ListBullet"/>
        <w:spacing w:line="480" w:lineRule="auto" w:after="0" w:before="0"/>
      </w:pPr>
      <w:r>
        <w:t>☐ Is there appropriate human oversight for high-impact automated decisions?</w:t>
      </w:r>
    </w:p>
    <w:p>
      <w:pPr>
        <w:pStyle w:val="ListBullet"/>
        <w:spacing w:line="480" w:lineRule="auto" w:after="0" w:before="0"/>
      </w:pPr>
      <w:r>
        <w:t>☐ Are measurable outcomes and ethical indicators reviewed after implementation?</w:t>
      </w:r>
    </w:p>
    <w:p>
      <w:pPr>
        <w:pStyle w:val="Heading2"/>
      </w:pPr>
      <w:r>
        <w:t>Appendix B: Suggested Transformation Dashboard</w:t>
      </w:r>
    </w:p>
    <w:tbl>
      <w:tblPr>
        <w:tblStyle w:val="TableGrid"/>
        <w:tblW w:type="auto" w:w="0"/>
        <w:jc w:val="center"/>
        <w:tblLook w:firstColumn="1" w:firstRow="1" w:lastColumn="0" w:lastRow="0" w:noHBand="0" w:noVBand="1" w:val="04A0"/>
      </w:tblPr>
      <w:tblGrid>
        <w:gridCol w:w="3010"/>
        <w:gridCol w:w="3010"/>
        <w:gridCol w:w="3010"/>
      </w:tblGrid>
      <w:tr>
        <w:tc>
          <w:tcPr>
            <w:tcW w:type="dxa" w:w="3010"/>
          </w:tcPr>
          <w:p>
            <w:r>
              <w:t>Area</w:t>
            </w:r>
          </w:p>
        </w:tc>
        <w:tc>
          <w:tcPr>
            <w:tcW w:type="dxa" w:w="3010"/>
          </w:tcPr>
          <w:p>
            <w:r>
              <w:t>Example Measure</w:t>
            </w:r>
          </w:p>
        </w:tc>
        <w:tc>
          <w:tcPr>
            <w:tcW w:type="dxa" w:w="3010"/>
          </w:tcPr>
          <w:p>
            <w:r>
              <w:t>Purpose</w:t>
            </w:r>
          </w:p>
        </w:tc>
      </w:tr>
      <w:tr>
        <w:tc>
          <w:tcPr>
            <w:tcW w:type="dxa" w:w="3010"/>
            <w:vAlign w:val="center"/>
          </w:tcPr>
          <w:p>
            <w:pPr>
              <w:spacing w:line="480" w:lineRule="auto" w:after="0" w:before="0"/>
            </w:pPr>
            <w:r>
              <w:t>Strategy</w:t>
            </w:r>
          </w:p>
        </w:tc>
        <w:tc>
          <w:tcPr>
            <w:tcW w:type="dxa" w:w="3010"/>
            <w:vAlign w:val="center"/>
          </w:tcPr>
          <w:p>
            <w:pPr>
              <w:spacing w:line="480" w:lineRule="auto" w:after="0" w:before="0"/>
            </w:pPr>
            <w:r>
              <w:t>Progress against transformation objectives</w:t>
            </w:r>
          </w:p>
        </w:tc>
        <w:tc>
          <w:tcPr>
            <w:tcW w:type="dxa" w:w="3010"/>
            <w:vAlign w:val="center"/>
          </w:tcPr>
          <w:p>
            <w:pPr>
              <w:spacing w:line="480" w:lineRule="auto" w:after="0" w:before="0"/>
            </w:pPr>
            <w:r>
              <w:t>Checks strategic value</w:t>
            </w:r>
          </w:p>
        </w:tc>
      </w:tr>
      <w:tr>
        <w:tc>
          <w:tcPr>
            <w:tcW w:type="dxa" w:w="3010"/>
            <w:vAlign w:val="center"/>
          </w:tcPr>
          <w:p>
            <w:pPr>
              <w:spacing w:line="480" w:lineRule="auto" w:after="0" w:before="0"/>
            </w:pPr>
            <w:r>
              <w:t>Customer</w:t>
            </w:r>
          </w:p>
        </w:tc>
        <w:tc>
          <w:tcPr>
            <w:tcW w:type="dxa" w:w="3010"/>
            <w:vAlign w:val="center"/>
          </w:tcPr>
          <w:p>
            <w:pPr>
              <w:spacing w:line="480" w:lineRule="auto" w:after="0" w:before="0"/>
            </w:pPr>
            <w:r>
              <w:t>Response time / satisfaction</w:t>
            </w:r>
          </w:p>
        </w:tc>
        <w:tc>
          <w:tcPr>
            <w:tcW w:type="dxa" w:w="3010"/>
            <w:vAlign w:val="center"/>
          </w:tcPr>
          <w:p>
            <w:pPr>
              <w:spacing w:line="480" w:lineRule="auto" w:after="0" w:before="0"/>
            </w:pPr>
            <w:r>
              <w:t>Measures customer impact</w:t>
            </w:r>
          </w:p>
        </w:tc>
      </w:tr>
      <w:tr>
        <w:tc>
          <w:tcPr>
            <w:tcW w:type="dxa" w:w="3010"/>
            <w:vAlign w:val="center"/>
          </w:tcPr>
          <w:p>
            <w:pPr>
              <w:spacing w:line="480" w:lineRule="auto" w:after="0" w:before="0"/>
            </w:pPr>
            <w:r>
              <w:t>Operations</w:t>
            </w:r>
          </w:p>
        </w:tc>
        <w:tc>
          <w:tcPr>
            <w:tcW w:type="dxa" w:w="3010"/>
            <w:vAlign w:val="center"/>
          </w:tcPr>
          <w:p>
            <w:pPr>
              <w:spacing w:line="480" w:lineRule="auto" w:after="0" w:before="0"/>
            </w:pPr>
            <w:r>
              <w:t>Process time / error rate</w:t>
            </w:r>
          </w:p>
        </w:tc>
        <w:tc>
          <w:tcPr>
            <w:tcW w:type="dxa" w:w="3010"/>
            <w:vAlign w:val="center"/>
          </w:tcPr>
          <w:p>
            <w:pPr>
              <w:spacing w:line="480" w:lineRule="auto" w:after="0" w:before="0"/>
            </w:pPr>
            <w:r>
              <w:t>Measures efficiency</w:t>
            </w:r>
          </w:p>
        </w:tc>
      </w:tr>
      <w:tr>
        <w:tc>
          <w:tcPr>
            <w:tcW w:type="dxa" w:w="3010"/>
            <w:vAlign w:val="center"/>
          </w:tcPr>
          <w:p>
            <w:pPr>
              <w:spacing w:line="480" w:lineRule="auto" w:after="0" w:before="0"/>
            </w:pPr>
            <w:r>
              <w:t>People</w:t>
            </w:r>
          </w:p>
        </w:tc>
        <w:tc>
          <w:tcPr>
            <w:tcW w:type="dxa" w:w="3010"/>
            <w:vAlign w:val="center"/>
          </w:tcPr>
          <w:p>
            <w:pPr>
              <w:spacing w:line="480" w:lineRule="auto" w:after="0" w:before="0"/>
            </w:pPr>
            <w:r>
              <w:t>Training completion / adoption / employee feedback</w:t>
            </w:r>
          </w:p>
        </w:tc>
        <w:tc>
          <w:tcPr>
            <w:tcW w:type="dxa" w:w="3010"/>
            <w:vAlign w:val="center"/>
          </w:tcPr>
          <w:p>
            <w:pPr>
              <w:spacing w:line="480" w:lineRule="auto" w:after="0" w:before="0"/>
            </w:pPr>
            <w:r>
              <w:t>Measures capability and acceptance</w:t>
            </w:r>
          </w:p>
        </w:tc>
      </w:tr>
      <w:tr>
        <w:tc>
          <w:tcPr>
            <w:tcW w:type="dxa" w:w="3010"/>
            <w:vAlign w:val="center"/>
          </w:tcPr>
          <w:p>
            <w:pPr>
              <w:spacing w:line="480" w:lineRule="auto" w:after="0" w:before="0"/>
            </w:pPr>
            <w:r>
              <w:t>Culture</w:t>
            </w:r>
          </w:p>
        </w:tc>
        <w:tc>
          <w:tcPr>
            <w:tcW w:type="dxa" w:w="3010"/>
            <w:vAlign w:val="center"/>
          </w:tcPr>
          <w:p>
            <w:pPr>
              <w:spacing w:line="480" w:lineRule="auto" w:after="0" w:before="0"/>
            </w:pPr>
            <w:r>
              <w:t>Psychological safety / experimentation indicators</w:t>
            </w:r>
          </w:p>
        </w:tc>
        <w:tc>
          <w:tcPr>
            <w:tcW w:type="dxa" w:w="3010"/>
            <w:vAlign w:val="center"/>
          </w:tcPr>
          <w:p>
            <w:pPr>
              <w:spacing w:line="480" w:lineRule="auto" w:after="0" w:before="0"/>
            </w:pPr>
            <w:r>
              <w:t>Measures learning environment</w:t>
            </w:r>
          </w:p>
        </w:tc>
      </w:tr>
      <w:tr>
        <w:tc>
          <w:tcPr>
            <w:tcW w:type="dxa" w:w="3010"/>
            <w:vAlign w:val="center"/>
          </w:tcPr>
          <w:p>
            <w:pPr>
              <w:spacing w:line="480" w:lineRule="auto" w:after="0" w:before="0"/>
            </w:pPr>
            <w:r>
              <w:t>Security</w:t>
            </w:r>
          </w:p>
        </w:tc>
        <w:tc>
          <w:tcPr>
            <w:tcW w:type="dxa" w:w="3010"/>
            <w:vAlign w:val="center"/>
          </w:tcPr>
          <w:p>
            <w:pPr>
              <w:spacing w:line="480" w:lineRule="auto" w:after="0" w:before="0"/>
            </w:pPr>
            <w:r>
              <w:t>Incidents / vulnerabilities / response time</w:t>
            </w:r>
          </w:p>
        </w:tc>
        <w:tc>
          <w:tcPr>
            <w:tcW w:type="dxa" w:w="3010"/>
            <w:vAlign w:val="center"/>
          </w:tcPr>
          <w:p>
            <w:pPr>
              <w:spacing w:line="480" w:lineRule="auto" w:after="0" w:before="0"/>
            </w:pPr>
            <w:r>
              <w:t>Measures resilience</w:t>
            </w:r>
          </w:p>
        </w:tc>
      </w:tr>
      <w:tr>
        <w:tc>
          <w:tcPr>
            <w:tcW w:type="dxa" w:w="3010"/>
            <w:vAlign w:val="center"/>
          </w:tcPr>
          <w:p>
            <w:pPr>
              <w:spacing w:line="480" w:lineRule="auto" w:after="0" w:before="0"/>
            </w:pPr>
            <w:r>
              <w:t>Privacy</w:t>
            </w:r>
          </w:p>
        </w:tc>
        <w:tc>
          <w:tcPr>
            <w:tcW w:type="dxa" w:w="3010"/>
            <w:vAlign w:val="center"/>
          </w:tcPr>
          <w:p>
            <w:pPr>
              <w:spacing w:line="480" w:lineRule="auto" w:after="0" w:before="0"/>
            </w:pPr>
            <w:r>
              <w:t>Data minimisation / access reviews / incidents</w:t>
            </w:r>
          </w:p>
        </w:tc>
        <w:tc>
          <w:tcPr>
            <w:tcW w:type="dxa" w:w="3010"/>
            <w:vAlign w:val="center"/>
          </w:tcPr>
          <w:p>
            <w:pPr>
              <w:spacing w:line="480" w:lineRule="auto" w:after="0" w:before="0"/>
            </w:pPr>
            <w:r>
              <w:t>Measures data governance</w:t>
            </w:r>
          </w:p>
        </w:tc>
      </w:tr>
      <w:tr>
        <w:tc>
          <w:tcPr>
            <w:tcW w:type="dxa" w:w="3010"/>
            <w:vAlign w:val="center"/>
          </w:tcPr>
          <w:p>
            <w:pPr>
              <w:spacing w:line="480" w:lineRule="auto" w:after="0" w:before="0"/>
            </w:pPr>
            <w:r>
              <w:t>AI ethics</w:t>
            </w:r>
          </w:p>
        </w:tc>
        <w:tc>
          <w:tcPr>
            <w:tcW w:type="dxa" w:w="3010"/>
            <w:vAlign w:val="center"/>
          </w:tcPr>
          <w:p>
            <w:pPr>
              <w:spacing w:line="480" w:lineRule="auto" w:after="0" w:before="0"/>
            </w:pPr>
            <w:r>
              <w:t>Fairness tests / human-review rate / model incidents</w:t>
            </w:r>
          </w:p>
        </w:tc>
        <w:tc>
          <w:tcPr>
            <w:tcW w:type="dxa" w:w="3010"/>
            <w:vAlign w:val="center"/>
          </w:tcPr>
          <w:p>
            <w:pPr>
              <w:spacing w:line="480" w:lineRule="auto" w:after="0" w:before="0"/>
            </w:pPr>
            <w:r>
              <w:t>Measures responsible AI</w:t>
            </w:r>
          </w:p>
        </w:tc>
      </w:tr>
      <w:tr>
        <w:tc>
          <w:tcPr>
            <w:tcW w:type="dxa" w:w="3010"/>
            <w:vAlign w:val="center"/>
          </w:tcPr>
          <w:p>
            <w:pPr>
              <w:spacing w:line="480" w:lineRule="auto" w:after="0" w:before="0"/>
            </w:pPr>
            <w:r>
              <w:t>Financial</w:t>
            </w:r>
          </w:p>
        </w:tc>
        <w:tc>
          <w:tcPr>
            <w:tcW w:type="dxa" w:w="3010"/>
            <w:vAlign w:val="center"/>
          </w:tcPr>
          <w:p>
            <w:pPr>
              <w:spacing w:line="480" w:lineRule="auto" w:after="0" w:before="0"/>
            </w:pPr>
            <w:r>
              <w:t>ROI / cost savings / revenue impact</w:t>
            </w:r>
          </w:p>
        </w:tc>
        <w:tc>
          <w:tcPr>
            <w:tcW w:type="dxa" w:w="3010"/>
            <w:vAlign w:val="center"/>
          </w:tcPr>
          <w:p>
            <w:pPr>
              <w:spacing w:line="480" w:lineRule="auto" w:after="0" w:before="0"/>
            </w:pPr>
            <w:r>
              <w:t>Measures business sustainability</w:t>
            </w:r>
          </w:p>
        </w:tc>
      </w:tr>
    </w:tbl>
    <w:sectPr w:rsidR="00FC693F" w:rsidRPr="0006063C" w:rsidSect="00034616">
      <w:footerReference w:type="default" r:id="rId9"/>
      <w:pgSz w:w="11909" w:h="16834"/>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480" w:lineRule="auto"/>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line="480" w:lineRule="auto"/>
      <w:outlineLvl w:val="1"/>
    </w:pPr>
    <w:rPr>
      <w:rFonts w:asciiTheme="majorHAnsi" w:eastAsiaTheme="majorEastAsia" w:hAnsiTheme="majorHAnsi" w:cstheme="majorBidi" w:ascii="Times New Roman" w:hAnsi="Times New Roman" w:eastAsia="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line="480" w:lineRule="auto"/>
      <w:outlineLvl w:val="2"/>
    </w:pPr>
    <w:rPr>
      <w:rFonts w:asciiTheme="majorHAnsi" w:eastAsiaTheme="majorEastAsia" w:hAnsiTheme="majorHAnsi" w:cstheme="majorBidi" w:ascii="Times New Roman" w:hAnsi="Times New Roman" w:eastAsia="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Times New Roman" w:hAnsi="Times New Roman" w:eastAsia="Times New Roman"/>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