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5628D" w:rsidRDefault="000D12EF" w:rsidP="00013DBD">
      <w:pPr>
        <w:spacing w:line="480" w:lineRule="auto"/>
        <w:rPr>
          <w:rFonts w:ascii="Arial" w:hAnsi="Arial" w:cs="Arial"/>
          <w:color w:val="000000" w:themeColor="text1"/>
          <w:szCs w:val="24"/>
          <w:lang w:val="en-US"/>
        </w:rPr>
      </w:pPr>
    </w:p>
    <w:p w14:paraId="06EC50D5" w14:textId="24BDAEE4" w:rsidR="00D33052" w:rsidRPr="00B5628D" w:rsidRDefault="004A1F6F" w:rsidP="00013DBD">
      <w:pPr>
        <w:spacing w:line="480" w:lineRule="auto"/>
        <w:rPr>
          <w:rFonts w:ascii="Arial" w:hAnsi="Arial" w:cs="Arial"/>
          <w:color w:val="000000" w:themeColor="text1"/>
          <w:szCs w:val="24"/>
          <w:lang w:val="en-US"/>
        </w:rPr>
      </w:pPr>
      <w:r w:rsidRPr="00B5628D">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5628D" w:rsidRDefault="004A1F6F" w:rsidP="00013DBD">
      <w:pPr>
        <w:spacing w:line="480" w:lineRule="auto"/>
        <w:jc w:val="center"/>
        <w:rPr>
          <w:rFonts w:ascii="Arial" w:hAnsi="Arial" w:cs="Arial"/>
          <w:color w:val="000000" w:themeColor="text1"/>
          <w:szCs w:val="24"/>
        </w:rPr>
      </w:pPr>
    </w:p>
    <w:p w14:paraId="463B55AB" w14:textId="77777777" w:rsidR="004A1F6F" w:rsidRPr="00B5628D" w:rsidRDefault="004A1F6F" w:rsidP="00013DBD">
      <w:pPr>
        <w:spacing w:line="480" w:lineRule="auto"/>
        <w:jc w:val="center"/>
        <w:rPr>
          <w:rFonts w:ascii="Arial" w:hAnsi="Arial" w:cs="Arial"/>
          <w:color w:val="000000" w:themeColor="text1"/>
          <w:szCs w:val="24"/>
        </w:rPr>
      </w:pPr>
    </w:p>
    <w:p w14:paraId="0C7555A9" w14:textId="77777777" w:rsidR="004A1F6F" w:rsidRPr="00B5628D" w:rsidRDefault="004A1F6F" w:rsidP="00013DBD">
      <w:pPr>
        <w:spacing w:line="480" w:lineRule="auto"/>
        <w:jc w:val="center"/>
        <w:rPr>
          <w:rFonts w:ascii="Arial" w:hAnsi="Arial" w:cs="Arial"/>
          <w:color w:val="000000" w:themeColor="text1"/>
          <w:szCs w:val="24"/>
        </w:rPr>
      </w:pPr>
    </w:p>
    <w:p w14:paraId="5CDB8ADB" w14:textId="1ADD425F" w:rsidR="00A81491" w:rsidRPr="00B5628D" w:rsidRDefault="00F72ED2" w:rsidP="00025E1B">
      <w:pPr>
        <w:spacing w:line="480" w:lineRule="auto"/>
        <w:jc w:val="center"/>
        <w:rPr>
          <w:rFonts w:ascii="Arial" w:hAnsi="Arial" w:cs="Arial"/>
          <w:b/>
          <w:bCs/>
          <w:color w:val="000000" w:themeColor="text1"/>
          <w:szCs w:val="24"/>
        </w:rPr>
      </w:pPr>
      <w:proofErr w:type="gramStart"/>
      <w:r w:rsidRPr="00B5628D">
        <w:rPr>
          <w:rFonts w:ascii="Arial" w:hAnsi="Arial" w:cs="Arial"/>
          <w:b/>
          <w:bCs/>
          <w:color w:val="000000" w:themeColor="text1"/>
          <w:szCs w:val="24"/>
        </w:rPr>
        <w:t>Bachelor's</w:t>
      </w:r>
      <w:proofErr w:type="gramEnd"/>
      <w:r w:rsidRPr="00B5628D">
        <w:rPr>
          <w:rFonts w:ascii="Arial" w:hAnsi="Arial" w:cs="Arial"/>
          <w:b/>
          <w:bCs/>
          <w:color w:val="000000" w:themeColor="text1"/>
          <w:szCs w:val="24"/>
        </w:rPr>
        <w:t xml:space="preserve"> in Tourism and Recreation</w:t>
      </w:r>
      <w:r w:rsidR="009E4B24" w:rsidRPr="00B5628D">
        <w:rPr>
          <w:rFonts w:ascii="Arial" w:hAnsi="Arial" w:cs="Arial"/>
          <w:b/>
          <w:bCs/>
          <w:color w:val="000000" w:themeColor="text1"/>
          <w:szCs w:val="24"/>
        </w:rPr>
        <w:br/>
      </w:r>
      <w:r w:rsidR="00A81491" w:rsidRPr="00B5628D">
        <w:rPr>
          <w:rFonts w:ascii="Arial" w:hAnsi="Arial" w:cs="Arial"/>
          <w:b/>
          <w:bCs/>
          <w:color w:val="000000" w:themeColor="text1"/>
          <w:szCs w:val="24"/>
        </w:rPr>
        <w:br/>
      </w:r>
      <w:r w:rsidR="00C92743" w:rsidRPr="00B5628D">
        <w:rPr>
          <w:rFonts w:ascii="Arial" w:hAnsi="Arial" w:cs="Arial"/>
          <w:b/>
          <w:bCs/>
          <w:color w:val="000000" w:themeColor="text1"/>
          <w:szCs w:val="24"/>
        </w:rPr>
        <w:t>Accounting Fundamentals</w:t>
      </w:r>
    </w:p>
    <w:p w14:paraId="121195F5" w14:textId="30B9DFB9" w:rsidR="008A79F5" w:rsidRPr="00B5628D" w:rsidRDefault="00E134A6" w:rsidP="008E6DDF">
      <w:pPr>
        <w:spacing w:line="480" w:lineRule="auto"/>
        <w:jc w:val="center"/>
        <w:rPr>
          <w:rFonts w:ascii="Arial" w:eastAsia="Times New Roman" w:hAnsi="Arial" w:cs="Arial"/>
          <w:b/>
          <w:bCs/>
          <w:color w:val="000000" w:themeColor="text1"/>
          <w:kern w:val="0"/>
          <w:szCs w:val="24"/>
          <w:lang w:eastAsia="en-GB"/>
          <w14:ligatures w14:val="none"/>
        </w:rPr>
      </w:pPr>
      <w:r w:rsidRPr="00B5628D">
        <w:rPr>
          <w:rFonts w:ascii="Arial" w:eastAsia="Times New Roman" w:hAnsi="Arial" w:cs="Arial"/>
          <w:b/>
          <w:bCs/>
          <w:color w:val="000000" w:themeColor="text1"/>
          <w:kern w:val="0"/>
          <w:szCs w:val="24"/>
          <w:lang w:eastAsia="en-GB"/>
          <w14:ligatures w14:val="none"/>
        </w:rPr>
        <w:t>Assignment 2: The Double-Entry System and its Impact on Financial Reporting</w:t>
      </w:r>
    </w:p>
    <w:p w14:paraId="6EBD700B"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3A5D7628"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18DF7F11"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002445DB"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1AF4669E"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134F60A0" w14:textId="77777777" w:rsidR="00AE0E85" w:rsidRPr="00B5628D" w:rsidRDefault="00AE0E85" w:rsidP="008E6DDF">
      <w:pPr>
        <w:spacing w:line="480" w:lineRule="auto"/>
        <w:jc w:val="center"/>
        <w:rPr>
          <w:rFonts w:ascii="Arial" w:eastAsia="Times New Roman" w:hAnsi="Arial" w:cs="Arial"/>
          <w:b/>
          <w:bCs/>
          <w:color w:val="000000" w:themeColor="text1"/>
          <w:kern w:val="0"/>
          <w:szCs w:val="24"/>
          <w:lang w:eastAsia="en-GB"/>
          <w14:ligatures w14:val="none"/>
        </w:rPr>
      </w:pPr>
    </w:p>
    <w:p w14:paraId="4BB795CB" w14:textId="77777777" w:rsidR="00AE0E85" w:rsidRPr="00B5628D" w:rsidRDefault="00AE0E85" w:rsidP="008E6DDF">
      <w:pPr>
        <w:spacing w:line="480" w:lineRule="auto"/>
        <w:jc w:val="center"/>
        <w:rPr>
          <w:rFonts w:ascii="Arial" w:hAnsi="Arial" w:cs="Arial"/>
          <w:color w:val="000000" w:themeColor="text1"/>
          <w:szCs w:val="24"/>
          <w:lang w:val="en-US"/>
        </w:rPr>
      </w:pPr>
    </w:p>
    <w:p w14:paraId="19B52B77" w14:textId="77777777" w:rsidR="005B2DFD" w:rsidRPr="00B5628D" w:rsidRDefault="005B2DFD" w:rsidP="00013DBD">
      <w:pPr>
        <w:spacing w:line="480" w:lineRule="auto"/>
        <w:rPr>
          <w:rFonts w:ascii="Arial" w:hAnsi="Arial" w:cs="Arial"/>
          <w:color w:val="000000" w:themeColor="text1"/>
          <w:szCs w:val="24"/>
          <w:lang w:val="en-US"/>
        </w:rPr>
      </w:pPr>
    </w:p>
    <w:p w14:paraId="2359EBE8" w14:textId="77777777" w:rsidR="007056C5" w:rsidRPr="00B5628D" w:rsidRDefault="007056C5" w:rsidP="00013DBD">
      <w:pPr>
        <w:spacing w:line="480" w:lineRule="auto"/>
        <w:rPr>
          <w:rFonts w:ascii="Arial" w:hAnsi="Arial" w:cs="Arial"/>
          <w:color w:val="000000" w:themeColor="text1"/>
          <w:szCs w:val="24"/>
          <w:lang w:val="en-US"/>
        </w:rPr>
      </w:pPr>
    </w:p>
    <w:p w14:paraId="1C3A4A10" w14:textId="77777777" w:rsidR="00574F58" w:rsidRPr="00B5628D" w:rsidRDefault="00574F58" w:rsidP="00013DBD">
      <w:pPr>
        <w:spacing w:line="480" w:lineRule="auto"/>
        <w:rPr>
          <w:rFonts w:ascii="Arial" w:hAnsi="Arial" w:cs="Arial"/>
          <w:color w:val="000000" w:themeColor="text1"/>
          <w:szCs w:val="24"/>
          <w:lang w:val="en-US"/>
        </w:rPr>
      </w:pPr>
    </w:p>
    <w:p w14:paraId="0FBFF318" w14:textId="77777777" w:rsidR="001E4E41" w:rsidRPr="00B5628D" w:rsidRDefault="00D33052" w:rsidP="001E4E41">
      <w:pPr>
        <w:spacing w:line="480" w:lineRule="auto"/>
        <w:rPr>
          <w:rFonts w:ascii="Arial" w:hAnsi="Arial" w:cs="Arial"/>
          <w:color w:val="000000" w:themeColor="text1"/>
          <w:szCs w:val="24"/>
        </w:rPr>
      </w:pPr>
      <w:bookmarkStart w:id="0" w:name="_Toc215261146"/>
      <w:r w:rsidRPr="00B5628D">
        <w:rPr>
          <w:rStyle w:val="Heading1Char"/>
          <w:rFonts w:ascii="Arial" w:hAnsi="Arial" w:cs="Arial"/>
          <w:b/>
          <w:bCs/>
          <w:color w:val="000000" w:themeColor="text1"/>
          <w:sz w:val="24"/>
          <w:szCs w:val="24"/>
        </w:rPr>
        <w:lastRenderedPageBreak/>
        <w:t>Abstract</w:t>
      </w:r>
      <w:bookmarkEnd w:id="0"/>
    </w:p>
    <w:p w14:paraId="63B88078" w14:textId="77777777" w:rsidR="005F14BD" w:rsidRPr="00B5628D" w:rsidRDefault="005F14BD" w:rsidP="005F14BD">
      <w:pPr>
        <w:spacing w:line="480" w:lineRule="auto"/>
        <w:rPr>
          <w:rFonts w:ascii="Arial" w:hAnsi="Arial" w:cs="Arial"/>
          <w:color w:val="000000" w:themeColor="text1"/>
          <w:szCs w:val="24"/>
        </w:rPr>
      </w:pPr>
      <w:r w:rsidRPr="00B5628D">
        <w:rPr>
          <w:rFonts w:ascii="Arial" w:hAnsi="Arial" w:cs="Arial"/>
          <w:color w:val="000000" w:themeColor="text1"/>
          <w:szCs w:val="24"/>
        </w:rPr>
        <w:t>One of the basic systems that guarantees accuracy, consistency and reliability in financial reporting is the double-entry system of accounting. This system works on the principle that all financial transactions will involve two accounts, through which there will be a debit and credit entry in the accounting records, thus balancing them. The paper will discuss the theoretical and practical importance of the system of double-entry and the way in which that system aids in the process of accurate financial reporting. The system ensures a dynamic system of checks and balances between total debits and total credits, and this ensures that misstatements and fraud will be minimized (Weygandt et al., 2020).</w:t>
      </w:r>
    </w:p>
    <w:p w14:paraId="382564A5" w14:textId="77777777" w:rsidR="005F14BD" w:rsidRPr="00B5628D" w:rsidRDefault="005F14BD" w:rsidP="005F14BD">
      <w:pPr>
        <w:spacing w:line="480" w:lineRule="auto"/>
        <w:rPr>
          <w:rFonts w:ascii="Arial" w:hAnsi="Arial" w:cs="Arial"/>
          <w:color w:val="000000" w:themeColor="text1"/>
          <w:szCs w:val="24"/>
        </w:rPr>
      </w:pPr>
      <w:r w:rsidRPr="00B5628D">
        <w:rPr>
          <w:rFonts w:ascii="Arial" w:hAnsi="Arial" w:cs="Arial"/>
          <w:color w:val="000000" w:themeColor="text1"/>
          <w:szCs w:val="24"/>
        </w:rPr>
        <w:t>The paper also dwells on the concept of debits and credits and how they impact different types of accounts such as assets, liabilities, equity, revenues and expenses. It is postulated in the literature that the repetitive use of the validity of the accounting records and the reliability of the financial statements provided by the balance sheet, income statement, and cash flow statement can be strengthened with the use of the principles of double-entry (</w:t>
      </w:r>
      <w:proofErr w:type="spellStart"/>
      <w:r w:rsidRPr="00B5628D">
        <w:rPr>
          <w:rFonts w:ascii="Arial" w:hAnsi="Arial" w:cs="Arial"/>
          <w:color w:val="000000" w:themeColor="text1"/>
          <w:szCs w:val="24"/>
        </w:rPr>
        <w:t>Kieso</w:t>
      </w:r>
      <w:proofErr w:type="spellEnd"/>
      <w:r w:rsidRPr="00B5628D">
        <w:rPr>
          <w:rFonts w:ascii="Arial" w:hAnsi="Arial" w:cs="Arial"/>
          <w:color w:val="000000" w:themeColor="text1"/>
          <w:szCs w:val="24"/>
        </w:rPr>
        <w:t xml:space="preserve"> et al., 2021). The paper also brings out how the double-entry system assists in preparing the balanced financial statements by making amendments in financial position to be recorded systematically.</w:t>
      </w:r>
    </w:p>
    <w:p w14:paraId="55A737EE" w14:textId="77777777" w:rsidR="005F14BD" w:rsidRPr="00B5628D" w:rsidRDefault="005F14BD" w:rsidP="005F14BD">
      <w:pPr>
        <w:spacing w:line="480" w:lineRule="auto"/>
        <w:rPr>
          <w:rFonts w:ascii="Arial" w:hAnsi="Arial" w:cs="Arial"/>
          <w:color w:val="000000" w:themeColor="text1"/>
          <w:szCs w:val="24"/>
        </w:rPr>
      </w:pPr>
      <w:r w:rsidRPr="00B5628D">
        <w:rPr>
          <w:rFonts w:ascii="Arial" w:hAnsi="Arial" w:cs="Arial"/>
          <w:color w:val="000000" w:themeColor="text1"/>
          <w:szCs w:val="24"/>
        </w:rPr>
        <w:t xml:space="preserve">Moreover, the double-entry system is also addressed in the abstract as being essential in keeping the books of accounts </w:t>
      </w:r>
      <w:proofErr w:type="gramStart"/>
      <w:r w:rsidRPr="00B5628D">
        <w:rPr>
          <w:rFonts w:ascii="Arial" w:hAnsi="Arial" w:cs="Arial"/>
          <w:color w:val="000000" w:themeColor="text1"/>
          <w:szCs w:val="24"/>
        </w:rPr>
        <w:t>accurate, and</w:t>
      </w:r>
      <w:proofErr w:type="gramEnd"/>
      <w:r w:rsidRPr="00B5628D">
        <w:rPr>
          <w:rFonts w:ascii="Arial" w:hAnsi="Arial" w:cs="Arial"/>
          <w:color w:val="000000" w:themeColor="text1"/>
          <w:szCs w:val="24"/>
        </w:rPr>
        <w:t xml:space="preserve"> avoiding fraud by being traceable and auditable. The working transactions are illustrated by practical examples of transactions in real business situations. </w:t>
      </w:r>
      <w:proofErr w:type="gramStart"/>
      <w:r w:rsidRPr="00B5628D">
        <w:rPr>
          <w:rFonts w:ascii="Arial" w:hAnsi="Arial" w:cs="Arial"/>
          <w:color w:val="000000" w:themeColor="text1"/>
          <w:szCs w:val="24"/>
        </w:rPr>
        <w:t>On the whole</w:t>
      </w:r>
      <w:proofErr w:type="gramEnd"/>
      <w:r w:rsidRPr="00B5628D">
        <w:rPr>
          <w:rFonts w:ascii="Arial" w:hAnsi="Arial" w:cs="Arial"/>
          <w:color w:val="000000" w:themeColor="text1"/>
          <w:szCs w:val="24"/>
        </w:rPr>
        <w:t xml:space="preserve">, the paper clarifies that the notion of the double-entry system is not simply a mechanical accounting system but an essential </w:t>
      </w:r>
      <w:r w:rsidRPr="00B5628D">
        <w:rPr>
          <w:rFonts w:ascii="Arial" w:hAnsi="Arial" w:cs="Arial"/>
          <w:color w:val="000000" w:themeColor="text1"/>
          <w:szCs w:val="24"/>
        </w:rPr>
        <w:lastRenderedPageBreak/>
        <w:t>system of control that is the foundation of transparency, accountability, and informed financial decision-making in contemporary organizations.</w:t>
      </w: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55DE8BD4" w:rsidR="004D7D13" w:rsidRPr="00B5628D" w:rsidRDefault="004D7D13" w:rsidP="005F14BD">
          <w:pPr>
            <w:spacing w:line="480" w:lineRule="auto"/>
            <w:rPr>
              <w:rFonts w:ascii="Arial" w:hAnsi="Arial" w:cs="Arial"/>
              <w:i/>
              <w:iCs/>
              <w:color w:val="000000" w:themeColor="text1"/>
              <w:szCs w:val="24"/>
            </w:rPr>
          </w:pPr>
          <w:r w:rsidRPr="00B5628D">
            <w:rPr>
              <w:rFonts w:ascii="Arial" w:hAnsi="Arial" w:cs="Arial"/>
              <w:i/>
              <w:iCs/>
              <w:color w:val="000000" w:themeColor="text1"/>
              <w:szCs w:val="24"/>
            </w:rPr>
            <w:t>Contents</w:t>
          </w:r>
        </w:p>
        <w:p w14:paraId="337B3AC3" w14:textId="10CCECA4" w:rsidR="002A2917" w:rsidRPr="00B5628D" w:rsidRDefault="004D7D13">
          <w:pPr>
            <w:pStyle w:val="TOC1"/>
            <w:tabs>
              <w:tab w:val="right" w:leader="dot" w:pos="9350"/>
            </w:tabs>
            <w:rPr>
              <w:rFonts w:ascii="Arial" w:hAnsi="Arial" w:cs="Arial"/>
              <w:i/>
              <w:iCs/>
              <w:noProof/>
              <w:kern w:val="2"/>
              <w:sz w:val="24"/>
              <w:szCs w:val="21"/>
              <w:lang w:val="en-GB" w:eastAsia="en-GB" w:bidi="hi-IN"/>
              <w14:ligatures w14:val="standardContextual"/>
            </w:rPr>
          </w:pPr>
          <w:r w:rsidRPr="00B5628D">
            <w:rPr>
              <w:rFonts w:ascii="Arial" w:hAnsi="Arial" w:cs="Arial"/>
              <w:i/>
              <w:iCs/>
              <w:color w:val="000000" w:themeColor="text1"/>
              <w:sz w:val="24"/>
              <w:szCs w:val="24"/>
            </w:rPr>
            <w:fldChar w:fldCharType="begin"/>
          </w:r>
          <w:r w:rsidRPr="00B5628D">
            <w:rPr>
              <w:rFonts w:ascii="Arial" w:hAnsi="Arial" w:cs="Arial"/>
              <w:i/>
              <w:iCs/>
              <w:color w:val="000000" w:themeColor="text1"/>
              <w:sz w:val="24"/>
              <w:szCs w:val="24"/>
            </w:rPr>
            <w:instrText xml:space="preserve"> TOC \o "1-3" \h \z \u </w:instrText>
          </w:r>
          <w:r w:rsidRPr="00B5628D">
            <w:rPr>
              <w:rFonts w:ascii="Arial" w:hAnsi="Arial" w:cs="Arial"/>
              <w:i/>
              <w:iCs/>
              <w:color w:val="000000" w:themeColor="text1"/>
              <w:sz w:val="24"/>
              <w:szCs w:val="24"/>
            </w:rPr>
            <w:fldChar w:fldCharType="separate"/>
          </w:r>
          <w:hyperlink w:anchor="_Toc215261146" w:history="1">
            <w:r w:rsidR="002A2917" w:rsidRPr="00B5628D">
              <w:rPr>
                <w:rStyle w:val="Hyperlink"/>
                <w:rFonts w:ascii="Arial" w:hAnsi="Arial" w:cs="Arial"/>
                <w:b/>
                <w:bCs/>
                <w:i/>
                <w:iCs/>
                <w:noProof/>
              </w:rPr>
              <w:t>Abstract</w:t>
            </w:r>
            <w:r w:rsidR="002A2917" w:rsidRPr="00B5628D">
              <w:rPr>
                <w:rFonts w:ascii="Arial" w:hAnsi="Arial" w:cs="Arial"/>
                <w:i/>
                <w:iCs/>
                <w:noProof/>
                <w:webHidden/>
              </w:rPr>
              <w:tab/>
            </w:r>
            <w:r w:rsidR="002A2917" w:rsidRPr="00B5628D">
              <w:rPr>
                <w:rFonts w:ascii="Arial" w:hAnsi="Arial" w:cs="Arial"/>
                <w:i/>
                <w:iCs/>
                <w:noProof/>
                <w:webHidden/>
              </w:rPr>
              <w:fldChar w:fldCharType="begin"/>
            </w:r>
            <w:r w:rsidR="002A2917" w:rsidRPr="00B5628D">
              <w:rPr>
                <w:rFonts w:ascii="Arial" w:hAnsi="Arial" w:cs="Arial"/>
                <w:i/>
                <w:iCs/>
                <w:noProof/>
                <w:webHidden/>
              </w:rPr>
              <w:instrText xml:space="preserve"> PAGEREF _Toc215261146 \h </w:instrText>
            </w:r>
            <w:r w:rsidR="002A2917" w:rsidRPr="00B5628D">
              <w:rPr>
                <w:rFonts w:ascii="Arial" w:hAnsi="Arial" w:cs="Arial"/>
                <w:i/>
                <w:iCs/>
                <w:noProof/>
                <w:webHidden/>
              </w:rPr>
            </w:r>
            <w:r w:rsidR="002A2917" w:rsidRPr="00B5628D">
              <w:rPr>
                <w:rFonts w:ascii="Arial" w:hAnsi="Arial" w:cs="Arial"/>
                <w:i/>
                <w:iCs/>
                <w:noProof/>
                <w:webHidden/>
              </w:rPr>
              <w:fldChar w:fldCharType="separate"/>
            </w:r>
            <w:r w:rsidR="002A2917" w:rsidRPr="00B5628D">
              <w:rPr>
                <w:rFonts w:ascii="Arial" w:hAnsi="Arial" w:cs="Arial"/>
                <w:i/>
                <w:iCs/>
                <w:noProof/>
                <w:webHidden/>
              </w:rPr>
              <w:t>2</w:t>
            </w:r>
            <w:r w:rsidR="002A2917" w:rsidRPr="00B5628D">
              <w:rPr>
                <w:rFonts w:ascii="Arial" w:hAnsi="Arial" w:cs="Arial"/>
                <w:i/>
                <w:iCs/>
                <w:noProof/>
                <w:webHidden/>
              </w:rPr>
              <w:fldChar w:fldCharType="end"/>
            </w:r>
          </w:hyperlink>
        </w:p>
        <w:p w14:paraId="198A0E34" w14:textId="13279504"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47" w:history="1">
            <w:r w:rsidRPr="00B5628D">
              <w:rPr>
                <w:rStyle w:val="Hyperlink"/>
                <w:rFonts w:ascii="Arial" w:hAnsi="Arial" w:cs="Arial"/>
                <w:b/>
                <w:bCs/>
                <w:i/>
                <w:iCs/>
                <w:noProof/>
              </w:rPr>
              <w:t>1.Introduction</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_Toc215261147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5</w:t>
            </w:r>
            <w:r w:rsidRPr="00B5628D">
              <w:rPr>
                <w:rFonts w:ascii="Arial" w:hAnsi="Arial" w:cs="Arial"/>
                <w:i/>
                <w:iCs/>
                <w:noProof/>
                <w:webHidden/>
              </w:rPr>
              <w:fldChar w:fldCharType="end"/>
            </w:r>
          </w:hyperlink>
        </w:p>
        <w:p w14:paraId="604F9FAE" w14:textId="5559A108"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48" w:history="1">
            <w:r w:rsidRPr="00B5628D">
              <w:rPr>
                <w:rStyle w:val="Hyperlink"/>
                <w:rFonts w:ascii="Arial" w:hAnsi="Arial" w:cs="Arial"/>
                <w:b/>
                <w:bCs/>
                <w:i/>
                <w:iCs/>
                <w:noProof/>
              </w:rPr>
              <w:t>2. Literature Review</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_Toc215261148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7</w:t>
            </w:r>
            <w:r w:rsidRPr="00B5628D">
              <w:rPr>
                <w:rFonts w:ascii="Arial" w:hAnsi="Arial" w:cs="Arial"/>
                <w:i/>
                <w:iCs/>
                <w:noProof/>
                <w:webHidden/>
              </w:rPr>
              <w:fldChar w:fldCharType="end"/>
            </w:r>
          </w:hyperlink>
        </w:p>
        <w:p w14:paraId="69ADB84A" w14:textId="52903E56"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49" w:history="1">
            <w:r w:rsidRPr="00B5628D">
              <w:rPr>
                <w:rStyle w:val="Hyperlink"/>
                <w:rFonts w:ascii="Arial" w:hAnsi="Arial" w:cs="Arial"/>
                <w:b/>
                <w:bCs/>
                <w:i/>
                <w:iCs/>
                <w:noProof/>
              </w:rPr>
              <w:t>3 Methodology</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_Toc215261149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13</w:t>
            </w:r>
            <w:r w:rsidRPr="00B5628D">
              <w:rPr>
                <w:rFonts w:ascii="Arial" w:hAnsi="Arial" w:cs="Arial"/>
                <w:i/>
                <w:iCs/>
                <w:noProof/>
                <w:webHidden/>
              </w:rPr>
              <w:fldChar w:fldCharType="end"/>
            </w:r>
          </w:hyperlink>
        </w:p>
        <w:p w14:paraId="4883E62B" w14:textId="57B5175A"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50" w:history="1">
            <w:r w:rsidRPr="00B5628D">
              <w:rPr>
                <w:rStyle w:val="Hyperlink"/>
                <w:rFonts w:ascii="Arial" w:hAnsi="Arial" w:cs="Arial"/>
                <w:b/>
                <w:bCs/>
                <w:i/>
                <w:iCs/>
                <w:noProof/>
              </w:rPr>
              <w:t>4 Finding</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_Toc215261150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15</w:t>
            </w:r>
            <w:r w:rsidRPr="00B5628D">
              <w:rPr>
                <w:rFonts w:ascii="Arial" w:hAnsi="Arial" w:cs="Arial"/>
                <w:i/>
                <w:iCs/>
                <w:noProof/>
                <w:webHidden/>
              </w:rPr>
              <w:fldChar w:fldCharType="end"/>
            </w:r>
          </w:hyperlink>
        </w:p>
        <w:p w14:paraId="0721E00F" w14:textId="178C1BD3"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51" w:history="1">
            <w:r w:rsidRPr="00B5628D">
              <w:rPr>
                <w:rStyle w:val="Hyperlink"/>
                <w:rFonts w:ascii="Arial" w:hAnsi="Arial" w:cs="Arial"/>
                <w:b/>
                <w:bCs/>
                <w:i/>
                <w:iCs/>
                <w:noProof/>
              </w:rPr>
              <w:t>5. Discussion</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_Toc215261151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20</w:t>
            </w:r>
            <w:r w:rsidRPr="00B5628D">
              <w:rPr>
                <w:rFonts w:ascii="Arial" w:hAnsi="Arial" w:cs="Arial"/>
                <w:i/>
                <w:iCs/>
                <w:noProof/>
                <w:webHidden/>
              </w:rPr>
              <w:fldChar w:fldCharType="end"/>
            </w:r>
          </w:hyperlink>
        </w:p>
        <w:p w14:paraId="399D4A29" w14:textId="1F422C6E"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52" w:history="1">
            <w:r w:rsidRPr="00B5628D">
              <w:rPr>
                <w:rStyle w:val="Hyperlink"/>
                <w:rFonts w:ascii="Arial" w:hAnsi="Arial" w:cs="Arial"/>
                <w:b/>
                <w:bCs/>
                <w:i/>
                <w:iCs/>
                <w:noProof/>
              </w:rPr>
              <w:t>6. Recommendation</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_Toc215261152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23</w:t>
            </w:r>
            <w:r w:rsidRPr="00B5628D">
              <w:rPr>
                <w:rFonts w:ascii="Arial" w:hAnsi="Arial" w:cs="Arial"/>
                <w:i/>
                <w:iCs/>
                <w:noProof/>
                <w:webHidden/>
              </w:rPr>
              <w:fldChar w:fldCharType="end"/>
            </w:r>
          </w:hyperlink>
        </w:p>
        <w:p w14:paraId="6232CEE6" w14:textId="078906AB"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53" w:history="1">
            <w:r w:rsidRPr="00B5628D">
              <w:rPr>
                <w:rStyle w:val="Hyperlink"/>
                <w:rFonts w:ascii="Arial" w:hAnsi="Arial" w:cs="Arial"/>
                <w:b/>
                <w:bCs/>
                <w:i/>
                <w:iCs/>
                <w:noProof/>
              </w:rPr>
              <w:t>8. Conclusion</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_Toc215261153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25</w:t>
            </w:r>
            <w:r w:rsidRPr="00B5628D">
              <w:rPr>
                <w:rFonts w:ascii="Arial" w:hAnsi="Arial" w:cs="Arial"/>
                <w:i/>
                <w:iCs/>
                <w:noProof/>
                <w:webHidden/>
              </w:rPr>
              <w:fldChar w:fldCharType="end"/>
            </w:r>
          </w:hyperlink>
        </w:p>
        <w:p w14:paraId="52383CBF" w14:textId="35B36446" w:rsidR="002A2917" w:rsidRPr="00B5628D" w:rsidRDefault="002A2917">
          <w:pPr>
            <w:pStyle w:val="TOC1"/>
            <w:tabs>
              <w:tab w:val="right" w:leader="dot" w:pos="9350"/>
            </w:tabs>
            <w:rPr>
              <w:rFonts w:ascii="Arial" w:hAnsi="Arial" w:cs="Arial"/>
              <w:i/>
              <w:iCs/>
              <w:noProof/>
              <w:kern w:val="2"/>
              <w:sz w:val="24"/>
              <w:szCs w:val="21"/>
              <w:lang w:val="en-GB" w:eastAsia="en-GB" w:bidi="hi-IN"/>
              <w14:ligatures w14:val="standardContextual"/>
            </w:rPr>
          </w:pPr>
          <w:hyperlink w:anchor="_Toc215261154" w:history="1">
            <w:r w:rsidRPr="00B5628D">
              <w:rPr>
                <w:rStyle w:val="Hyperlink"/>
                <w:rFonts w:ascii="Arial" w:hAnsi="Arial" w:cs="Arial"/>
                <w:b/>
                <w:bCs/>
                <w:i/>
                <w:iCs/>
                <w:noProof/>
              </w:rPr>
              <w:t>Reference List</w:t>
            </w:r>
            <w:r w:rsidRPr="00B5628D">
              <w:rPr>
                <w:rFonts w:ascii="Arial" w:hAnsi="Arial" w:cs="Arial"/>
                <w:i/>
                <w:iCs/>
                <w:noProof/>
                <w:webHidden/>
              </w:rPr>
              <w:tab/>
            </w:r>
            <w:r w:rsidRPr="00B5628D">
              <w:rPr>
                <w:rFonts w:ascii="Arial" w:hAnsi="Arial" w:cs="Arial"/>
                <w:i/>
                <w:iCs/>
                <w:noProof/>
                <w:webHidden/>
              </w:rPr>
              <w:fldChar w:fldCharType="begin"/>
            </w:r>
            <w:r w:rsidRPr="00B5628D">
              <w:rPr>
                <w:rFonts w:ascii="Arial" w:hAnsi="Arial" w:cs="Arial"/>
                <w:i/>
                <w:iCs/>
                <w:noProof/>
                <w:webHidden/>
              </w:rPr>
              <w:instrText xml:space="preserve"> PAGEREF _Toc215261154 \h </w:instrText>
            </w:r>
            <w:r w:rsidRPr="00B5628D">
              <w:rPr>
                <w:rFonts w:ascii="Arial" w:hAnsi="Arial" w:cs="Arial"/>
                <w:i/>
                <w:iCs/>
                <w:noProof/>
                <w:webHidden/>
              </w:rPr>
            </w:r>
            <w:r w:rsidRPr="00B5628D">
              <w:rPr>
                <w:rFonts w:ascii="Arial" w:hAnsi="Arial" w:cs="Arial"/>
                <w:i/>
                <w:iCs/>
                <w:noProof/>
                <w:webHidden/>
              </w:rPr>
              <w:fldChar w:fldCharType="separate"/>
            </w:r>
            <w:r w:rsidRPr="00B5628D">
              <w:rPr>
                <w:rFonts w:ascii="Arial" w:hAnsi="Arial" w:cs="Arial"/>
                <w:i/>
                <w:iCs/>
                <w:noProof/>
                <w:webHidden/>
              </w:rPr>
              <w:t>27</w:t>
            </w:r>
            <w:r w:rsidRPr="00B5628D">
              <w:rPr>
                <w:rFonts w:ascii="Arial" w:hAnsi="Arial" w:cs="Arial"/>
                <w:i/>
                <w:iCs/>
                <w:noProof/>
                <w:webHidden/>
              </w:rPr>
              <w:fldChar w:fldCharType="end"/>
            </w:r>
          </w:hyperlink>
        </w:p>
        <w:p w14:paraId="646EF9D8" w14:textId="527F5A81" w:rsidR="004D7D13" w:rsidRPr="00B5628D" w:rsidRDefault="004D7D13" w:rsidP="00013DBD">
          <w:pPr>
            <w:spacing w:line="480" w:lineRule="auto"/>
            <w:rPr>
              <w:rFonts w:ascii="Arial" w:hAnsi="Arial" w:cs="Arial"/>
              <w:color w:val="000000" w:themeColor="text1"/>
              <w:szCs w:val="24"/>
            </w:rPr>
          </w:pPr>
          <w:r w:rsidRPr="00B5628D">
            <w:rPr>
              <w:rFonts w:ascii="Arial" w:hAnsi="Arial" w:cs="Arial"/>
              <w:b/>
              <w:bCs/>
              <w:i/>
              <w:iCs/>
              <w:noProof/>
              <w:color w:val="000000" w:themeColor="text1"/>
              <w:szCs w:val="24"/>
            </w:rPr>
            <w:fldChar w:fldCharType="end"/>
          </w:r>
        </w:p>
      </w:sdtContent>
    </w:sdt>
    <w:p w14:paraId="1EDA022C" w14:textId="77777777" w:rsidR="004D7D13" w:rsidRPr="00B5628D" w:rsidRDefault="004D7D13" w:rsidP="00013DBD">
      <w:pPr>
        <w:spacing w:line="480" w:lineRule="auto"/>
        <w:rPr>
          <w:rFonts w:ascii="Arial" w:hAnsi="Arial" w:cs="Arial"/>
          <w:color w:val="000000" w:themeColor="text1"/>
          <w:szCs w:val="24"/>
        </w:rPr>
      </w:pPr>
    </w:p>
    <w:p w14:paraId="19B15F5F" w14:textId="77777777" w:rsidR="0095171B" w:rsidRPr="00B5628D" w:rsidRDefault="0095171B" w:rsidP="00013DBD">
      <w:pPr>
        <w:spacing w:line="480" w:lineRule="auto"/>
        <w:rPr>
          <w:rFonts w:ascii="Arial" w:hAnsi="Arial" w:cs="Arial"/>
          <w:color w:val="000000" w:themeColor="text1"/>
          <w:szCs w:val="24"/>
        </w:rPr>
      </w:pPr>
    </w:p>
    <w:p w14:paraId="73636B03" w14:textId="77777777" w:rsidR="0095171B" w:rsidRPr="00B5628D" w:rsidRDefault="0095171B" w:rsidP="00013DBD">
      <w:pPr>
        <w:spacing w:line="480" w:lineRule="auto"/>
        <w:rPr>
          <w:rFonts w:ascii="Arial" w:hAnsi="Arial" w:cs="Arial"/>
          <w:color w:val="000000" w:themeColor="text1"/>
          <w:szCs w:val="24"/>
        </w:rPr>
      </w:pPr>
      <w:r w:rsidRPr="00B5628D">
        <w:rPr>
          <w:rFonts w:ascii="Arial" w:hAnsi="Arial" w:cs="Arial"/>
          <w:color w:val="000000" w:themeColor="text1"/>
          <w:szCs w:val="24"/>
        </w:rPr>
        <w:br w:type="page"/>
      </w:r>
    </w:p>
    <w:p w14:paraId="6F643A64" w14:textId="77777777" w:rsidR="0016308D" w:rsidRPr="00B5628D" w:rsidRDefault="0016308D" w:rsidP="002A0F92">
      <w:pPr>
        <w:spacing w:line="480" w:lineRule="auto"/>
        <w:rPr>
          <w:rStyle w:val="Heading1Char"/>
          <w:rFonts w:ascii="Arial" w:hAnsi="Arial" w:cs="Arial"/>
          <w:b/>
          <w:bCs/>
          <w:color w:val="000000" w:themeColor="text1"/>
          <w:sz w:val="24"/>
          <w:szCs w:val="24"/>
        </w:rPr>
      </w:pPr>
      <w:bookmarkStart w:id="1" w:name="_Toc215261151"/>
      <w:r w:rsidRPr="00B5628D">
        <w:rPr>
          <w:rStyle w:val="Heading1Char"/>
          <w:rFonts w:ascii="Arial" w:hAnsi="Arial" w:cs="Arial"/>
          <w:b/>
          <w:bCs/>
          <w:color w:val="000000" w:themeColor="text1"/>
          <w:sz w:val="24"/>
          <w:szCs w:val="24"/>
        </w:rPr>
        <w:lastRenderedPageBreak/>
        <w:t xml:space="preserve">1. INTRODUCTION </w:t>
      </w:r>
    </w:p>
    <w:p w14:paraId="38779262"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double-entry accounting is considered by far as one of the most remarkable accounting and financial reporting innovations that have ever occurred. It is an international system that has been developed as a universally acceptable way of documenting financial transactions in small businesses as well as big corporations based on its origins in the ancient days of commercial transactions. One of the underlying principles of the double-entry system is that all transactions have two sides, and both debit and credit accounts must be made to ensure that the records of accounting balance (Godfrey et al., 2010). The latter is important because this is the main principle of the modern accounting practice that guarantees the quality and integrity of the financial information.</w:t>
      </w:r>
    </w:p>
    <w:p w14:paraId="5E378C8C"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second major strength of the double-entry system is that the system ensures integrity of financial information. The system provides a self-balancing system by registering transactions in at least two accounts, which makes it easy to detect and correct mistakes. In case of disequilibrium between total debits and total credits, we immediately notice the disparities which require investigation and correction (Weygandt et al., 2020). This is what renders the use of a double-entry system critical in keeping proper books of accounts and ensuring the effectiveness of internal control systems.</w:t>
      </w:r>
    </w:p>
    <w:p w14:paraId="1417B3A0"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main specifications that drive the working of the system of the doubled entries are the notions of debit and credit, which dictate the process through which the transactions are to be registered in the various accounts. The debits and credits do not necessarily imply increments and reductions, but rather it is the nature of the account that determines the impact of the debits and credits. As an illustration of how debit and credit </w:t>
      </w:r>
      <w:r w:rsidRPr="00B5628D">
        <w:rPr>
          <w:rFonts w:ascii="Arial" w:eastAsiaTheme="majorEastAsia" w:hAnsi="Arial" w:cs="Arial"/>
          <w:color w:val="000000" w:themeColor="text1"/>
          <w:szCs w:val="24"/>
        </w:rPr>
        <w:lastRenderedPageBreak/>
        <w:t>transactions work, debiting of assets and expense accounts and crediting liability, equity, and revenue accounts (</w:t>
      </w:r>
      <w:proofErr w:type="spellStart"/>
      <w:r w:rsidRPr="00B5628D">
        <w:rPr>
          <w:rFonts w:ascii="Arial" w:eastAsiaTheme="majorEastAsia" w:hAnsi="Arial" w:cs="Arial"/>
          <w:color w:val="000000" w:themeColor="text1"/>
          <w:szCs w:val="24"/>
        </w:rPr>
        <w:t>Kieso</w:t>
      </w:r>
      <w:proofErr w:type="spellEnd"/>
      <w:r w:rsidRPr="00B5628D">
        <w:rPr>
          <w:rFonts w:ascii="Arial" w:eastAsiaTheme="majorEastAsia" w:hAnsi="Arial" w:cs="Arial"/>
          <w:color w:val="000000" w:themeColor="text1"/>
          <w:szCs w:val="24"/>
        </w:rPr>
        <w:t xml:space="preserve"> et al., 2021). Knowledge of these rules is important in ensuring that the records of transactions are done properly and that financial statements are prepared to portray the financial status and performance of an organization.</w:t>
      </w:r>
    </w:p>
    <w:p w14:paraId="6C52AFA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system of double entry is also very important in preparing balanced financial statements. The balance sheet is determined directly based on the ledger accounts stored under the double-entry system to ensure that the total assets have an equal amount of liabilities and equity. On the same note, all revenues and expenses processed using the double-entry bookkeeping are entered into the income statement and all cash related processed into the cash flow statement (Penman, 2013). Such interrelationship underscores the significance of the system in generating stable and dependable financial reports.</w:t>
      </w:r>
    </w:p>
    <w:p w14:paraId="3B29922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Moreover, the doubled-entry system is a very important instrument in fraud prevention and financial responsibility. The need to enter two records leaves an audit trail which increases the level of transparency and complicates any illegal manipulation of records (Bushman and Smith, 2001). In a world where business is becoming more regulated and complicated, the need to have a sound accounting system is becoming more important.</w:t>
      </w:r>
    </w:p>
    <w:p w14:paraId="44D8BF01"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assignment will explore the double-entry system in detail, with an emphasis on its concepts, the way it works, and the effect it has on the accuracy of financial reporting. The paper attempts to simplify the theoretical views with the practical examples to prove </w:t>
      </w:r>
      <w:r w:rsidRPr="00B5628D">
        <w:rPr>
          <w:rFonts w:ascii="Arial" w:eastAsiaTheme="majorEastAsia" w:hAnsi="Arial" w:cs="Arial"/>
          <w:color w:val="000000" w:themeColor="text1"/>
          <w:szCs w:val="24"/>
        </w:rPr>
        <w:lastRenderedPageBreak/>
        <w:t>the continual applicability of the double-entry system in ensuring credible and reliable financial information.</w:t>
      </w:r>
    </w:p>
    <w:p w14:paraId="4A24653A" w14:textId="77777777" w:rsidR="005F14BD" w:rsidRPr="00B5628D" w:rsidRDefault="005F14BD" w:rsidP="005F14BD">
      <w:pPr>
        <w:spacing w:line="480" w:lineRule="auto"/>
        <w:rPr>
          <w:rFonts w:ascii="Arial" w:eastAsiaTheme="majorEastAsia" w:hAnsi="Arial" w:cs="Arial"/>
          <w:color w:val="000000" w:themeColor="text1"/>
          <w:szCs w:val="24"/>
        </w:rPr>
      </w:pPr>
    </w:p>
    <w:p w14:paraId="714C3011" w14:textId="77777777" w:rsidR="005F14BD" w:rsidRPr="00B5628D" w:rsidRDefault="005F14BD" w:rsidP="005F14BD">
      <w:pPr>
        <w:spacing w:line="480" w:lineRule="auto"/>
        <w:rPr>
          <w:rFonts w:ascii="Arial" w:eastAsiaTheme="majorEastAsia" w:hAnsi="Arial" w:cs="Arial"/>
          <w:b/>
          <w:bCs/>
          <w:color w:val="000000" w:themeColor="text1"/>
          <w:szCs w:val="24"/>
        </w:rPr>
      </w:pPr>
    </w:p>
    <w:p w14:paraId="12DCFFC1" w14:textId="77777777" w:rsidR="005F14BD" w:rsidRPr="00B5628D" w:rsidRDefault="005F14BD" w:rsidP="005F14BD">
      <w:pPr>
        <w:spacing w:line="480" w:lineRule="auto"/>
        <w:rPr>
          <w:rFonts w:ascii="Arial" w:eastAsiaTheme="majorEastAsia" w:hAnsi="Arial" w:cs="Arial"/>
          <w:b/>
          <w:bCs/>
          <w:color w:val="000000" w:themeColor="text1"/>
          <w:szCs w:val="24"/>
        </w:rPr>
      </w:pPr>
      <w:r w:rsidRPr="00B5628D">
        <w:rPr>
          <w:rFonts w:ascii="Arial" w:eastAsiaTheme="majorEastAsia" w:hAnsi="Arial" w:cs="Arial"/>
          <w:b/>
          <w:bCs/>
          <w:color w:val="000000" w:themeColor="text1"/>
          <w:szCs w:val="24"/>
        </w:rPr>
        <w:t>Literature Review</w:t>
      </w:r>
    </w:p>
    <w:p w14:paraId="434C411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1. The history of the Double-Entry System.</w:t>
      </w:r>
    </w:p>
    <w:p w14:paraId="5F69EF1D"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One of the most significant innovations in financial reporting development </w:t>
      </w:r>
      <w:proofErr w:type="gramStart"/>
      <w:r w:rsidRPr="00B5628D">
        <w:rPr>
          <w:rFonts w:ascii="Arial" w:eastAsiaTheme="majorEastAsia" w:hAnsi="Arial" w:cs="Arial"/>
          <w:color w:val="000000" w:themeColor="text1"/>
          <w:szCs w:val="24"/>
        </w:rPr>
        <w:t>is considered to be</w:t>
      </w:r>
      <w:proofErr w:type="gramEnd"/>
      <w:r w:rsidRPr="00B5628D">
        <w:rPr>
          <w:rFonts w:ascii="Arial" w:eastAsiaTheme="majorEastAsia" w:hAnsi="Arial" w:cs="Arial"/>
          <w:color w:val="000000" w:themeColor="text1"/>
          <w:szCs w:val="24"/>
        </w:rPr>
        <w:t xml:space="preserve"> the double-entry system of accounting. The formal documentation of historical literature can be said to have started with the work of Luca Pacioli in the late fifteenth century where the dual recording principles were more formally defined (</w:t>
      </w:r>
      <w:proofErr w:type="spellStart"/>
      <w:r w:rsidRPr="00B5628D">
        <w:rPr>
          <w:rFonts w:ascii="Arial" w:eastAsiaTheme="majorEastAsia" w:hAnsi="Arial" w:cs="Arial"/>
          <w:color w:val="000000" w:themeColor="text1"/>
          <w:szCs w:val="24"/>
        </w:rPr>
        <w:t>Yamey</w:t>
      </w:r>
      <w:proofErr w:type="spellEnd"/>
      <w:r w:rsidRPr="00B5628D">
        <w:rPr>
          <w:rFonts w:ascii="Arial" w:eastAsiaTheme="majorEastAsia" w:hAnsi="Arial" w:cs="Arial"/>
          <w:color w:val="000000" w:themeColor="text1"/>
          <w:szCs w:val="24"/>
        </w:rPr>
        <w:t>, 2004). The double-entry system has since formed the basis of the accounting practice in the modern world giving a systematic way of documenting financial transactions in a balanced and rational way.</w:t>
      </w:r>
    </w:p>
    <w:p w14:paraId="7E070A9E"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According to scholars, the use of the double-entry bookkeeping was a transition between the simple record-keeping and the system of financial measurements that could allow business development and accountability (Littleton, 1966). The accounting literature of today points out that the system has become unchanged in relevance due to its capacity to record the dual economic effects of transactions such that the financial records indicate the allocation of resources </w:t>
      </w:r>
      <w:proofErr w:type="gramStart"/>
      <w:r w:rsidRPr="00B5628D">
        <w:rPr>
          <w:rFonts w:ascii="Arial" w:eastAsiaTheme="majorEastAsia" w:hAnsi="Arial" w:cs="Arial"/>
          <w:color w:val="000000" w:themeColor="text1"/>
          <w:szCs w:val="24"/>
        </w:rPr>
        <w:t>and also</w:t>
      </w:r>
      <w:proofErr w:type="gramEnd"/>
      <w:r w:rsidRPr="00B5628D">
        <w:rPr>
          <w:rFonts w:ascii="Arial" w:eastAsiaTheme="majorEastAsia" w:hAnsi="Arial" w:cs="Arial"/>
          <w:color w:val="000000" w:themeColor="text1"/>
          <w:szCs w:val="24"/>
        </w:rPr>
        <w:t xml:space="preserve"> the resources that will be used to finance such resources (Godfrey et al., 2010).</w:t>
      </w:r>
    </w:p>
    <w:p w14:paraId="6F2F3C7E" w14:textId="77777777" w:rsidR="005F14BD" w:rsidRPr="00B5628D" w:rsidRDefault="005F14BD" w:rsidP="005F14BD">
      <w:pPr>
        <w:spacing w:line="480" w:lineRule="auto"/>
        <w:rPr>
          <w:rFonts w:ascii="Arial" w:eastAsiaTheme="majorEastAsia" w:hAnsi="Arial" w:cs="Arial"/>
          <w:color w:val="000000" w:themeColor="text1"/>
          <w:szCs w:val="24"/>
        </w:rPr>
      </w:pPr>
    </w:p>
    <w:p w14:paraId="02309999"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lastRenderedPageBreak/>
        <w:t>2. Theoretical Foundations of Double-Entry Accounting.</w:t>
      </w:r>
    </w:p>
    <w:p w14:paraId="1D8144BF"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theoretical basis of the double-entry system is based on the concept of dual-aspect that holds that any financial transaction has two effects on the financial position of an entity. This principle leads directly to the accounting equation where the total assets should always be equal to the liabilities and the equity (Weygandt et al., 2020). The literature always finds this relationship as the only way to ensure balance and internal consistency in accounting records.</w:t>
      </w:r>
    </w:p>
    <w:p w14:paraId="033715C8"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Researchers observe that the double-entry system improves logical organization of an accounting as it connects cause and effect in a transaction. As an illustration, when one purchases an asset using credit, the assets are not only increased but liabilities are also increased, which keeps the balance (</w:t>
      </w:r>
      <w:proofErr w:type="spellStart"/>
      <w:r w:rsidRPr="00B5628D">
        <w:rPr>
          <w:rFonts w:ascii="Arial" w:eastAsiaTheme="majorEastAsia" w:hAnsi="Arial" w:cs="Arial"/>
          <w:color w:val="000000" w:themeColor="text1"/>
          <w:szCs w:val="24"/>
        </w:rPr>
        <w:t>Kieso</w:t>
      </w:r>
      <w:proofErr w:type="spellEnd"/>
      <w:r w:rsidRPr="00B5628D">
        <w:rPr>
          <w:rFonts w:ascii="Arial" w:eastAsiaTheme="majorEastAsia" w:hAnsi="Arial" w:cs="Arial"/>
          <w:color w:val="000000" w:themeColor="text1"/>
          <w:szCs w:val="24"/>
        </w:rPr>
        <w:t xml:space="preserve"> et al., 2021). This twofold identification is perceived as the vital tool in making sure that financial statements could reflect economic reality and not one-time occurrence.</w:t>
      </w:r>
    </w:p>
    <w:p w14:paraId="734B3B39" w14:textId="77777777" w:rsidR="005F14BD" w:rsidRPr="00B5628D" w:rsidRDefault="005F14BD" w:rsidP="005F14BD">
      <w:pPr>
        <w:spacing w:line="480" w:lineRule="auto"/>
        <w:rPr>
          <w:rFonts w:ascii="Arial" w:eastAsiaTheme="majorEastAsia" w:hAnsi="Arial" w:cs="Arial"/>
          <w:color w:val="000000" w:themeColor="text1"/>
          <w:szCs w:val="24"/>
        </w:rPr>
      </w:pPr>
    </w:p>
    <w:p w14:paraId="282BE1F0"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3. Financial Transactions Debit and Credits.</w:t>
      </w:r>
    </w:p>
    <w:p w14:paraId="368771B4"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Considerable amount of accounting literature has been devoted to the functioning of the operational mechanism of the double-entry system in terms of debits and credits. Debits and credits do not signify good or bad </w:t>
      </w:r>
      <w:proofErr w:type="gramStart"/>
      <w:r w:rsidRPr="00B5628D">
        <w:rPr>
          <w:rFonts w:ascii="Arial" w:eastAsiaTheme="majorEastAsia" w:hAnsi="Arial" w:cs="Arial"/>
          <w:color w:val="000000" w:themeColor="text1"/>
          <w:szCs w:val="24"/>
        </w:rPr>
        <w:t>values, but</w:t>
      </w:r>
      <w:proofErr w:type="gramEnd"/>
      <w:r w:rsidRPr="00B5628D">
        <w:rPr>
          <w:rFonts w:ascii="Arial" w:eastAsiaTheme="majorEastAsia" w:hAnsi="Arial" w:cs="Arial"/>
          <w:color w:val="000000" w:themeColor="text1"/>
          <w:szCs w:val="24"/>
        </w:rPr>
        <w:t xml:space="preserve"> rather signify a directional flow of financial impacts based on account classification (Libby et al., 2017). The debits and credits respectively raise the assets and expenses, and liabilities, equity and revenues, respectively.</w:t>
      </w:r>
    </w:p>
    <w:p w14:paraId="0521E51B"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lastRenderedPageBreak/>
        <w:t xml:space="preserve">According to scholarly research, sound knowledge of debit and credit regulations is also important in recording transactions and preparing financial statements. The misstatements </w:t>
      </w:r>
      <w:proofErr w:type="gramStart"/>
      <w:r w:rsidRPr="00B5628D">
        <w:rPr>
          <w:rFonts w:ascii="Arial" w:eastAsiaTheme="majorEastAsia" w:hAnsi="Arial" w:cs="Arial"/>
          <w:color w:val="000000" w:themeColor="text1"/>
          <w:szCs w:val="24"/>
        </w:rPr>
        <w:t>as a result of</w:t>
      </w:r>
      <w:proofErr w:type="gramEnd"/>
      <w:r w:rsidRPr="00B5628D">
        <w:rPr>
          <w:rFonts w:ascii="Arial" w:eastAsiaTheme="majorEastAsia" w:hAnsi="Arial" w:cs="Arial"/>
          <w:color w:val="000000" w:themeColor="text1"/>
          <w:szCs w:val="24"/>
        </w:rPr>
        <w:t xml:space="preserve"> errors made in the application of debit-credit may cause misrepresentation of the reported financial performance and position (Penman, 2013). The literature also points out the fact that the uniform use of debit and credit principles will provide consistency between organizations and accounting periods which helps to maintain comparability and transparency.</w:t>
      </w:r>
    </w:p>
    <w:p w14:paraId="005EE0B4" w14:textId="77777777" w:rsidR="005F14BD" w:rsidRPr="00B5628D" w:rsidRDefault="005F14BD" w:rsidP="005F14BD">
      <w:pPr>
        <w:spacing w:line="480" w:lineRule="auto"/>
        <w:rPr>
          <w:rFonts w:ascii="Arial" w:eastAsiaTheme="majorEastAsia" w:hAnsi="Arial" w:cs="Arial"/>
          <w:color w:val="000000" w:themeColor="text1"/>
          <w:szCs w:val="24"/>
        </w:rPr>
      </w:pPr>
    </w:p>
    <w:p w14:paraId="52DF0D17" w14:textId="77777777" w:rsidR="005F14BD" w:rsidRPr="00B5628D" w:rsidRDefault="005F14BD" w:rsidP="005F14BD">
      <w:pPr>
        <w:spacing w:line="480" w:lineRule="auto"/>
        <w:rPr>
          <w:rFonts w:ascii="Arial" w:eastAsiaTheme="majorEastAsia" w:hAnsi="Arial" w:cs="Arial"/>
          <w:color w:val="000000" w:themeColor="text1"/>
          <w:szCs w:val="24"/>
        </w:rPr>
      </w:pPr>
    </w:p>
    <w:p w14:paraId="520611EF" w14:textId="77777777" w:rsidR="005F14BD" w:rsidRPr="00B5628D" w:rsidRDefault="005F14BD" w:rsidP="005F14BD">
      <w:pPr>
        <w:spacing w:line="480" w:lineRule="auto"/>
        <w:rPr>
          <w:rFonts w:ascii="Arial" w:eastAsiaTheme="majorEastAsia" w:hAnsi="Arial" w:cs="Arial"/>
          <w:color w:val="000000" w:themeColor="text1"/>
          <w:szCs w:val="24"/>
        </w:rPr>
      </w:pPr>
    </w:p>
    <w:p w14:paraId="4DEAD93C"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4. Double-Entry System and Accuracy of Financial Reporting.</w:t>
      </w:r>
    </w:p>
    <w:p w14:paraId="459CC3B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literature is very strong and holds that the double-entry system is more accurate and reliable to the financial reporting. It has one of its main strengths in the fact that it has an in-built </w:t>
      </w:r>
      <w:proofErr w:type="spellStart"/>
      <w:r w:rsidRPr="00B5628D">
        <w:rPr>
          <w:rFonts w:ascii="Arial" w:eastAsiaTheme="majorEastAsia" w:hAnsi="Arial" w:cs="Arial"/>
          <w:color w:val="000000" w:themeColor="text1"/>
          <w:szCs w:val="24"/>
        </w:rPr>
        <w:t>self balancing</w:t>
      </w:r>
      <w:proofErr w:type="spellEnd"/>
      <w:r w:rsidRPr="00B5628D">
        <w:rPr>
          <w:rFonts w:ascii="Arial" w:eastAsiaTheme="majorEastAsia" w:hAnsi="Arial" w:cs="Arial"/>
          <w:color w:val="000000" w:themeColor="text1"/>
          <w:szCs w:val="24"/>
        </w:rPr>
        <w:t xml:space="preserve"> mechanism that means that total debits must be equal to total credits. The feature allows one to detect recording errors and omissions early, minimizing the chances of misstatement of financial statements (Weygandt et al., 2020).</w:t>
      </w:r>
    </w:p>
    <w:p w14:paraId="2A0D130E"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Empirical research indicates that companies with strong dual entry systems have greater accounting accuracy and internal control efficacy (Bushman and Smith, 2001). The system has ensured that the financial data can be verifiable and audible by keeping detailed ledger accounts and by carrying out systematic cross-checks. This consistency is especially necessary to the outside parties, who use financial statements to make investment and lending decisions and regulatory decisions.</w:t>
      </w:r>
    </w:p>
    <w:p w14:paraId="52A0D62D" w14:textId="77777777" w:rsidR="005F14BD" w:rsidRPr="00B5628D" w:rsidRDefault="005F14BD" w:rsidP="005F14BD">
      <w:pPr>
        <w:spacing w:line="480" w:lineRule="auto"/>
        <w:rPr>
          <w:rFonts w:ascii="Arial" w:eastAsiaTheme="majorEastAsia" w:hAnsi="Arial" w:cs="Arial"/>
          <w:color w:val="000000" w:themeColor="text1"/>
          <w:szCs w:val="24"/>
        </w:rPr>
      </w:pPr>
    </w:p>
    <w:p w14:paraId="7F45713B"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5. Compilation of Balanced Financial Statements.</w:t>
      </w:r>
    </w:p>
    <w:p w14:paraId="2615F26D"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other big theme of the literature is how the double-entry system helps in preparation of balanced financial statements. A balance sheet is a direct consequence of a double-entry bookkeeping since it indicates the balance between assets and the sum of claims of both liabilities and equity (</w:t>
      </w:r>
      <w:proofErr w:type="spellStart"/>
      <w:r w:rsidRPr="00B5628D">
        <w:rPr>
          <w:rFonts w:ascii="Arial" w:eastAsiaTheme="majorEastAsia" w:hAnsi="Arial" w:cs="Arial"/>
          <w:color w:val="000000" w:themeColor="text1"/>
          <w:szCs w:val="24"/>
        </w:rPr>
        <w:t>Kieso</w:t>
      </w:r>
      <w:proofErr w:type="spellEnd"/>
      <w:r w:rsidRPr="00B5628D">
        <w:rPr>
          <w:rFonts w:ascii="Arial" w:eastAsiaTheme="majorEastAsia" w:hAnsi="Arial" w:cs="Arial"/>
          <w:color w:val="000000" w:themeColor="text1"/>
          <w:szCs w:val="24"/>
        </w:rPr>
        <w:t xml:space="preserve"> et al., 2021). In the absence of the double-entry framework, this balance would be much harder to maintain.</w:t>
      </w:r>
    </w:p>
    <w:p w14:paraId="3301FB2B"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A close relationship is also associated with the income statement and the concept of the double-entry accounting where the revenues and expenses are entered in and out of the accounting statement and book in a systematic manner. Research has shown that proper measurement of income requires the use of the consistency in the application of the principles of double-entry, especially where accrual-based reporting systems operate (Dechow and Dichev, 2002). Moreover, cash flow statement uses the records of cash transactions in the double-entry system, which supports the interdependence of the financial statements (Penman, 2013).</w:t>
      </w:r>
    </w:p>
    <w:p w14:paraId="6E0D639B" w14:textId="77777777" w:rsidR="005F14BD" w:rsidRPr="00B5628D" w:rsidRDefault="005F14BD" w:rsidP="005F14BD">
      <w:pPr>
        <w:spacing w:line="480" w:lineRule="auto"/>
        <w:rPr>
          <w:rFonts w:ascii="Arial" w:eastAsiaTheme="majorEastAsia" w:hAnsi="Arial" w:cs="Arial"/>
          <w:color w:val="000000" w:themeColor="text1"/>
          <w:szCs w:val="24"/>
        </w:rPr>
      </w:pPr>
    </w:p>
    <w:p w14:paraId="12B319FD"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6. Internal Control role and Prevention of Frauds.</w:t>
      </w:r>
    </w:p>
    <w:p w14:paraId="7BF8A8F1"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great role of the double-entry system as an internal control and the means to prevent fraud is a well-known fact in the literature. The system enhances transparency and accountability in the accounting records by making the entries to be done twice and by ensuring an audit trail (Bushman and Smith, 2001). The illegal changes of a single </w:t>
      </w:r>
      <w:r w:rsidRPr="00B5628D">
        <w:rPr>
          <w:rFonts w:ascii="Arial" w:eastAsiaTheme="majorEastAsia" w:hAnsi="Arial" w:cs="Arial"/>
          <w:color w:val="000000" w:themeColor="text1"/>
          <w:szCs w:val="24"/>
        </w:rPr>
        <w:lastRenderedPageBreak/>
        <w:t>account are most likely to cause imbalances, and thus manipulation could be thus more easily identified.</w:t>
      </w:r>
    </w:p>
    <w:p w14:paraId="0D7621EF"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Studies indicate that a system of double-entry bookkeeping facilitates good auditing since it will create clear records of the flow of transactions and the relationship between an account and another (Healy and Palepu, 2001). This is especially useful in big companies with most complicated </w:t>
      </w:r>
      <w:proofErr w:type="gramStart"/>
      <w:r w:rsidRPr="00B5628D">
        <w:rPr>
          <w:rFonts w:ascii="Arial" w:eastAsiaTheme="majorEastAsia" w:hAnsi="Arial" w:cs="Arial"/>
          <w:color w:val="000000" w:themeColor="text1"/>
          <w:szCs w:val="24"/>
        </w:rPr>
        <w:t>transactions,</w:t>
      </w:r>
      <w:proofErr w:type="gramEnd"/>
      <w:r w:rsidRPr="00B5628D">
        <w:rPr>
          <w:rFonts w:ascii="Arial" w:eastAsiaTheme="majorEastAsia" w:hAnsi="Arial" w:cs="Arial"/>
          <w:color w:val="000000" w:themeColor="text1"/>
          <w:szCs w:val="24"/>
        </w:rPr>
        <w:t xml:space="preserve"> the effective mechanisms of control are very important </w:t>
      </w:r>
      <w:proofErr w:type="gramStart"/>
      <w:r w:rsidRPr="00B5628D">
        <w:rPr>
          <w:rFonts w:ascii="Arial" w:eastAsiaTheme="majorEastAsia" w:hAnsi="Arial" w:cs="Arial"/>
          <w:color w:val="000000" w:themeColor="text1"/>
          <w:szCs w:val="24"/>
        </w:rPr>
        <w:t>in order to</w:t>
      </w:r>
      <w:proofErr w:type="gramEnd"/>
      <w:r w:rsidRPr="00B5628D">
        <w:rPr>
          <w:rFonts w:ascii="Arial" w:eastAsiaTheme="majorEastAsia" w:hAnsi="Arial" w:cs="Arial"/>
          <w:color w:val="000000" w:themeColor="text1"/>
          <w:szCs w:val="24"/>
        </w:rPr>
        <w:t xml:space="preserve"> secure the assets and ensure the trust of stakeholders.</w:t>
      </w:r>
    </w:p>
    <w:p w14:paraId="08009562" w14:textId="77777777" w:rsidR="005F14BD" w:rsidRPr="00B5628D" w:rsidRDefault="005F14BD" w:rsidP="005F14BD">
      <w:pPr>
        <w:spacing w:line="480" w:lineRule="auto"/>
        <w:rPr>
          <w:rFonts w:ascii="Arial" w:eastAsiaTheme="majorEastAsia" w:hAnsi="Arial" w:cs="Arial"/>
          <w:color w:val="000000" w:themeColor="text1"/>
          <w:szCs w:val="24"/>
        </w:rPr>
      </w:pPr>
    </w:p>
    <w:p w14:paraId="196F95FD"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7. Wireless Accounting as a Practice.</w:t>
      </w:r>
    </w:p>
    <w:p w14:paraId="68D9C60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An effective accounting literature shows that the system of double entry is widely used in all industries and organizations of various sizes. The system offers a uniform procedure to document transactions in small businesses and multinational companies in the form of sales, purchases, payroll, financing and so forth (Libby et al., 2017). Case-based research shows that the application of the principles of double-entry in a consistent way leads to better financial discipline and the accuracy of reporting.</w:t>
      </w:r>
    </w:p>
    <w:p w14:paraId="058EE073"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second focus highlighted in the literature is the flexibility of the double-entry system under current accounting conditions, such as computerized accounting systems and enterprise resource planning (ERP) systems. The principles of debits and credits have not changed with the development of the technology, which emphasizes the timeless applicability of the systems (Romney and </w:t>
      </w:r>
      <w:proofErr w:type="spellStart"/>
      <w:r w:rsidRPr="00B5628D">
        <w:rPr>
          <w:rFonts w:ascii="Arial" w:eastAsiaTheme="majorEastAsia" w:hAnsi="Arial" w:cs="Arial"/>
          <w:color w:val="000000" w:themeColor="text1"/>
          <w:szCs w:val="24"/>
        </w:rPr>
        <w:t>Steinbart</w:t>
      </w:r>
      <w:proofErr w:type="spellEnd"/>
      <w:r w:rsidRPr="00B5628D">
        <w:rPr>
          <w:rFonts w:ascii="Arial" w:eastAsiaTheme="majorEastAsia" w:hAnsi="Arial" w:cs="Arial"/>
          <w:color w:val="000000" w:themeColor="text1"/>
          <w:szCs w:val="24"/>
        </w:rPr>
        <w:t>, 2021).</w:t>
      </w:r>
    </w:p>
    <w:p w14:paraId="55455073" w14:textId="77777777" w:rsidR="005F14BD" w:rsidRPr="00B5628D" w:rsidRDefault="005F14BD" w:rsidP="005F14BD">
      <w:pPr>
        <w:spacing w:line="480" w:lineRule="auto"/>
        <w:rPr>
          <w:rFonts w:ascii="Arial" w:eastAsiaTheme="majorEastAsia" w:hAnsi="Arial" w:cs="Arial"/>
          <w:color w:val="000000" w:themeColor="text1"/>
          <w:szCs w:val="24"/>
        </w:rPr>
      </w:pPr>
    </w:p>
    <w:p w14:paraId="5F2C4037"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lastRenderedPageBreak/>
        <w:t>8. Relevance to Accounting Practice in the Present-day.</w:t>
      </w:r>
    </w:p>
    <w:p w14:paraId="2E91D524" w14:textId="45BB80C4" w:rsidR="005F14BD" w:rsidRDefault="005F14BD" w:rsidP="005F14BD">
      <w:pPr>
        <w:spacing w:line="480" w:lineRule="auto"/>
        <w:rPr>
          <w:rFonts w:ascii="Arial" w:eastAsiaTheme="majorEastAsia" w:hAnsi="Arial" w:cs="Arial"/>
          <w:color w:val="000000" w:themeColor="text1"/>
          <w:szCs w:val="24"/>
        </w:rPr>
      </w:pPr>
      <w:proofErr w:type="gramStart"/>
      <w:r w:rsidRPr="00B5628D">
        <w:rPr>
          <w:rFonts w:ascii="Arial" w:eastAsiaTheme="majorEastAsia" w:hAnsi="Arial" w:cs="Arial"/>
          <w:color w:val="000000" w:themeColor="text1"/>
          <w:szCs w:val="24"/>
        </w:rPr>
        <w:t>On the whole</w:t>
      </w:r>
      <w:proofErr w:type="gramEnd"/>
      <w:r w:rsidRPr="00B5628D">
        <w:rPr>
          <w:rFonts w:ascii="Arial" w:eastAsiaTheme="majorEastAsia" w:hAnsi="Arial" w:cs="Arial"/>
          <w:color w:val="000000" w:themeColor="text1"/>
          <w:szCs w:val="24"/>
        </w:rPr>
        <w:t>, the literature reviewed proves that the double-entry system is still central in the modern accounting practice. The combination of its theoretical background, working principles, and controlled characteristics can ensure the high quality of financial reporting and sound decision-making. Researchers always explain that absent the double-entry model, the contemporary financial accounting would not have been in the form it is today and would not be capable of supporting the complex business operations and regulations (Godfrey et al., 2010).</w:t>
      </w:r>
    </w:p>
    <w:p w14:paraId="6B3C708C" w14:textId="77777777" w:rsidR="00992283" w:rsidRPr="00B5628D" w:rsidRDefault="00992283" w:rsidP="005F14BD">
      <w:pPr>
        <w:spacing w:line="480" w:lineRule="auto"/>
        <w:rPr>
          <w:rFonts w:ascii="Arial" w:eastAsiaTheme="majorEastAsia" w:hAnsi="Arial" w:cs="Arial"/>
          <w:color w:val="000000" w:themeColor="text1"/>
          <w:szCs w:val="24"/>
        </w:rPr>
      </w:pPr>
    </w:p>
    <w:p w14:paraId="1A4C3EB0" w14:textId="77777777" w:rsidR="005F14BD" w:rsidRPr="00992283" w:rsidRDefault="005F14BD" w:rsidP="005F14BD">
      <w:pPr>
        <w:spacing w:line="480" w:lineRule="auto"/>
        <w:rPr>
          <w:rFonts w:ascii="Arial" w:eastAsiaTheme="majorEastAsia" w:hAnsi="Arial" w:cs="Arial"/>
          <w:b/>
          <w:bCs/>
          <w:color w:val="000000" w:themeColor="text1"/>
          <w:szCs w:val="24"/>
        </w:rPr>
      </w:pPr>
      <w:r w:rsidRPr="00992283">
        <w:rPr>
          <w:rFonts w:ascii="Arial" w:eastAsiaTheme="majorEastAsia" w:hAnsi="Arial" w:cs="Arial"/>
          <w:b/>
          <w:bCs/>
          <w:color w:val="000000" w:themeColor="text1"/>
          <w:szCs w:val="24"/>
        </w:rPr>
        <w:t xml:space="preserve">Methodology </w:t>
      </w:r>
    </w:p>
    <w:p w14:paraId="7A0D9810"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current paper is based on a qualitative approach and conceptual research strategy to understand the issue of the double-entry accounting system and its effects on the accuracy, reliability, and prevention of fraud in financial reporting. The qualitative approach is the right way to go in this assignment since the study aims at explaining and interpreting the existing accounting principles as opposed to testing hypotheses using quantitative data analysis. Conceptual research is a commonly used method in accounting research to generalize the theoretical knowledge and describe how the accounting systems work in practice (Godfrey et al., 2010).</w:t>
      </w:r>
    </w:p>
    <w:p w14:paraId="768F8B81"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study completely relies on the secondary data sources such as academic journal articles by peers, other authorities on accounting such as textbooks and professional periodicals, and accounting standards of the recognized standard-setting bodies. Relevant literature was found with the help of Google Scholar and such academic </w:t>
      </w:r>
      <w:r w:rsidRPr="00B5628D">
        <w:rPr>
          <w:rFonts w:ascii="Arial" w:eastAsiaTheme="majorEastAsia" w:hAnsi="Arial" w:cs="Arial"/>
          <w:color w:val="000000" w:themeColor="text1"/>
          <w:szCs w:val="24"/>
        </w:rPr>
        <w:lastRenderedPageBreak/>
        <w:t>databases as Scopus and Web of Science. To guarantee academic credibility, traceability, and reliability, special attention was paid to sources that have Digital Object Identifiers (DOIs). Upon adoption of the scholarly literature, it is possible to understand the theoretical background, as well as practical implications of the system of a two-fold entry (</w:t>
      </w:r>
      <w:proofErr w:type="spellStart"/>
      <w:r w:rsidRPr="00B5628D">
        <w:rPr>
          <w:rFonts w:ascii="Arial" w:eastAsiaTheme="majorEastAsia" w:hAnsi="Arial" w:cs="Arial"/>
          <w:color w:val="000000" w:themeColor="text1"/>
          <w:szCs w:val="24"/>
        </w:rPr>
        <w:t>Tranfield</w:t>
      </w:r>
      <w:proofErr w:type="spellEnd"/>
      <w:r w:rsidRPr="00B5628D">
        <w:rPr>
          <w:rFonts w:ascii="Arial" w:eastAsiaTheme="majorEastAsia" w:hAnsi="Arial" w:cs="Arial"/>
          <w:color w:val="000000" w:themeColor="text1"/>
          <w:szCs w:val="24"/>
        </w:rPr>
        <w:t xml:space="preserve"> et al., 2003).</w:t>
      </w:r>
    </w:p>
    <w:p w14:paraId="7BE7D111"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systematic literature review methodology was used to gather and examine the sources of interest. The relevant studies were found using keywords like double-entry accounting, debits and credits, financial reporting accuracy, internal control, and fraud prevention. The chosen literature was filtered in terms of relevance to the research objectives, the quality of the publication and their contribution to the accounting theory and practice. It is a systematic approach to selection, which will reduce bias and will strengthen the findings (Booth et al., 2016).</w:t>
      </w:r>
    </w:p>
    <w:p w14:paraId="074C6719"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The review was done using thematic analysis approach, which entailed the identification of similar themes and patterns within the literature. Key topics were the concept of dual aspects, the functions of debits and credits, the creation of balanced financial statements and the value of the double-entry system in internal control and deterrence of fraud. Thematic analysis allows the incorporation of varied perspectives and difficult comparison among the various scholarly perspectives (Braun, and Clarke, 2006).</w:t>
      </w:r>
    </w:p>
    <w:p w14:paraId="191BEF8B" w14:textId="77777777" w:rsidR="005F14BD"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methodology also included illustrative transaction examples that were provided in accounting books and published case studies in addition to theoretical analysis. It was illustrated using these examples to show how common business transactions are recorded with the use of the double-entry system, which is cash sales, credit purchases, and expense payments. Practical illustrations help to reinforce the connection between </w:t>
      </w:r>
      <w:r w:rsidRPr="00B5628D">
        <w:rPr>
          <w:rFonts w:ascii="Arial" w:eastAsiaTheme="majorEastAsia" w:hAnsi="Arial" w:cs="Arial"/>
          <w:color w:val="000000" w:themeColor="text1"/>
          <w:szCs w:val="24"/>
        </w:rPr>
        <w:lastRenderedPageBreak/>
        <w:t>the theory and the accounting practices in the real world and increase the explanatory power of the work (Libby et al., 2017).</w:t>
      </w:r>
    </w:p>
    <w:p w14:paraId="039B8B34" w14:textId="5FC16995" w:rsidR="00DA381A" w:rsidRPr="00B5628D" w:rsidRDefault="005F14BD" w:rsidP="005F14BD">
      <w:pPr>
        <w:spacing w:line="480" w:lineRule="auto"/>
        <w:rPr>
          <w:rFonts w:ascii="Arial" w:eastAsiaTheme="majorEastAsia" w:hAnsi="Arial" w:cs="Arial"/>
          <w:color w:val="000000" w:themeColor="text1"/>
          <w:szCs w:val="24"/>
        </w:rPr>
      </w:pPr>
      <w:r w:rsidRPr="00B5628D">
        <w:rPr>
          <w:rFonts w:ascii="Arial" w:eastAsiaTheme="majorEastAsia" w:hAnsi="Arial" w:cs="Arial"/>
          <w:color w:val="000000" w:themeColor="text1"/>
          <w:szCs w:val="24"/>
        </w:rPr>
        <w:t xml:space="preserve">The ethical aspects were resolved by making sure that the list of references and sources were cited and credited correctly in accordance with APA guidelines of referencing sources, 7th edition. Since the research will only use publicly available secondary data, there was no ethical approval or consent of the participant. </w:t>
      </w:r>
      <w:proofErr w:type="gramStart"/>
      <w:r w:rsidRPr="00B5628D">
        <w:rPr>
          <w:rFonts w:ascii="Arial" w:eastAsiaTheme="majorEastAsia" w:hAnsi="Arial" w:cs="Arial"/>
          <w:color w:val="000000" w:themeColor="text1"/>
          <w:szCs w:val="24"/>
        </w:rPr>
        <w:t>On the whole</w:t>
      </w:r>
      <w:proofErr w:type="gramEnd"/>
      <w:r w:rsidRPr="00B5628D">
        <w:rPr>
          <w:rFonts w:ascii="Arial" w:eastAsiaTheme="majorEastAsia" w:hAnsi="Arial" w:cs="Arial"/>
          <w:color w:val="000000" w:themeColor="text1"/>
          <w:szCs w:val="24"/>
        </w:rPr>
        <w:t xml:space="preserve">, such a methodological approach offers an organized and academically sound model to </w:t>
      </w:r>
      <w:proofErr w:type="spellStart"/>
      <w:r w:rsidRPr="00B5628D">
        <w:rPr>
          <w:rFonts w:ascii="Arial" w:eastAsiaTheme="majorEastAsia" w:hAnsi="Arial" w:cs="Arial"/>
          <w:color w:val="000000" w:themeColor="text1"/>
          <w:szCs w:val="24"/>
        </w:rPr>
        <w:t>analyze</w:t>
      </w:r>
      <w:proofErr w:type="spellEnd"/>
      <w:r w:rsidRPr="00B5628D">
        <w:rPr>
          <w:rFonts w:ascii="Arial" w:eastAsiaTheme="majorEastAsia" w:hAnsi="Arial" w:cs="Arial"/>
          <w:color w:val="000000" w:themeColor="text1"/>
          <w:szCs w:val="24"/>
        </w:rPr>
        <w:t xml:space="preserve"> the importance of the double-entry system in terms of the preservation of the appropriate records of accounting and supporting the high-quality financial reporting.</w:t>
      </w:r>
    </w:p>
    <w:bookmarkEnd w:id="1"/>
    <w:p w14:paraId="5C47AD96" w14:textId="77777777" w:rsidR="00DA381A" w:rsidRPr="00B5628D" w:rsidRDefault="00DA381A" w:rsidP="00994CD0">
      <w:pPr>
        <w:spacing w:line="480" w:lineRule="auto"/>
        <w:rPr>
          <w:rStyle w:val="Heading1Char"/>
          <w:rFonts w:ascii="Arial" w:hAnsi="Arial" w:cs="Arial"/>
          <w:color w:val="000000" w:themeColor="text1"/>
          <w:sz w:val="24"/>
          <w:szCs w:val="24"/>
        </w:rPr>
      </w:pPr>
    </w:p>
    <w:p w14:paraId="56FBC283" w14:textId="77777777" w:rsidR="00680196" w:rsidRPr="00B5628D" w:rsidRDefault="00994CD0" w:rsidP="00680196">
      <w:pPr>
        <w:spacing w:line="480" w:lineRule="auto"/>
        <w:rPr>
          <w:rStyle w:val="Heading1Char"/>
          <w:rFonts w:ascii="Arial" w:hAnsi="Arial" w:cs="Arial"/>
          <w:b/>
          <w:bCs/>
          <w:color w:val="000000" w:themeColor="text1"/>
          <w:sz w:val="24"/>
          <w:szCs w:val="24"/>
        </w:rPr>
      </w:pPr>
      <w:r w:rsidRPr="00B5628D">
        <w:rPr>
          <w:rStyle w:val="Heading1Char"/>
          <w:rFonts w:ascii="Arial" w:hAnsi="Arial" w:cs="Arial"/>
          <w:b/>
          <w:bCs/>
          <w:color w:val="000000" w:themeColor="text1"/>
          <w:sz w:val="24"/>
          <w:szCs w:val="24"/>
        </w:rPr>
        <w:t xml:space="preserve">Findings </w:t>
      </w:r>
      <w:bookmarkStart w:id="2" w:name="_Toc215261154"/>
      <w:r w:rsidR="00680196" w:rsidRPr="00B5628D">
        <w:rPr>
          <w:rStyle w:val="Heading1Char"/>
          <w:rFonts w:ascii="Arial" w:hAnsi="Arial" w:cs="Arial"/>
          <w:b/>
          <w:bCs/>
          <w:color w:val="000000" w:themeColor="text1"/>
          <w:sz w:val="24"/>
          <w:szCs w:val="24"/>
        </w:rPr>
        <w:t xml:space="preserve"> </w:t>
      </w:r>
    </w:p>
    <w:p w14:paraId="57D1E13F" w14:textId="77777777" w:rsidR="00680196" w:rsidRPr="00B5628D" w:rsidRDefault="00680196" w:rsidP="00680196">
      <w:pPr>
        <w:spacing w:line="480" w:lineRule="auto"/>
        <w:rPr>
          <w:rFonts w:ascii="Arial" w:hAnsi="Arial" w:cs="Arial"/>
          <w:color w:val="000000" w:themeColor="text1"/>
          <w:szCs w:val="24"/>
        </w:rPr>
      </w:pPr>
      <w:r w:rsidRPr="00B5628D">
        <w:rPr>
          <w:rFonts w:ascii="Arial" w:hAnsi="Arial" w:cs="Arial"/>
          <w:color w:val="000000" w:themeColor="text1"/>
          <w:szCs w:val="24"/>
        </w:rPr>
        <w:t xml:space="preserve">This study has found its results because the accounting literature was reviewed systematically, and it has been observed that the double-entry system is a key mechanism of ensuring accuracy, reliability and transparency in financial reporting. It is pointed out that the fundamental advantage of the double-entry system is its dual-recording format where all transactions are recorded and debit and credit entries are made. This is what makes the accounting records consistent and </w:t>
      </w:r>
      <w:proofErr w:type="gramStart"/>
      <w:r w:rsidRPr="00B5628D">
        <w:rPr>
          <w:rFonts w:ascii="Arial" w:hAnsi="Arial" w:cs="Arial"/>
          <w:color w:val="000000" w:themeColor="text1"/>
          <w:szCs w:val="24"/>
        </w:rPr>
        <w:t>balanced at all times</w:t>
      </w:r>
      <w:proofErr w:type="gramEnd"/>
      <w:r w:rsidRPr="00B5628D">
        <w:rPr>
          <w:rFonts w:ascii="Arial" w:hAnsi="Arial" w:cs="Arial"/>
          <w:color w:val="000000" w:themeColor="text1"/>
          <w:szCs w:val="24"/>
        </w:rPr>
        <w:t xml:space="preserve"> (Weygandt et al., 2020).</w:t>
      </w:r>
    </w:p>
    <w:p w14:paraId="4ABF21E0" w14:textId="77777777" w:rsidR="00680196" w:rsidRPr="00B5628D" w:rsidRDefault="00680196" w:rsidP="00680196">
      <w:pPr>
        <w:spacing w:line="480" w:lineRule="auto"/>
        <w:rPr>
          <w:rFonts w:ascii="Arial" w:hAnsi="Arial" w:cs="Arial"/>
          <w:color w:val="000000" w:themeColor="text1"/>
          <w:szCs w:val="24"/>
        </w:rPr>
      </w:pPr>
      <w:r w:rsidRPr="00B5628D">
        <w:rPr>
          <w:rFonts w:ascii="Arial" w:hAnsi="Arial" w:cs="Arial"/>
          <w:color w:val="000000" w:themeColor="text1"/>
          <w:szCs w:val="24"/>
        </w:rPr>
        <w:t xml:space="preserve">Among the findings is that the double-entry system has a significant positive improvement on the accuracy of financial records. Since every transaction is recorded in at least two accounts, the omission, duplication, or improper posting of records is </w:t>
      </w:r>
      <w:r w:rsidRPr="00B5628D">
        <w:rPr>
          <w:rFonts w:ascii="Arial" w:hAnsi="Arial" w:cs="Arial"/>
          <w:color w:val="000000" w:themeColor="text1"/>
          <w:szCs w:val="24"/>
        </w:rPr>
        <w:lastRenderedPageBreak/>
        <w:t>likely to be identified more easily when the total debits are not equal to the total credits. According to the literature, such self-balancing provision is a self-verifying mechanism, enhancing the usefulness of accounting data and minimizing the probability of material misstatements in financial records (</w:t>
      </w:r>
      <w:proofErr w:type="spellStart"/>
      <w:r w:rsidRPr="00B5628D">
        <w:rPr>
          <w:rFonts w:ascii="Arial" w:hAnsi="Arial" w:cs="Arial"/>
          <w:color w:val="000000" w:themeColor="text1"/>
          <w:szCs w:val="24"/>
        </w:rPr>
        <w:t>Kieso</w:t>
      </w:r>
      <w:proofErr w:type="spellEnd"/>
      <w:r w:rsidRPr="00B5628D">
        <w:rPr>
          <w:rFonts w:ascii="Arial" w:hAnsi="Arial" w:cs="Arial"/>
          <w:color w:val="000000" w:themeColor="text1"/>
          <w:szCs w:val="24"/>
        </w:rPr>
        <w:t xml:space="preserve"> et al., 2021).</w:t>
      </w:r>
    </w:p>
    <w:p w14:paraId="05128B72" w14:textId="0A6E765A" w:rsidR="00680196" w:rsidRPr="00B5628D" w:rsidRDefault="00680196" w:rsidP="00680196">
      <w:pPr>
        <w:spacing w:line="480" w:lineRule="auto"/>
        <w:rPr>
          <w:rFonts w:ascii="Arial" w:eastAsiaTheme="majorEastAsia" w:hAnsi="Arial" w:cs="Arial"/>
          <w:b/>
          <w:bCs/>
          <w:color w:val="000000" w:themeColor="text1"/>
          <w:szCs w:val="24"/>
        </w:rPr>
      </w:pPr>
      <w:r w:rsidRPr="00B5628D">
        <w:rPr>
          <w:rFonts w:ascii="Arial" w:hAnsi="Arial" w:cs="Arial"/>
          <w:color w:val="000000" w:themeColor="text1"/>
          <w:szCs w:val="24"/>
        </w:rPr>
        <w:t>The results also indicate that the proper use of debits and credits is the key to the effective operations of the double-entry system. Research indicates that to record transactions properly, it is critical to comprehend the impacts of debits and credits to various types of accounts, including assets, liabilities, equity, revenues and expenses (Libby et al., 2017). The misclassification of debit and credit entries may alter financial statements giving wrong judgments regarding profitability and financial position. Thus, the literature underlines the significance of accounting knowledge and training in ensuring high quality of financial records.</w:t>
      </w:r>
    </w:p>
    <w:p w14:paraId="337C5082"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lastRenderedPageBreak/>
        <w:t>One more interesting result is associated with the value of the double-entry system in preparation of the balanced financial statements. The results of the bookkeeping on a double-entry basis are directly reflected in the balance sheet such that the assets always sum to the liabilities plus equity (Penman, 2013). Likewise, revenues and expenses which are registered using debit and credit entries will be included in income statement whereas entries involving cash details will be used to prepare cash flow statement. The results affirm that in the absence of the duplicate entry framework, there would be no way consistency and logical connection between the various financial statements would be maintained (Dechow and Dichev, 2002).</w:t>
      </w:r>
    </w:p>
    <w:p w14:paraId="432958A1"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 xml:space="preserve">The research also establishes that the double-entry system is essential in ensuring proper books of accounts as well as internal controls. The system enables the accountants and auditors to follow the financial events of the final financial statements to their source documents through the design of a detailed audit trail of every transaction. Literature indicates that this traceability increases accountability and enables proper auditing process, especially in big </w:t>
      </w:r>
      <w:proofErr w:type="gramStart"/>
      <w:r w:rsidRPr="00B5628D">
        <w:rPr>
          <w:rFonts w:ascii="Arial" w:hAnsi="Arial" w:cs="Arial"/>
          <w:color w:val="000000" w:themeColor="text1"/>
          <w:sz w:val="24"/>
          <w:szCs w:val="24"/>
        </w:rPr>
        <w:t>and also</w:t>
      </w:r>
      <w:proofErr w:type="gramEnd"/>
      <w:r w:rsidRPr="00B5628D">
        <w:rPr>
          <w:rFonts w:ascii="Arial" w:hAnsi="Arial" w:cs="Arial"/>
          <w:color w:val="000000" w:themeColor="text1"/>
          <w:sz w:val="24"/>
          <w:szCs w:val="24"/>
        </w:rPr>
        <w:t xml:space="preserve"> complex organisations (Bushman and Smith, 2001).</w:t>
      </w:r>
    </w:p>
    <w:p w14:paraId="2439E451"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Another important finding is that of fraud prevention. It is reported in the literature that the dual requirement during the entries complicates the fraudulent manipulation since changes on one account unauthorized are likely to cause an imbalance or inconsistency in other parts of the accounting system (Healy and Palepu, 2001). Although the double-entry system per se is not sufficient to prevent fraud, it offers a powerful framework of control, which contributes to the wider governance and risk control.</w:t>
      </w:r>
    </w:p>
    <w:p w14:paraId="5BF8CA5F"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lastRenderedPageBreak/>
        <w:t xml:space="preserve">Besides, the results also provide an insight into the practical utility of the double-entry system in </w:t>
      </w:r>
      <w:proofErr w:type="gramStart"/>
      <w:r w:rsidRPr="00B5628D">
        <w:rPr>
          <w:rFonts w:ascii="Arial" w:hAnsi="Arial" w:cs="Arial"/>
          <w:color w:val="000000" w:themeColor="text1"/>
          <w:sz w:val="24"/>
          <w:szCs w:val="24"/>
        </w:rPr>
        <w:t>a number of</w:t>
      </w:r>
      <w:proofErr w:type="gramEnd"/>
      <w:r w:rsidRPr="00B5628D">
        <w:rPr>
          <w:rFonts w:ascii="Arial" w:hAnsi="Arial" w:cs="Arial"/>
          <w:color w:val="000000" w:themeColor="text1"/>
          <w:sz w:val="24"/>
          <w:szCs w:val="24"/>
        </w:rPr>
        <w:t xml:space="preserve"> business settings. The examples of transactions explained in the literature (cash sales, loans on credit, payments to employees, loan repayments, etc.) show how the system always records both the origin and utilization of funds. Such uniformity enhances financial discipline and upholds accounting records with the actual economic effects of business practices (Romney and </w:t>
      </w:r>
      <w:proofErr w:type="spellStart"/>
      <w:r w:rsidRPr="00B5628D">
        <w:rPr>
          <w:rFonts w:ascii="Arial" w:hAnsi="Arial" w:cs="Arial"/>
          <w:color w:val="000000" w:themeColor="text1"/>
          <w:sz w:val="24"/>
          <w:szCs w:val="24"/>
        </w:rPr>
        <w:t>Steinbart</w:t>
      </w:r>
      <w:proofErr w:type="spellEnd"/>
      <w:r w:rsidRPr="00B5628D">
        <w:rPr>
          <w:rFonts w:ascii="Arial" w:hAnsi="Arial" w:cs="Arial"/>
          <w:color w:val="000000" w:themeColor="text1"/>
          <w:sz w:val="24"/>
          <w:szCs w:val="24"/>
        </w:rPr>
        <w:t>, 2021).</w:t>
      </w:r>
    </w:p>
    <w:p w14:paraId="01259F5A" w14:textId="21837DA5"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Altogether, the results prove that the double-entry system is something that cannot be ignored in the contemporary accounting. Its functionality of providing balanced records, aiding in the proper financial reporting, and internal control further justifies its relevancy in the traditional and computerized accounting setting.</w:t>
      </w:r>
    </w:p>
    <w:p w14:paraId="1B5EFD24" w14:textId="77777777" w:rsidR="00680196" w:rsidRPr="00B5628D" w:rsidRDefault="00680196" w:rsidP="00680196">
      <w:pPr>
        <w:pStyle w:val="Heading1"/>
        <w:spacing w:line="480" w:lineRule="auto"/>
        <w:rPr>
          <w:rFonts w:ascii="Arial" w:hAnsi="Arial" w:cs="Arial"/>
          <w:b/>
          <w:bCs/>
          <w:color w:val="000000" w:themeColor="text1"/>
          <w:sz w:val="24"/>
          <w:szCs w:val="24"/>
        </w:rPr>
      </w:pPr>
      <w:r w:rsidRPr="00B5628D">
        <w:rPr>
          <w:rFonts w:ascii="Arial" w:hAnsi="Arial" w:cs="Arial"/>
          <w:b/>
          <w:bCs/>
          <w:color w:val="000000" w:themeColor="text1"/>
          <w:sz w:val="24"/>
          <w:szCs w:val="24"/>
        </w:rPr>
        <w:t xml:space="preserve">Discussion </w:t>
      </w:r>
    </w:p>
    <w:p w14:paraId="2621FF75"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The results of this study point out the key position of the double-entry system in the process of providing accuracy, reliability and transparency in the financial reporting. As indicated throughout the literature, the demand of equality of entries of debits and credits generates a self-balancing process, which enhances accounting record integrity. This characteristic of the structure makes the possibility of undetected errors very low and contributes to the creation of trustworthy financial statements (Weygandt et al., 2020).</w:t>
      </w:r>
    </w:p>
    <w:p w14:paraId="01520562"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lastRenderedPageBreak/>
        <w:t xml:space="preserve">The discussion also highlights the relevance of using the rules of debit and credit properly in various types of accounts. Reported position and financial performance can be biased by misapplied standards and thus, a requirement of technical competence and professional judgment of accounting practice (Libby et al., 2017). The </w:t>
      </w:r>
      <w:proofErr w:type="spellStart"/>
      <w:r w:rsidRPr="00B5628D">
        <w:rPr>
          <w:rFonts w:ascii="Arial" w:hAnsi="Arial" w:cs="Arial"/>
          <w:color w:val="000000" w:themeColor="text1"/>
          <w:sz w:val="24"/>
          <w:szCs w:val="24"/>
        </w:rPr>
        <w:t>duplicacy</w:t>
      </w:r>
      <w:proofErr w:type="spellEnd"/>
      <w:r w:rsidRPr="00B5628D">
        <w:rPr>
          <w:rFonts w:ascii="Arial" w:hAnsi="Arial" w:cs="Arial"/>
          <w:color w:val="000000" w:themeColor="text1"/>
          <w:sz w:val="24"/>
          <w:szCs w:val="24"/>
        </w:rPr>
        <w:t xml:space="preserve"> of transactions, which is a mandatory characteristic of the double-entry system, helps to record the two impacts of the transactions and thus comparatively present the economic substance of the transactions as opposed to single cash transactions, which enhance the usefulness of decisions made by the stakeholders (Penman, 2013).</w:t>
      </w:r>
    </w:p>
    <w:p w14:paraId="42A54293"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 xml:space="preserve">The role of the double-entry system in internal control and fraud prevention is also another important issue that is discussed. Although the system itself cannot prevent fraudulent activities, the fact that the system has dual-recording requirement and audit trail makes it much easier to trace and hold people responsible (Bushman and Smith, 2001). This complicates unauthorized manipulation and facilitates good auditing and governance practices. The principles of the double-entry bookkeeping remain the basis of automated controls and error checks in modern computerized accounting settings (Romney &amp; </w:t>
      </w:r>
      <w:proofErr w:type="spellStart"/>
      <w:r w:rsidRPr="00B5628D">
        <w:rPr>
          <w:rFonts w:ascii="Arial" w:hAnsi="Arial" w:cs="Arial"/>
          <w:color w:val="000000" w:themeColor="text1"/>
          <w:sz w:val="24"/>
          <w:szCs w:val="24"/>
        </w:rPr>
        <w:t>Steinbart</w:t>
      </w:r>
      <w:proofErr w:type="spellEnd"/>
      <w:r w:rsidRPr="00B5628D">
        <w:rPr>
          <w:rFonts w:ascii="Arial" w:hAnsi="Arial" w:cs="Arial"/>
          <w:color w:val="000000" w:themeColor="text1"/>
          <w:sz w:val="24"/>
          <w:szCs w:val="24"/>
        </w:rPr>
        <w:t>, 2021).</w:t>
      </w:r>
    </w:p>
    <w:p w14:paraId="58F7EBEA" w14:textId="77777777" w:rsidR="00680196" w:rsidRPr="00B5628D" w:rsidRDefault="00680196" w:rsidP="00680196">
      <w:pPr>
        <w:pStyle w:val="Heading1"/>
        <w:spacing w:line="480" w:lineRule="auto"/>
        <w:rPr>
          <w:rFonts w:ascii="Arial" w:hAnsi="Arial" w:cs="Arial"/>
          <w:color w:val="000000" w:themeColor="text1"/>
          <w:sz w:val="24"/>
          <w:szCs w:val="24"/>
        </w:rPr>
      </w:pPr>
      <w:proofErr w:type="gramStart"/>
      <w:r w:rsidRPr="00B5628D">
        <w:rPr>
          <w:rFonts w:ascii="Arial" w:hAnsi="Arial" w:cs="Arial"/>
          <w:color w:val="000000" w:themeColor="text1"/>
          <w:sz w:val="24"/>
          <w:szCs w:val="24"/>
        </w:rPr>
        <w:t>On the whole</w:t>
      </w:r>
      <w:proofErr w:type="gramEnd"/>
      <w:r w:rsidRPr="00B5628D">
        <w:rPr>
          <w:rFonts w:ascii="Arial" w:hAnsi="Arial" w:cs="Arial"/>
          <w:color w:val="000000" w:themeColor="text1"/>
          <w:sz w:val="24"/>
          <w:szCs w:val="24"/>
        </w:rPr>
        <w:t xml:space="preserve">, the discussion has proven that the double-entry system is an important control system that forms the basis of reliable financial </w:t>
      </w:r>
      <w:proofErr w:type="gramStart"/>
      <w:r w:rsidRPr="00B5628D">
        <w:rPr>
          <w:rFonts w:ascii="Arial" w:hAnsi="Arial" w:cs="Arial"/>
          <w:color w:val="000000" w:themeColor="text1"/>
          <w:sz w:val="24"/>
          <w:szCs w:val="24"/>
        </w:rPr>
        <w:t>reporting, and</w:t>
      </w:r>
      <w:proofErr w:type="gramEnd"/>
      <w:r w:rsidRPr="00B5628D">
        <w:rPr>
          <w:rFonts w:ascii="Arial" w:hAnsi="Arial" w:cs="Arial"/>
          <w:color w:val="000000" w:themeColor="text1"/>
          <w:sz w:val="24"/>
          <w:szCs w:val="24"/>
        </w:rPr>
        <w:t xml:space="preserve"> contributes to informed economic decision making.</w:t>
      </w:r>
    </w:p>
    <w:p w14:paraId="3A2249EC" w14:textId="77777777" w:rsidR="00680196" w:rsidRPr="00B5628D" w:rsidRDefault="00680196" w:rsidP="00680196">
      <w:pPr>
        <w:pStyle w:val="Heading1"/>
        <w:spacing w:line="480" w:lineRule="auto"/>
        <w:rPr>
          <w:rFonts w:ascii="Arial" w:hAnsi="Arial" w:cs="Arial"/>
          <w:color w:val="000000" w:themeColor="text1"/>
          <w:sz w:val="24"/>
          <w:szCs w:val="24"/>
        </w:rPr>
      </w:pPr>
    </w:p>
    <w:p w14:paraId="30A547CA" w14:textId="77777777" w:rsidR="00680196" w:rsidRPr="00B5628D" w:rsidRDefault="00680196" w:rsidP="00680196">
      <w:pPr>
        <w:rPr>
          <w:rFonts w:ascii="Arial" w:hAnsi="Arial" w:cs="Arial"/>
        </w:rPr>
      </w:pPr>
    </w:p>
    <w:p w14:paraId="507ABB60" w14:textId="77777777" w:rsidR="00680196" w:rsidRPr="00B5628D" w:rsidRDefault="00680196" w:rsidP="00680196">
      <w:pPr>
        <w:pStyle w:val="Heading1"/>
        <w:spacing w:line="480" w:lineRule="auto"/>
        <w:rPr>
          <w:rFonts w:ascii="Arial" w:hAnsi="Arial" w:cs="Arial"/>
          <w:b/>
          <w:bCs/>
          <w:color w:val="000000" w:themeColor="text1"/>
          <w:sz w:val="24"/>
          <w:szCs w:val="24"/>
        </w:rPr>
      </w:pPr>
      <w:r w:rsidRPr="00B5628D">
        <w:rPr>
          <w:rFonts w:ascii="Arial" w:hAnsi="Arial" w:cs="Arial"/>
          <w:b/>
          <w:bCs/>
          <w:color w:val="000000" w:themeColor="text1"/>
          <w:sz w:val="24"/>
          <w:szCs w:val="24"/>
        </w:rPr>
        <w:lastRenderedPageBreak/>
        <w:t xml:space="preserve">Recommendations </w:t>
      </w:r>
    </w:p>
    <w:p w14:paraId="0F732726"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 xml:space="preserve">Due to the examination of the double-entry system and its effect on financial reporting, there are </w:t>
      </w:r>
      <w:proofErr w:type="gramStart"/>
      <w:r w:rsidRPr="00B5628D">
        <w:rPr>
          <w:rFonts w:ascii="Arial" w:hAnsi="Arial" w:cs="Arial"/>
          <w:color w:val="000000" w:themeColor="text1"/>
          <w:sz w:val="24"/>
          <w:szCs w:val="24"/>
        </w:rPr>
        <w:t>a number of</w:t>
      </w:r>
      <w:proofErr w:type="gramEnd"/>
      <w:r w:rsidRPr="00B5628D">
        <w:rPr>
          <w:rFonts w:ascii="Arial" w:hAnsi="Arial" w:cs="Arial"/>
          <w:color w:val="000000" w:themeColor="text1"/>
          <w:sz w:val="24"/>
          <w:szCs w:val="24"/>
        </w:rPr>
        <w:t xml:space="preserve"> recommendations which are put forward to enhance accounting practices and improve the quality of financial information which is used in organizations.</w:t>
      </w:r>
    </w:p>
    <w:p w14:paraId="6849BF3A" w14:textId="4FBFD6AA"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To begin with, the organizations must strengthen effective training on the principles of double-entry bookkeeping, especially on proper use of debits and credits of the various account categories. Mistakes in debiting credit classification may result in falsified financial reports as well as wrong decision making. Periodic training and refresher courses on accounting personnel will assist in maintaining accuracy and consistency in recording of transactions particularly where staff turnover is experienced or a system upgrade is taken.</w:t>
      </w:r>
    </w:p>
    <w:p w14:paraId="7039F1CE"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Second, the double-entry system should be incorporated within effective internal control systems by the businesses. Even though the double-entry system offers a self-balancing system, it is more effective when segregation of duties, authorization controls and regular reconciliations are used to complement the system. The management must make sure that there is a clear separation between the transaction recording capabilities, their approval and review capabilities to facilitate a minimal chance of errors and fraud. Internal audits should be carried out after some intervals to ensure that the ledger accounts are clean and that accounting standards are adhered to.</w:t>
      </w:r>
    </w:p>
    <w:p w14:paraId="79FE4E97"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lastRenderedPageBreak/>
        <w:t xml:space="preserve">Third, organizations are advised to take advantage of an accounting software that is well-founded on the principles of double-entry. Debit and credit entries are automated by modern computerized accounting systems and enterprise resource planning (ERP) providing enhanced efficiency by minimizing manual errors. The management should however make sure that the system settings are in line with accounting standards and that automated processes are frequently </w:t>
      </w:r>
      <w:proofErr w:type="gramStart"/>
      <w:r w:rsidRPr="00B5628D">
        <w:rPr>
          <w:rFonts w:ascii="Arial" w:hAnsi="Arial" w:cs="Arial"/>
          <w:color w:val="000000" w:themeColor="text1"/>
          <w:sz w:val="24"/>
          <w:szCs w:val="24"/>
        </w:rPr>
        <w:t>looked into</w:t>
      </w:r>
      <w:proofErr w:type="gramEnd"/>
      <w:r w:rsidRPr="00B5628D">
        <w:rPr>
          <w:rFonts w:ascii="Arial" w:hAnsi="Arial" w:cs="Arial"/>
          <w:color w:val="000000" w:themeColor="text1"/>
          <w:sz w:val="24"/>
          <w:szCs w:val="24"/>
        </w:rPr>
        <w:t xml:space="preserve"> </w:t>
      </w:r>
      <w:proofErr w:type="gramStart"/>
      <w:r w:rsidRPr="00B5628D">
        <w:rPr>
          <w:rFonts w:ascii="Arial" w:hAnsi="Arial" w:cs="Arial"/>
          <w:color w:val="000000" w:themeColor="text1"/>
          <w:sz w:val="24"/>
          <w:szCs w:val="24"/>
        </w:rPr>
        <w:t>so as to</w:t>
      </w:r>
      <w:proofErr w:type="gramEnd"/>
      <w:r w:rsidRPr="00B5628D">
        <w:rPr>
          <w:rFonts w:ascii="Arial" w:hAnsi="Arial" w:cs="Arial"/>
          <w:color w:val="000000" w:themeColor="text1"/>
          <w:sz w:val="24"/>
          <w:szCs w:val="24"/>
        </w:rPr>
        <w:t xml:space="preserve"> curb systemic errors.</w:t>
      </w:r>
    </w:p>
    <w:p w14:paraId="2C19E048"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Educationally and professionally, accounting schools ought to give more importance to conceptual knowledge as opposed to mechanical record keeping. The economic justification of the double-entry system, including the dual-aspect concept and its relationship with the accounting equation, can be taught to improve the analytical abilities and prepare students to operate in complex situations in the real world.</w:t>
      </w:r>
    </w:p>
    <w:p w14:paraId="77BDF382"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Lastly, regulatory and professional authorities ought to keep on encouraging best practices and ethics in bookkeeping and financial reporting. The relevance of the double-entry system in providing transparent, accurate and trustworthy financial reporting would further be supported by clear guidelines, professional codes of conduct, and continuous professional development requirements.</w:t>
      </w:r>
    </w:p>
    <w:p w14:paraId="00C67C6F" w14:textId="77777777" w:rsidR="00B5628D" w:rsidRPr="00B5628D" w:rsidRDefault="00B5628D" w:rsidP="00B5628D">
      <w:pPr>
        <w:rPr>
          <w:rFonts w:ascii="Arial" w:hAnsi="Arial" w:cs="Arial"/>
        </w:rPr>
      </w:pPr>
    </w:p>
    <w:p w14:paraId="795EC0EF" w14:textId="77777777" w:rsidR="00B5628D" w:rsidRPr="00B5628D" w:rsidRDefault="00B5628D" w:rsidP="00B5628D">
      <w:pPr>
        <w:rPr>
          <w:rFonts w:ascii="Arial" w:hAnsi="Arial" w:cs="Arial"/>
        </w:rPr>
      </w:pPr>
    </w:p>
    <w:p w14:paraId="4D33BBC3" w14:textId="77777777" w:rsidR="00680196" w:rsidRPr="00B5628D" w:rsidRDefault="00680196" w:rsidP="00680196">
      <w:pPr>
        <w:pStyle w:val="Heading1"/>
        <w:spacing w:line="480" w:lineRule="auto"/>
        <w:rPr>
          <w:rFonts w:ascii="Arial" w:hAnsi="Arial" w:cs="Arial"/>
          <w:b/>
          <w:bCs/>
          <w:color w:val="000000" w:themeColor="text1"/>
          <w:sz w:val="24"/>
          <w:szCs w:val="24"/>
        </w:rPr>
      </w:pPr>
      <w:r w:rsidRPr="00B5628D">
        <w:rPr>
          <w:rFonts w:ascii="Arial" w:hAnsi="Arial" w:cs="Arial"/>
          <w:b/>
          <w:bCs/>
          <w:color w:val="000000" w:themeColor="text1"/>
          <w:sz w:val="24"/>
          <w:szCs w:val="24"/>
        </w:rPr>
        <w:lastRenderedPageBreak/>
        <w:t xml:space="preserve">Conclusion </w:t>
      </w:r>
    </w:p>
    <w:p w14:paraId="54B6F34B" w14:textId="77777777" w:rsidR="00680196"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This assignment has discussed the double-entry system of accounting and how such impacts the accuracy and reliability of financial reporting. The evaluation shows that the dual-entry system is core to the contemporary accounting practice since it provides balance in accounting books by acknowledging each financial transaction twice. The system promotes the detection of errors, internal controls, and the strength of the financial statement credibility because of equality that is achieved between total debits and total credits.</w:t>
      </w:r>
    </w:p>
    <w:p w14:paraId="7F657A9E" w14:textId="09A05AB8" w:rsidR="00B75C48" w:rsidRPr="00B5628D" w:rsidRDefault="00680196" w:rsidP="00680196">
      <w:pPr>
        <w:pStyle w:val="Heading1"/>
        <w:spacing w:line="480" w:lineRule="auto"/>
        <w:rPr>
          <w:rFonts w:ascii="Arial" w:hAnsi="Arial" w:cs="Arial"/>
          <w:color w:val="000000" w:themeColor="text1"/>
          <w:sz w:val="24"/>
          <w:szCs w:val="24"/>
        </w:rPr>
      </w:pPr>
      <w:r w:rsidRPr="00B5628D">
        <w:rPr>
          <w:rFonts w:ascii="Arial" w:hAnsi="Arial" w:cs="Arial"/>
          <w:color w:val="000000" w:themeColor="text1"/>
          <w:sz w:val="24"/>
          <w:szCs w:val="24"/>
        </w:rPr>
        <w:t xml:space="preserve">The paper has validated that it is important to have the clear definition of debits and credits </w:t>
      </w:r>
      <w:proofErr w:type="gramStart"/>
      <w:r w:rsidRPr="00B5628D">
        <w:rPr>
          <w:rFonts w:ascii="Arial" w:hAnsi="Arial" w:cs="Arial"/>
          <w:color w:val="000000" w:themeColor="text1"/>
          <w:sz w:val="24"/>
          <w:szCs w:val="24"/>
        </w:rPr>
        <w:t>in order to</w:t>
      </w:r>
      <w:proofErr w:type="gramEnd"/>
      <w:r w:rsidRPr="00B5628D">
        <w:rPr>
          <w:rFonts w:ascii="Arial" w:hAnsi="Arial" w:cs="Arial"/>
          <w:color w:val="000000" w:themeColor="text1"/>
          <w:sz w:val="24"/>
          <w:szCs w:val="24"/>
        </w:rPr>
        <w:t xml:space="preserve"> have proper recording of the transactions </w:t>
      </w:r>
      <w:proofErr w:type="gramStart"/>
      <w:r w:rsidRPr="00B5628D">
        <w:rPr>
          <w:rFonts w:ascii="Arial" w:hAnsi="Arial" w:cs="Arial"/>
          <w:color w:val="000000" w:themeColor="text1"/>
          <w:sz w:val="24"/>
          <w:szCs w:val="24"/>
        </w:rPr>
        <w:t>and also</w:t>
      </w:r>
      <w:proofErr w:type="gramEnd"/>
      <w:r w:rsidRPr="00B5628D">
        <w:rPr>
          <w:rFonts w:ascii="Arial" w:hAnsi="Arial" w:cs="Arial"/>
          <w:color w:val="000000" w:themeColor="text1"/>
          <w:sz w:val="24"/>
          <w:szCs w:val="24"/>
        </w:rPr>
        <w:t xml:space="preserve"> </w:t>
      </w:r>
      <w:proofErr w:type="gramStart"/>
      <w:r w:rsidRPr="00B5628D">
        <w:rPr>
          <w:rFonts w:ascii="Arial" w:hAnsi="Arial" w:cs="Arial"/>
          <w:color w:val="000000" w:themeColor="text1"/>
          <w:sz w:val="24"/>
          <w:szCs w:val="24"/>
        </w:rPr>
        <w:t>in order to</w:t>
      </w:r>
      <w:proofErr w:type="gramEnd"/>
      <w:r w:rsidRPr="00B5628D">
        <w:rPr>
          <w:rFonts w:ascii="Arial" w:hAnsi="Arial" w:cs="Arial"/>
          <w:color w:val="000000" w:themeColor="text1"/>
          <w:sz w:val="24"/>
          <w:szCs w:val="24"/>
        </w:rPr>
        <w:t xml:space="preserve"> prepare balanced financial statements. The double-entry model is also very critical in fraud prevention as it provides a clear audit trail and enhances accountability in accounting systems. Although the accounting technology has advanced, the concepts of the double-entry bookkeeping method have not been </w:t>
      </w:r>
      <w:proofErr w:type="gramStart"/>
      <w:r w:rsidRPr="00B5628D">
        <w:rPr>
          <w:rFonts w:ascii="Arial" w:hAnsi="Arial" w:cs="Arial"/>
          <w:color w:val="000000" w:themeColor="text1"/>
          <w:sz w:val="24"/>
          <w:szCs w:val="24"/>
        </w:rPr>
        <w:t>eroded</w:t>
      </w:r>
      <w:proofErr w:type="gramEnd"/>
      <w:r w:rsidRPr="00B5628D">
        <w:rPr>
          <w:rFonts w:ascii="Arial" w:hAnsi="Arial" w:cs="Arial"/>
          <w:color w:val="000000" w:themeColor="text1"/>
          <w:sz w:val="24"/>
          <w:szCs w:val="24"/>
        </w:rPr>
        <w:t xml:space="preserve"> and they still form the basis of the computerized and automated accounting systems. Conclusively, the double-entry system is not simply a technical approach that records but an underlying mechanism which promotes transparency, accountability and informed decision making. The fact that it remains relevant shows the significance of good accounting knowledge and ethical practice in ensuring reliable financial reporting in modern business conditions.</w:t>
      </w:r>
    </w:p>
    <w:p w14:paraId="08CC05AA" w14:textId="77777777" w:rsidR="00680196" w:rsidRPr="00B5628D" w:rsidRDefault="00680196" w:rsidP="00680196">
      <w:pPr>
        <w:rPr>
          <w:rFonts w:ascii="Arial" w:hAnsi="Arial" w:cs="Arial"/>
        </w:rPr>
      </w:pPr>
    </w:p>
    <w:p w14:paraId="65D391D8" w14:textId="77777777" w:rsidR="00680196" w:rsidRPr="00B5628D" w:rsidRDefault="00680196" w:rsidP="00680196">
      <w:pPr>
        <w:rPr>
          <w:rFonts w:ascii="Arial" w:hAnsi="Arial" w:cs="Arial"/>
        </w:rPr>
      </w:pPr>
    </w:p>
    <w:p w14:paraId="0AA2D874" w14:textId="77777777" w:rsidR="00680196" w:rsidRPr="00B5628D" w:rsidRDefault="00680196" w:rsidP="00680196">
      <w:pPr>
        <w:rPr>
          <w:rFonts w:ascii="Arial" w:hAnsi="Arial" w:cs="Arial"/>
        </w:rPr>
      </w:pPr>
    </w:p>
    <w:p w14:paraId="27DFBF6F" w14:textId="77777777" w:rsidR="00680196" w:rsidRPr="00B5628D" w:rsidRDefault="00680196" w:rsidP="00680196">
      <w:pPr>
        <w:rPr>
          <w:rFonts w:ascii="Arial" w:hAnsi="Arial" w:cs="Arial"/>
        </w:rPr>
      </w:pPr>
    </w:p>
    <w:p w14:paraId="0881047A" w14:textId="26BEC3AD" w:rsidR="004D7D13" w:rsidRPr="00B5628D" w:rsidRDefault="004D7D13" w:rsidP="00B75C48">
      <w:pPr>
        <w:pStyle w:val="Heading1"/>
        <w:spacing w:line="480" w:lineRule="auto"/>
        <w:rPr>
          <w:rFonts w:ascii="Arial" w:hAnsi="Arial" w:cs="Arial"/>
          <w:b/>
          <w:bCs/>
          <w:color w:val="000000" w:themeColor="text1"/>
          <w:sz w:val="24"/>
          <w:szCs w:val="24"/>
        </w:rPr>
      </w:pPr>
      <w:r w:rsidRPr="00B5628D">
        <w:rPr>
          <w:rFonts w:ascii="Arial" w:hAnsi="Arial" w:cs="Arial"/>
          <w:b/>
          <w:bCs/>
          <w:color w:val="000000" w:themeColor="text1"/>
          <w:sz w:val="24"/>
          <w:szCs w:val="24"/>
        </w:rPr>
        <w:t>Reference List</w:t>
      </w:r>
      <w:bookmarkEnd w:id="2"/>
      <w:r w:rsidRPr="00B5628D">
        <w:rPr>
          <w:rFonts w:ascii="Arial" w:hAnsi="Arial" w:cs="Arial"/>
          <w:b/>
          <w:bCs/>
          <w:color w:val="000000" w:themeColor="text1"/>
          <w:sz w:val="24"/>
          <w:szCs w:val="24"/>
        </w:rPr>
        <w:t xml:space="preserve"> </w:t>
      </w:r>
    </w:p>
    <w:p w14:paraId="79DF9952"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Ball, R., Kothari, S. P., &amp; Robin, A. (2000). The effect of international institutional factors on properties of accounting earnings. </w:t>
      </w:r>
      <w:r w:rsidRPr="00B75C48">
        <w:rPr>
          <w:rFonts w:ascii="Arial" w:hAnsi="Arial" w:cs="Arial"/>
          <w:i/>
          <w:iCs/>
          <w:szCs w:val="24"/>
        </w:rPr>
        <w:t>Journal of Accounting and Economics, 29</w:t>
      </w:r>
      <w:r w:rsidRPr="00B75C48">
        <w:rPr>
          <w:rFonts w:ascii="Arial" w:hAnsi="Arial" w:cs="Arial"/>
          <w:szCs w:val="24"/>
        </w:rPr>
        <w:t>(1), 1–51. https://doi.org/10.1016/S0165-4101(00)00012-4</w:t>
      </w:r>
    </w:p>
    <w:p w14:paraId="1209D5EE"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Bushman, R. M., &amp; Smith, A. J. (2001). Financial accounting information and corporate governance. </w:t>
      </w:r>
      <w:r w:rsidRPr="00B75C48">
        <w:rPr>
          <w:rFonts w:ascii="Arial" w:hAnsi="Arial" w:cs="Arial"/>
          <w:i/>
          <w:iCs/>
          <w:szCs w:val="24"/>
        </w:rPr>
        <w:t>Journal of Accounting and Economics, 32</w:t>
      </w:r>
      <w:r w:rsidRPr="00B75C48">
        <w:rPr>
          <w:rFonts w:ascii="Arial" w:hAnsi="Arial" w:cs="Arial"/>
          <w:szCs w:val="24"/>
        </w:rPr>
        <w:t>(1–3), 237–333. https://doi.org/10.1016/S0165-4101(01)00027-1</w:t>
      </w:r>
    </w:p>
    <w:p w14:paraId="1E60B7BF"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Dechow, P. M., &amp; Dichev, I. D. (2002). The quality of accruals and earnings: The role of accrual estimation errors. </w:t>
      </w:r>
      <w:r w:rsidRPr="00B75C48">
        <w:rPr>
          <w:rFonts w:ascii="Arial" w:hAnsi="Arial" w:cs="Arial"/>
          <w:i/>
          <w:iCs/>
          <w:szCs w:val="24"/>
        </w:rPr>
        <w:t>The Accounting Review, 77</w:t>
      </w:r>
      <w:r w:rsidRPr="00B75C48">
        <w:rPr>
          <w:rFonts w:ascii="Arial" w:hAnsi="Arial" w:cs="Arial"/>
          <w:szCs w:val="24"/>
        </w:rPr>
        <w:t>(Supplement), 35–59. https://doi.org/10.2308/accr.2002.77.s-1.35</w:t>
      </w:r>
    </w:p>
    <w:p w14:paraId="7F75DB45"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Dechow, P. M., Ge, W., &amp; Schrand, C. (2010). Understanding earnings quality. </w:t>
      </w:r>
      <w:r w:rsidRPr="00B75C48">
        <w:rPr>
          <w:rFonts w:ascii="Arial" w:hAnsi="Arial" w:cs="Arial"/>
          <w:i/>
          <w:iCs/>
          <w:szCs w:val="24"/>
        </w:rPr>
        <w:t>Journal of Accounting and Economics, 50</w:t>
      </w:r>
      <w:r w:rsidRPr="00B75C48">
        <w:rPr>
          <w:rFonts w:ascii="Arial" w:hAnsi="Arial" w:cs="Arial"/>
          <w:szCs w:val="24"/>
        </w:rPr>
        <w:t>(2–3), 344–401. https://doi.org/10.1016/j.jacceco.2010.01.001</w:t>
      </w:r>
    </w:p>
    <w:p w14:paraId="6769F1CE"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Dichev, I. D., &amp; Tang, V. W. (2008). Matching and the changing properties of accounting earnings over time. </w:t>
      </w:r>
      <w:r w:rsidRPr="00B75C48">
        <w:rPr>
          <w:rFonts w:ascii="Arial" w:hAnsi="Arial" w:cs="Arial"/>
          <w:i/>
          <w:iCs/>
          <w:szCs w:val="24"/>
        </w:rPr>
        <w:t>Journal of Accounting Research, 46</w:t>
      </w:r>
      <w:r w:rsidRPr="00B75C48">
        <w:rPr>
          <w:rFonts w:ascii="Arial" w:hAnsi="Arial" w:cs="Arial"/>
          <w:szCs w:val="24"/>
        </w:rPr>
        <w:t>(5), 1421–1460. https://doi.org/10.1111/j.1475-679X.2008.00305.x</w:t>
      </w:r>
    </w:p>
    <w:p w14:paraId="666E62E5"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Donelson, D. C., Jennings, R., &amp; McInnis, J. (2011). Changes over time in the revenue–expense relation: Accounting or economics? </w:t>
      </w:r>
      <w:r w:rsidRPr="00B75C48">
        <w:rPr>
          <w:rFonts w:ascii="Arial" w:hAnsi="Arial" w:cs="Arial"/>
          <w:i/>
          <w:iCs/>
          <w:szCs w:val="24"/>
        </w:rPr>
        <w:t>The Accounting Review, 86</w:t>
      </w:r>
      <w:r w:rsidRPr="00B75C48">
        <w:rPr>
          <w:rFonts w:ascii="Arial" w:hAnsi="Arial" w:cs="Arial"/>
          <w:szCs w:val="24"/>
        </w:rPr>
        <w:t xml:space="preserve">(6), 2021–2047. </w:t>
      </w:r>
      <w:hyperlink r:id="rId7" w:tgtFrame="_new" w:history="1">
        <w:r w:rsidRPr="00B75C48">
          <w:rPr>
            <w:rStyle w:val="Hyperlink"/>
            <w:rFonts w:ascii="Arial" w:hAnsi="Arial" w:cs="Arial"/>
            <w:szCs w:val="24"/>
          </w:rPr>
          <w:t>https://doi.org/10.2308/accr-10102</w:t>
        </w:r>
      </w:hyperlink>
    </w:p>
    <w:p w14:paraId="33D4DD15" w14:textId="77777777" w:rsidR="00B75C48" w:rsidRPr="00B75C48" w:rsidRDefault="00B75C48" w:rsidP="00B75C48">
      <w:pPr>
        <w:spacing w:line="480" w:lineRule="auto"/>
        <w:rPr>
          <w:rFonts w:ascii="Arial" w:hAnsi="Arial" w:cs="Arial"/>
          <w:szCs w:val="24"/>
        </w:rPr>
      </w:pPr>
      <w:r w:rsidRPr="00B75C48">
        <w:rPr>
          <w:rFonts w:ascii="Arial" w:hAnsi="Arial" w:cs="Arial"/>
          <w:szCs w:val="24"/>
        </w:rPr>
        <w:lastRenderedPageBreak/>
        <w:t xml:space="preserve">Godfrey, J., Hodgson, A., Tarca, A., Hamilton, J., &amp; Holmes, S. (2010). </w:t>
      </w:r>
      <w:r w:rsidRPr="00B75C48">
        <w:rPr>
          <w:rFonts w:ascii="Arial" w:hAnsi="Arial" w:cs="Arial"/>
          <w:i/>
          <w:iCs/>
          <w:szCs w:val="24"/>
        </w:rPr>
        <w:t>Accounting theory</w:t>
      </w:r>
      <w:r w:rsidRPr="00B75C48">
        <w:rPr>
          <w:rFonts w:ascii="Arial" w:hAnsi="Arial" w:cs="Arial"/>
          <w:szCs w:val="24"/>
        </w:rPr>
        <w:t xml:space="preserve"> (7th ed.). Wiley.</w:t>
      </w:r>
    </w:p>
    <w:p w14:paraId="08324C11"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Healy, P. M., &amp; Palepu, K. G. (2001). Information asymmetry, corporate disclosure, and the capital markets. </w:t>
      </w:r>
      <w:r w:rsidRPr="00B75C48">
        <w:rPr>
          <w:rFonts w:ascii="Arial" w:hAnsi="Arial" w:cs="Arial"/>
          <w:i/>
          <w:iCs/>
          <w:szCs w:val="24"/>
        </w:rPr>
        <w:t>Journal of Accounting and Economics, 31</w:t>
      </w:r>
      <w:r w:rsidRPr="00B75C48">
        <w:rPr>
          <w:rFonts w:ascii="Arial" w:hAnsi="Arial" w:cs="Arial"/>
          <w:szCs w:val="24"/>
        </w:rPr>
        <w:t>(1–3), 405–440. https://doi.org/10.1016/S0165-4101(01)00018-0</w:t>
      </w:r>
    </w:p>
    <w:p w14:paraId="0C9CEF10"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Healy, P. M., &amp; Wahlen, J. M. (1999). A review of the earnings management literature and its implications for standard setting. </w:t>
      </w:r>
      <w:r w:rsidRPr="00B75C48">
        <w:rPr>
          <w:rFonts w:ascii="Arial" w:hAnsi="Arial" w:cs="Arial"/>
          <w:i/>
          <w:iCs/>
          <w:szCs w:val="24"/>
        </w:rPr>
        <w:t>Accounting Horizons, 13</w:t>
      </w:r>
      <w:r w:rsidRPr="00B75C48">
        <w:rPr>
          <w:rFonts w:ascii="Arial" w:hAnsi="Arial" w:cs="Arial"/>
          <w:szCs w:val="24"/>
        </w:rPr>
        <w:t>(4), 365–383. https://doi.org/10.2308/acch.1999.13.4.365</w:t>
      </w:r>
    </w:p>
    <w:p w14:paraId="7B8BE5D7" w14:textId="77777777" w:rsidR="00B75C48" w:rsidRPr="00B75C48" w:rsidRDefault="00B75C48" w:rsidP="00B75C48">
      <w:pPr>
        <w:spacing w:line="480" w:lineRule="auto"/>
        <w:rPr>
          <w:rFonts w:ascii="Arial" w:hAnsi="Arial" w:cs="Arial"/>
          <w:szCs w:val="24"/>
        </w:rPr>
      </w:pPr>
      <w:proofErr w:type="spellStart"/>
      <w:r w:rsidRPr="00B75C48">
        <w:rPr>
          <w:rFonts w:ascii="Arial" w:hAnsi="Arial" w:cs="Arial"/>
          <w:szCs w:val="24"/>
        </w:rPr>
        <w:t>Kieso</w:t>
      </w:r>
      <w:proofErr w:type="spellEnd"/>
      <w:r w:rsidRPr="00B75C48">
        <w:rPr>
          <w:rFonts w:ascii="Arial" w:hAnsi="Arial" w:cs="Arial"/>
          <w:szCs w:val="24"/>
        </w:rPr>
        <w:t xml:space="preserve">, D. E., Weygandt, J. J., &amp; Warfield, T. D. (2021). </w:t>
      </w:r>
      <w:r w:rsidRPr="00B75C48">
        <w:rPr>
          <w:rFonts w:ascii="Arial" w:hAnsi="Arial" w:cs="Arial"/>
          <w:i/>
          <w:iCs/>
          <w:szCs w:val="24"/>
        </w:rPr>
        <w:t>Intermediate accounting</w:t>
      </w:r>
      <w:r w:rsidRPr="00B75C48">
        <w:rPr>
          <w:rFonts w:ascii="Arial" w:hAnsi="Arial" w:cs="Arial"/>
          <w:szCs w:val="24"/>
        </w:rPr>
        <w:t xml:space="preserve"> (17th ed.). Wiley.</w:t>
      </w:r>
    </w:p>
    <w:p w14:paraId="40FD6FAD"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Kothari, S. P., Leone, A. J., &amp; Wasley, C. E. (2005). Performance matched discretionary accrual measures. </w:t>
      </w:r>
      <w:r w:rsidRPr="00B75C48">
        <w:rPr>
          <w:rFonts w:ascii="Arial" w:hAnsi="Arial" w:cs="Arial"/>
          <w:i/>
          <w:iCs/>
          <w:szCs w:val="24"/>
        </w:rPr>
        <w:t>Journal of Accounting and Economics, 39</w:t>
      </w:r>
      <w:r w:rsidRPr="00B75C48">
        <w:rPr>
          <w:rFonts w:ascii="Arial" w:hAnsi="Arial" w:cs="Arial"/>
          <w:szCs w:val="24"/>
        </w:rPr>
        <w:t xml:space="preserve">(1), 163–197. </w:t>
      </w:r>
      <w:hyperlink r:id="rId8" w:tgtFrame="_new" w:history="1">
        <w:r w:rsidRPr="00B75C48">
          <w:rPr>
            <w:rStyle w:val="Hyperlink"/>
            <w:rFonts w:ascii="Arial" w:hAnsi="Arial" w:cs="Arial"/>
            <w:szCs w:val="24"/>
          </w:rPr>
          <w:t>https://doi.org/10.1016/j.jacceco.2004.11.002</w:t>
        </w:r>
      </w:hyperlink>
    </w:p>
    <w:p w14:paraId="55B22261"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Libby, R., Libby, P. A., &amp; Short, D. G. (2017). </w:t>
      </w:r>
      <w:r w:rsidRPr="00B75C48">
        <w:rPr>
          <w:rFonts w:ascii="Arial" w:hAnsi="Arial" w:cs="Arial"/>
          <w:i/>
          <w:iCs/>
          <w:szCs w:val="24"/>
        </w:rPr>
        <w:t>Financial accounting</w:t>
      </w:r>
      <w:r w:rsidRPr="00B75C48">
        <w:rPr>
          <w:rFonts w:ascii="Arial" w:hAnsi="Arial" w:cs="Arial"/>
          <w:szCs w:val="24"/>
        </w:rPr>
        <w:t xml:space="preserve"> (9th ed.). McGraw-Hill Education.</w:t>
      </w:r>
    </w:p>
    <w:p w14:paraId="2DDDB79C"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Littleton, A. C. (1966). </w:t>
      </w:r>
      <w:r w:rsidRPr="00B75C48">
        <w:rPr>
          <w:rFonts w:ascii="Arial" w:hAnsi="Arial" w:cs="Arial"/>
          <w:i/>
          <w:iCs/>
          <w:szCs w:val="24"/>
        </w:rPr>
        <w:t>Accounting evolution to 1900</w:t>
      </w:r>
      <w:r w:rsidRPr="00B75C48">
        <w:rPr>
          <w:rFonts w:ascii="Arial" w:hAnsi="Arial" w:cs="Arial"/>
          <w:szCs w:val="24"/>
        </w:rPr>
        <w:t>. Russell &amp; Russell.</w:t>
      </w:r>
    </w:p>
    <w:p w14:paraId="2DD9A361"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Penman, S. H. (2013). </w:t>
      </w:r>
      <w:r w:rsidRPr="00B75C48">
        <w:rPr>
          <w:rFonts w:ascii="Arial" w:hAnsi="Arial" w:cs="Arial"/>
          <w:i/>
          <w:iCs/>
          <w:szCs w:val="24"/>
        </w:rPr>
        <w:t>Financial statement analysis and security valuation</w:t>
      </w:r>
      <w:r w:rsidRPr="00B75C48">
        <w:rPr>
          <w:rFonts w:ascii="Arial" w:hAnsi="Arial" w:cs="Arial"/>
          <w:szCs w:val="24"/>
        </w:rPr>
        <w:t xml:space="preserve"> (5th ed.). McGraw-Hill Education.</w:t>
      </w:r>
    </w:p>
    <w:p w14:paraId="115D9390"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Penman, S. H., &amp; Yehuda, N. (2016). A matter of principle: Accounting reports convey both cash-flow news and discount-rate news. </w:t>
      </w:r>
      <w:r w:rsidRPr="00B75C48">
        <w:rPr>
          <w:rFonts w:ascii="Arial" w:hAnsi="Arial" w:cs="Arial"/>
          <w:i/>
          <w:iCs/>
          <w:szCs w:val="24"/>
        </w:rPr>
        <w:t>Journal of Accounting, Auditing &amp; Finance, 31</w:t>
      </w:r>
      <w:r w:rsidRPr="00B75C48">
        <w:rPr>
          <w:rFonts w:ascii="Arial" w:hAnsi="Arial" w:cs="Arial"/>
          <w:szCs w:val="24"/>
        </w:rPr>
        <w:t>(1), 5–39. https://doi.org/10.1177/0148558X15576293</w:t>
      </w:r>
    </w:p>
    <w:p w14:paraId="4DF2AE30" w14:textId="77777777" w:rsidR="00B75C48" w:rsidRPr="00B75C48" w:rsidRDefault="00B75C48" w:rsidP="00B75C48">
      <w:pPr>
        <w:spacing w:line="480" w:lineRule="auto"/>
        <w:rPr>
          <w:rFonts w:ascii="Arial" w:hAnsi="Arial" w:cs="Arial"/>
          <w:szCs w:val="24"/>
        </w:rPr>
      </w:pPr>
      <w:r w:rsidRPr="00B75C48">
        <w:rPr>
          <w:rFonts w:ascii="Arial" w:hAnsi="Arial" w:cs="Arial"/>
          <w:szCs w:val="24"/>
        </w:rPr>
        <w:lastRenderedPageBreak/>
        <w:t xml:space="preserve">Romney, M. B., &amp; </w:t>
      </w:r>
      <w:proofErr w:type="spellStart"/>
      <w:r w:rsidRPr="00B75C48">
        <w:rPr>
          <w:rFonts w:ascii="Arial" w:hAnsi="Arial" w:cs="Arial"/>
          <w:szCs w:val="24"/>
        </w:rPr>
        <w:t>Steinbart</w:t>
      </w:r>
      <w:proofErr w:type="spellEnd"/>
      <w:r w:rsidRPr="00B75C48">
        <w:rPr>
          <w:rFonts w:ascii="Arial" w:hAnsi="Arial" w:cs="Arial"/>
          <w:szCs w:val="24"/>
        </w:rPr>
        <w:t xml:space="preserve">, P. J. (2021). </w:t>
      </w:r>
      <w:r w:rsidRPr="00B75C48">
        <w:rPr>
          <w:rFonts w:ascii="Arial" w:hAnsi="Arial" w:cs="Arial"/>
          <w:i/>
          <w:iCs/>
          <w:szCs w:val="24"/>
        </w:rPr>
        <w:t>Accounting information systems</w:t>
      </w:r>
      <w:r w:rsidRPr="00B75C48">
        <w:rPr>
          <w:rFonts w:ascii="Arial" w:hAnsi="Arial" w:cs="Arial"/>
          <w:szCs w:val="24"/>
        </w:rPr>
        <w:t xml:space="preserve"> (15th ed.). Pearson Education.</w:t>
      </w:r>
    </w:p>
    <w:p w14:paraId="72114E16"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Scott, W. R. (2015). </w:t>
      </w:r>
      <w:r w:rsidRPr="00B75C48">
        <w:rPr>
          <w:rFonts w:ascii="Arial" w:hAnsi="Arial" w:cs="Arial"/>
          <w:i/>
          <w:iCs/>
          <w:szCs w:val="24"/>
        </w:rPr>
        <w:t>Financial accounting theory</w:t>
      </w:r>
      <w:r w:rsidRPr="00B75C48">
        <w:rPr>
          <w:rFonts w:ascii="Arial" w:hAnsi="Arial" w:cs="Arial"/>
          <w:szCs w:val="24"/>
        </w:rPr>
        <w:t xml:space="preserve"> (7th ed.). Pearson Education.</w:t>
      </w:r>
    </w:p>
    <w:p w14:paraId="1CED9C5A" w14:textId="77777777" w:rsidR="00B75C48" w:rsidRPr="00B75C48" w:rsidRDefault="00B75C48" w:rsidP="00B75C48">
      <w:pPr>
        <w:spacing w:line="480" w:lineRule="auto"/>
        <w:rPr>
          <w:rFonts w:ascii="Arial" w:hAnsi="Arial" w:cs="Arial"/>
          <w:szCs w:val="24"/>
        </w:rPr>
      </w:pPr>
      <w:proofErr w:type="spellStart"/>
      <w:r w:rsidRPr="00B75C48">
        <w:rPr>
          <w:rFonts w:ascii="Arial" w:hAnsi="Arial" w:cs="Arial"/>
          <w:szCs w:val="24"/>
        </w:rPr>
        <w:t>Tranfield</w:t>
      </w:r>
      <w:proofErr w:type="spellEnd"/>
      <w:r w:rsidRPr="00B75C48">
        <w:rPr>
          <w:rFonts w:ascii="Arial" w:hAnsi="Arial" w:cs="Arial"/>
          <w:szCs w:val="24"/>
        </w:rPr>
        <w:t xml:space="preserve">, D., Denyer, D., &amp; Smart, P. (2003). Towards a methodology for developing evidence-informed management knowledge. </w:t>
      </w:r>
      <w:r w:rsidRPr="00B75C48">
        <w:rPr>
          <w:rFonts w:ascii="Arial" w:hAnsi="Arial" w:cs="Arial"/>
          <w:i/>
          <w:iCs/>
          <w:szCs w:val="24"/>
        </w:rPr>
        <w:t>British Journal of Management, 14</w:t>
      </w:r>
      <w:r w:rsidRPr="00B75C48">
        <w:rPr>
          <w:rFonts w:ascii="Arial" w:hAnsi="Arial" w:cs="Arial"/>
          <w:szCs w:val="24"/>
        </w:rPr>
        <w:t xml:space="preserve">(3), 207–222. </w:t>
      </w:r>
      <w:hyperlink r:id="rId9" w:tgtFrame="_new" w:history="1">
        <w:r w:rsidRPr="00B75C48">
          <w:rPr>
            <w:rStyle w:val="Hyperlink"/>
            <w:rFonts w:ascii="Arial" w:hAnsi="Arial" w:cs="Arial"/>
            <w:szCs w:val="24"/>
          </w:rPr>
          <w:t>https://doi.org/10.1111/1467-8551.00375</w:t>
        </w:r>
      </w:hyperlink>
    </w:p>
    <w:p w14:paraId="6293F3FF"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Weygandt, J. J., Kimmel, P. D., &amp; </w:t>
      </w:r>
      <w:proofErr w:type="spellStart"/>
      <w:r w:rsidRPr="00B75C48">
        <w:rPr>
          <w:rFonts w:ascii="Arial" w:hAnsi="Arial" w:cs="Arial"/>
          <w:szCs w:val="24"/>
        </w:rPr>
        <w:t>Kieso</w:t>
      </w:r>
      <w:proofErr w:type="spellEnd"/>
      <w:r w:rsidRPr="00B75C48">
        <w:rPr>
          <w:rFonts w:ascii="Arial" w:hAnsi="Arial" w:cs="Arial"/>
          <w:szCs w:val="24"/>
        </w:rPr>
        <w:t xml:space="preserve">, D. E. (2020). </w:t>
      </w:r>
      <w:r w:rsidRPr="00B75C48">
        <w:rPr>
          <w:rFonts w:ascii="Arial" w:hAnsi="Arial" w:cs="Arial"/>
          <w:i/>
          <w:iCs/>
          <w:szCs w:val="24"/>
        </w:rPr>
        <w:t>Financial accounting</w:t>
      </w:r>
      <w:r w:rsidRPr="00B75C48">
        <w:rPr>
          <w:rFonts w:ascii="Arial" w:hAnsi="Arial" w:cs="Arial"/>
          <w:szCs w:val="24"/>
        </w:rPr>
        <w:t xml:space="preserve"> (11th ed.). Wiley.</w:t>
      </w:r>
    </w:p>
    <w:p w14:paraId="61046C87" w14:textId="77777777" w:rsidR="00B75C48" w:rsidRPr="00B75C48" w:rsidRDefault="00B75C48" w:rsidP="00B75C48">
      <w:pPr>
        <w:spacing w:line="480" w:lineRule="auto"/>
        <w:rPr>
          <w:rFonts w:ascii="Arial" w:hAnsi="Arial" w:cs="Arial"/>
          <w:szCs w:val="24"/>
        </w:rPr>
      </w:pPr>
      <w:r w:rsidRPr="00B75C48">
        <w:rPr>
          <w:rFonts w:ascii="Arial" w:hAnsi="Arial" w:cs="Arial"/>
          <w:szCs w:val="24"/>
        </w:rPr>
        <w:t xml:space="preserve">Yamey, B. S. (2004). Pacioli’s double-entry bookkeeping: A critique. </w:t>
      </w:r>
      <w:r w:rsidRPr="00B75C48">
        <w:rPr>
          <w:rFonts w:ascii="Arial" w:hAnsi="Arial" w:cs="Arial"/>
          <w:i/>
          <w:iCs/>
          <w:szCs w:val="24"/>
        </w:rPr>
        <w:t>Accounting, Business &amp; Financial History, 14</w:t>
      </w:r>
      <w:r w:rsidRPr="00B75C48">
        <w:rPr>
          <w:rFonts w:ascii="Arial" w:hAnsi="Arial" w:cs="Arial"/>
          <w:szCs w:val="24"/>
        </w:rPr>
        <w:t>(3), 203–213. https://doi.org/10.1080/0958520042000254720</w:t>
      </w:r>
    </w:p>
    <w:p w14:paraId="18D123F1" w14:textId="631CC128" w:rsidR="00F11085" w:rsidRPr="00B5628D" w:rsidRDefault="00F11085" w:rsidP="00B75C48">
      <w:pPr>
        <w:spacing w:line="480" w:lineRule="auto"/>
        <w:rPr>
          <w:rFonts w:ascii="Arial" w:hAnsi="Arial" w:cs="Arial"/>
          <w:szCs w:val="24"/>
        </w:rPr>
      </w:pPr>
    </w:p>
    <w:sectPr w:rsidR="00F11085" w:rsidRPr="00B562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15A1F"/>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308D"/>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0F92"/>
    <w:rsid w:val="002A2917"/>
    <w:rsid w:val="002B2DB8"/>
    <w:rsid w:val="002C2D47"/>
    <w:rsid w:val="002E27AE"/>
    <w:rsid w:val="002F73F5"/>
    <w:rsid w:val="00333E43"/>
    <w:rsid w:val="003448DA"/>
    <w:rsid w:val="00391380"/>
    <w:rsid w:val="00394C39"/>
    <w:rsid w:val="003A36C3"/>
    <w:rsid w:val="003A4FAA"/>
    <w:rsid w:val="003F1846"/>
    <w:rsid w:val="003F74BD"/>
    <w:rsid w:val="00416524"/>
    <w:rsid w:val="00426EA7"/>
    <w:rsid w:val="00460892"/>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74F58"/>
    <w:rsid w:val="005809E5"/>
    <w:rsid w:val="00582227"/>
    <w:rsid w:val="00590BBC"/>
    <w:rsid w:val="005B2DFD"/>
    <w:rsid w:val="005C1B21"/>
    <w:rsid w:val="005E61DA"/>
    <w:rsid w:val="005F14BD"/>
    <w:rsid w:val="005F6715"/>
    <w:rsid w:val="00607C62"/>
    <w:rsid w:val="00615398"/>
    <w:rsid w:val="00626634"/>
    <w:rsid w:val="00654B4B"/>
    <w:rsid w:val="006640E0"/>
    <w:rsid w:val="006748AB"/>
    <w:rsid w:val="00680196"/>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8D6C97"/>
    <w:rsid w:val="008E6DDF"/>
    <w:rsid w:val="00913F7C"/>
    <w:rsid w:val="0092274C"/>
    <w:rsid w:val="0095171B"/>
    <w:rsid w:val="009541AC"/>
    <w:rsid w:val="00977987"/>
    <w:rsid w:val="00986017"/>
    <w:rsid w:val="00986E2A"/>
    <w:rsid w:val="00992283"/>
    <w:rsid w:val="00994CD0"/>
    <w:rsid w:val="009B07D1"/>
    <w:rsid w:val="009B19DE"/>
    <w:rsid w:val="009C318E"/>
    <w:rsid w:val="009D1398"/>
    <w:rsid w:val="009E4B24"/>
    <w:rsid w:val="00A22E5D"/>
    <w:rsid w:val="00A3483D"/>
    <w:rsid w:val="00A433D7"/>
    <w:rsid w:val="00A4564B"/>
    <w:rsid w:val="00A54EF6"/>
    <w:rsid w:val="00A57950"/>
    <w:rsid w:val="00A607D6"/>
    <w:rsid w:val="00A76B20"/>
    <w:rsid w:val="00A81491"/>
    <w:rsid w:val="00AD05F9"/>
    <w:rsid w:val="00AE0E85"/>
    <w:rsid w:val="00AF2CB5"/>
    <w:rsid w:val="00B02610"/>
    <w:rsid w:val="00B06124"/>
    <w:rsid w:val="00B425D9"/>
    <w:rsid w:val="00B46F0C"/>
    <w:rsid w:val="00B5628D"/>
    <w:rsid w:val="00B6174C"/>
    <w:rsid w:val="00B75C48"/>
    <w:rsid w:val="00B77EDE"/>
    <w:rsid w:val="00B81268"/>
    <w:rsid w:val="00BC7259"/>
    <w:rsid w:val="00BD3C56"/>
    <w:rsid w:val="00BD4725"/>
    <w:rsid w:val="00BF0D10"/>
    <w:rsid w:val="00BF1936"/>
    <w:rsid w:val="00C03804"/>
    <w:rsid w:val="00C150CB"/>
    <w:rsid w:val="00C1597C"/>
    <w:rsid w:val="00C30977"/>
    <w:rsid w:val="00C82410"/>
    <w:rsid w:val="00C92743"/>
    <w:rsid w:val="00C9376C"/>
    <w:rsid w:val="00CA0B43"/>
    <w:rsid w:val="00CC17BF"/>
    <w:rsid w:val="00CD11B7"/>
    <w:rsid w:val="00CF61B3"/>
    <w:rsid w:val="00D1330E"/>
    <w:rsid w:val="00D33052"/>
    <w:rsid w:val="00D424BE"/>
    <w:rsid w:val="00D56161"/>
    <w:rsid w:val="00D67892"/>
    <w:rsid w:val="00D70A27"/>
    <w:rsid w:val="00D74358"/>
    <w:rsid w:val="00D74A74"/>
    <w:rsid w:val="00D76B0C"/>
    <w:rsid w:val="00DA381A"/>
    <w:rsid w:val="00DB459B"/>
    <w:rsid w:val="00DB6C49"/>
    <w:rsid w:val="00DD2AB5"/>
    <w:rsid w:val="00DD48B2"/>
    <w:rsid w:val="00DD4BFF"/>
    <w:rsid w:val="00DD6D54"/>
    <w:rsid w:val="00DF3FD0"/>
    <w:rsid w:val="00E023CB"/>
    <w:rsid w:val="00E031DE"/>
    <w:rsid w:val="00E0339E"/>
    <w:rsid w:val="00E134A6"/>
    <w:rsid w:val="00E47DA5"/>
    <w:rsid w:val="00E569FC"/>
    <w:rsid w:val="00E76C83"/>
    <w:rsid w:val="00E83A4B"/>
    <w:rsid w:val="00EA02D0"/>
    <w:rsid w:val="00EB37A9"/>
    <w:rsid w:val="00EC38DE"/>
    <w:rsid w:val="00ED1841"/>
    <w:rsid w:val="00ED21E5"/>
    <w:rsid w:val="00EE7BF4"/>
    <w:rsid w:val="00EF3999"/>
    <w:rsid w:val="00F11085"/>
    <w:rsid w:val="00F20A8A"/>
    <w:rsid w:val="00F248C8"/>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cceco.2004.11.002" TargetMode="External"/><Relationship Id="rId3" Type="http://schemas.openxmlformats.org/officeDocument/2006/relationships/styles" Target="styles.xml"/><Relationship Id="rId7" Type="http://schemas.openxmlformats.org/officeDocument/2006/relationships/hyperlink" Target="https://doi.org/10.2308/accr-101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4776</Words>
  <Characters>27228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2</cp:revision>
  <dcterms:created xsi:type="dcterms:W3CDTF">2026-02-06T07:31:00Z</dcterms:created>
  <dcterms:modified xsi:type="dcterms:W3CDTF">2026-02-06T07:31:00Z</dcterms:modified>
</cp:coreProperties>
</file>