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2007A"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42007A" w:rsidRDefault="004A1F6F" w:rsidP="00592DBF">
      <w:pPr>
        <w:spacing w:line="360" w:lineRule="auto"/>
        <w:rPr>
          <w:rFonts w:ascii="Times New Roman" w:hAnsi="Times New Roman" w:cs="Times New Roman"/>
          <w:color w:val="000000" w:themeColor="text1"/>
          <w:szCs w:val="24"/>
          <w:lang w:val="en-US"/>
        </w:rPr>
      </w:pPr>
      <w:r w:rsidRPr="0042007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2007A"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2007A"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2007A"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42007A" w:rsidRDefault="00523564" w:rsidP="00592DBF">
      <w:pPr>
        <w:spacing w:line="360" w:lineRule="auto"/>
        <w:jc w:val="center"/>
        <w:rPr>
          <w:rFonts w:ascii="Times New Roman" w:hAnsi="Times New Roman" w:cs="Times New Roman"/>
          <w:b/>
          <w:bCs/>
          <w:color w:val="000000" w:themeColor="text1"/>
          <w:szCs w:val="24"/>
        </w:rPr>
      </w:pPr>
      <w:r w:rsidRPr="0042007A">
        <w:rPr>
          <w:rFonts w:ascii="Times New Roman" w:hAnsi="Times New Roman" w:cs="Times New Roman"/>
          <w:b/>
          <w:bCs/>
          <w:color w:val="000000" w:themeColor="text1"/>
          <w:szCs w:val="24"/>
        </w:rPr>
        <w:t>Bachelors</w:t>
      </w:r>
      <w:r w:rsidR="00F72ED2" w:rsidRPr="0042007A">
        <w:rPr>
          <w:rFonts w:ascii="Times New Roman" w:hAnsi="Times New Roman" w:cs="Times New Roman"/>
          <w:b/>
          <w:bCs/>
          <w:color w:val="000000" w:themeColor="text1"/>
          <w:szCs w:val="24"/>
        </w:rPr>
        <w:t xml:space="preserve"> in Tourism and Recreation</w:t>
      </w:r>
    </w:p>
    <w:p w14:paraId="30DFAA0F" w14:textId="77777777" w:rsidR="0042007A" w:rsidRDefault="0042007A" w:rsidP="00592DBF">
      <w:pPr>
        <w:spacing w:line="360" w:lineRule="auto"/>
        <w:jc w:val="center"/>
        <w:rPr>
          <w:rFonts w:ascii="Times New Roman" w:hAnsi="Times New Roman" w:cs="Times New Roman"/>
          <w:b/>
          <w:bCs/>
          <w:color w:val="000000" w:themeColor="text1"/>
          <w:szCs w:val="24"/>
        </w:rPr>
      </w:pPr>
      <w:r w:rsidRPr="0042007A">
        <w:rPr>
          <w:rFonts w:ascii="Times New Roman" w:hAnsi="Times New Roman" w:cs="Times New Roman"/>
          <w:b/>
          <w:bCs/>
          <w:color w:val="000000" w:themeColor="text1"/>
          <w:szCs w:val="24"/>
        </w:rPr>
        <w:t xml:space="preserve">Planning &amp; Management of Sustainable Tourism Spaces Assignment </w:t>
      </w:r>
    </w:p>
    <w:p w14:paraId="1EA74B89" w14:textId="4BAB5168" w:rsidR="00CC17BF" w:rsidRPr="0042007A"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42007A">
        <w:rPr>
          <w:rFonts w:ascii="Times New Roman" w:hAnsi="Times New Roman" w:cs="Times New Roman"/>
          <w:color w:val="000000" w:themeColor="text1"/>
          <w:szCs w:val="24"/>
        </w:rPr>
        <w:t xml:space="preserve">Submitted </w:t>
      </w:r>
      <w:r w:rsidR="00B8435D" w:rsidRPr="0042007A">
        <w:rPr>
          <w:rFonts w:ascii="Times New Roman" w:hAnsi="Times New Roman" w:cs="Times New Roman"/>
          <w:color w:val="000000" w:themeColor="text1"/>
          <w:szCs w:val="24"/>
        </w:rPr>
        <w:t>by:</w:t>
      </w:r>
      <w:r w:rsidRPr="0042007A">
        <w:rPr>
          <w:rFonts w:ascii="Times New Roman" w:hAnsi="Times New Roman" w:cs="Times New Roman"/>
          <w:color w:val="000000" w:themeColor="text1"/>
          <w:szCs w:val="24"/>
        </w:rPr>
        <w:t xml:space="preserve"> </w:t>
      </w:r>
      <w:r w:rsidR="00630FA7" w:rsidRPr="0025518F">
        <w:rPr>
          <w:rFonts w:ascii="Times New Roman" w:hAnsi="Times New Roman" w:cs="Times New Roman"/>
          <w:b/>
          <w:bCs/>
          <w:color w:val="000000" w:themeColor="text1"/>
          <w:szCs w:val="24"/>
        </w:rPr>
        <w:t>Harwinder Singh</w:t>
      </w:r>
    </w:p>
    <w:p w14:paraId="002C6970" w14:textId="16F1DB03" w:rsidR="00372955" w:rsidRPr="0042007A" w:rsidRDefault="00951523" w:rsidP="00592DBF">
      <w:pPr>
        <w:spacing w:line="360" w:lineRule="auto"/>
        <w:rPr>
          <w:rFonts w:ascii="Times New Roman" w:hAnsi="Times New Roman" w:cs="Times New Roman"/>
          <w:b/>
          <w:bCs/>
          <w:color w:val="000000" w:themeColor="text1"/>
          <w:szCs w:val="24"/>
        </w:rPr>
      </w:pPr>
      <w:r w:rsidRPr="0042007A">
        <w:rPr>
          <w:rFonts w:ascii="Times New Roman" w:hAnsi="Times New Roman" w:cs="Times New Roman"/>
          <w:b/>
          <w:bCs/>
          <w:color w:val="000000" w:themeColor="text1"/>
          <w:szCs w:val="24"/>
        </w:rPr>
        <w:t xml:space="preserve">Option </w:t>
      </w:r>
      <w:r w:rsidR="003A6798" w:rsidRPr="0042007A">
        <w:rPr>
          <w:rFonts w:ascii="Times New Roman" w:hAnsi="Times New Roman" w:cs="Times New Roman"/>
          <w:b/>
          <w:bCs/>
          <w:color w:val="000000" w:themeColor="text1"/>
          <w:szCs w:val="24"/>
        </w:rPr>
        <w:t>3:</w:t>
      </w:r>
      <w:r w:rsidR="00F10114" w:rsidRPr="0042007A">
        <w:rPr>
          <w:rFonts w:ascii="Times New Roman" w:hAnsi="Times New Roman" w:cs="Times New Roman"/>
          <w:szCs w:val="24"/>
        </w:rPr>
        <w:t xml:space="preserve"> </w:t>
      </w:r>
      <w:r w:rsidR="009745D8" w:rsidRPr="0042007A">
        <w:rPr>
          <w:rFonts w:ascii="Times New Roman" w:hAnsi="Times New Roman" w:cs="Times New Roman"/>
          <w:b/>
          <w:bCs/>
          <w:color w:val="000000" w:themeColor="text1"/>
          <w:szCs w:val="24"/>
        </w:rPr>
        <w:t>Destination Management and Sustainable Tourism Planning for Christmas and the New Year</w:t>
      </w:r>
    </w:p>
    <w:p w14:paraId="50BE5CED" w14:textId="77777777" w:rsidR="00D40CED" w:rsidRPr="0042007A" w:rsidRDefault="00D40CED" w:rsidP="00D40CED">
      <w:pPr>
        <w:spacing w:line="360" w:lineRule="auto"/>
        <w:rPr>
          <w:rFonts w:ascii="Times New Roman" w:hAnsi="Times New Roman" w:cs="Times New Roman"/>
          <w:b/>
          <w:bCs/>
          <w:color w:val="000000" w:themeColor="text1"/>
          <w:szCs w:val="24"/>
        </w:rPr>
      </w:pPr>
      <w:bookmarkStart w:id="0" w:name="_Toc216766358"/>
    </w:p>
    <w:p w14:paraId="1C3E0F83"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3470FC8F"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28FEB1A4"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4BB201C1"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42D71670"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42007A" w:rsidRDefault="00921E93" w:rsidP="00D40CED">
      <w:pPr>
        <w:spacing w:line="360" w:lineRule="auto"/>
        <w:rPr>
          <w:rStyle w:val="Heading1Char"/>
          <w:rFonts w:ascii="Times New Roman" w:hAnsi="Times New Roman" w:cs="Times New Roman"/>
          <w:b/>
          <w:bCs/>
          <w:color w:val="000000" w:themeColor="text1"/>
          <w:sz w:val="24"/>
          <w:szCs w:val="24"/>
        </w:rPr>
      </w:pPr>
    </w:p>
    <w:p w14:paraId="00838A8C" w14:textId="77777777" w:rsidR="009745D8" w:rsidRPr="0042007A" w:rsidRDefault="00D33052" w:rsidP="009745D8">
      <w:pPr>
        <w:spacing w:line="360" w:lineRule="auto"/>
        <w:rPr>
          <w:rFonts w:ascii="Times New Roman" w:hAnsi="Times New Roman" w:cs="Times New Roman"/>
          <w:color w:val="000000" w:themeColor="text1"/>
          <w:szCs w:val="24"/>
        </w:rPr>
      </w:pPr>
      <w:r w:rsidRPr="0042007A">
        <w:rPr>
          <w:rStyle w:val="Heading1Char"/>
          <w:rFonts w:ascii="Times New Roman" w:hAnsi="Times New Roman" w:cs="Times New Roman"/>
          <w:b/>
          <w:bCs/>
          <w:color w:val="000000" w:themeColor="text1"/>
          <w:sz w:val="24"/>
          <w:szCs w:val="24"/>
        </w:rPr>
        <w:lastRenderedPageBreak/>
        <w:t>Abstract</w:t>
      </w:r>
      <w:bookmarkEnd w:id="0"/>
      <w:r w:rsidRPr="0042007A">
        <w:rPr>
          <w:rFonts w:ascii="Times New Roman" w:hAnsi="Times New Roman" w:cs="Times New Roman"/>
          <w:color w:val="000000" w:themeColor="text1"/>
          <w:szCs w:val="24"/>
        </w:rPr>
        <w:br/>
      </w:r>
      <w:r w:rsidR="009745D8" w:rsidRPr="0042007A">
        <w:rPr>
          <w:rFonts w:ascii="Times New Roman" w:hAnsi="Times New Roman" w:cs="Times New Roman"/>
          <w:color w:val="000000" w:themeColor="text1"/>
          <w:szCs w:val="24"/>
        </w:rPr>
        <w:t>The Christmas and New Year period represents one of the most intensive peak seasons for global tourism destinations, characterised by increased visitor flows, large-scale events, and heightened pressure on environmental, social, and infrastructural systems. While festive tourism generates significant economic benefits, it also intensifies challenges related to overcrowding, environmental degradation, resource consumption, and community well-being. This study examines destination management and sustainable tourism planning during the Christmas and New Year period, focusing on how destinations prepare for the seasonal surge while integrating sustainability principles into planning and governance processes.</w:t>
      </w:r>
    </w:p>
    <w:p w14:paraId="5166BBCE" w14:textId="77777777" w:rsidR="009745D8" w:rsidRPr="009745D8" w:rsidRDefault="009745D8" w:rsidP="009745D8">
      <w:pPr>
        <w:spacing w:line="360" w:lineRule="auto"/>
        <w:rPr>
          <w:rFonts w:ascii="Times New Roman" w:hAnsi="Times New Roman" w:cs="Times New Roman"/>
          <w:color w:val="000000" w:themeColor="text1"/>
          <w:szCs w:val="24"/>
        </w:rPr>
      </w:pPr>
      <w:r w:rsidRPr="009745D8">
        <w:rPr>
          <w:rFonts w:ascii="Times New Roman" w:hAnsi="Times New Roman" w:cs="Times New Roman"/>
          <w:color w:val="000000" w:themeColor="text1"/>
          <w:szCs w:val="24"/>
        </w:rPr>
        <w:t>Using a qualitative secondary research approach, this study analyses academic literature, policy frameworks, and destination management practices to explore strategies used to balance visitor experience with sustainability goals during festive periods. Key areas of analysis include visitor flow management, sustainable transport planning, environmental protection measures, stakeholder collaboration, and community engagement. The findings highlight that proactive and integrated destination planning enables destinations to mitigate negative impacts while maintaining high-quality visitor experiences during peak seasons.</w:t>
      </w:r>
    </w:p>
    <w:p w14:paraId="6D3FA859" w14:textId="77777777" w:rsidR="009745D8" w:rsidRPr="009745D8" w:rsidRDefault="009745D8" w:rsidP="009745D8">
      <w:pPr>
        <w:spacing w:line="360" w:lineRule="auto"/>
        <w:rPr>
          <w:rFonts w:ascii="Times New Roman" w:hAnsi="Times New Roman" w:cs="Times New Roman"/>
          <w:color w:val="000000" w:themeColor="text1"/>
          <w:szCs w:val="24"/>
        </w:rPr>
      </w:pPr>
      <w:r w:rsidRPr="009745D8">
        <w:rPr>
          <w:rFonts w:ascii="Times New Roman" w:hAnsi="Times New Roman" w:cs="Times New Roman"/>
          <w:color w:val="000000" w:themeColor="text1"/>
          <w:szCs w:val="24"/>
        </w:rPr>
        <w:t>The study further identifies the critical role of destination management organisations (DMOs) in coordinating public and private stakeholders to align short-term festive activities with long-term sustainability objectives. By embedding sustainability into event planning and destination governance, destinations can enhance resilience, protect local communities, and preserve environmental and cultural assets. This research contributes to a deeper understanding of sustainable destination management during peak festive periods and offers insights for policymakers and destination managers seeking to promote responsible tourism growth during Christmas and the New Year.</w:t>
      </w:r>
    </w:p>
    <w:p w14:paraId="01E88086" w14:textId="3E2A53D2" w:rsidR="00F10114" w:rsidRPr="0042007A" w:rsidRDefault="00F10114" w:rsidP="009745D8">
      <w:pPr>
        <w:spacing w:line="360" w:lineRule="auto"/>
        <w:rPr>
          <w:rFonts w:ascii="Times New Roman" w:hAnsi="Times New Roman" w:cs="Times New Roman"/>
          <w:szCs w:val="24"/>
          <w:lang w:val="en-US" w:bidi="ar-SA"/>
        </w:rPr>
      </w:pPr>
    </w:p>
    <w:p w14:paraId="7D2F3B4B" w14:textId="77777777" w:rsidR="009745D8" w:rsidRPr="0042007A" w:rsidRDefault="009745D8" w:rsidP="009745D8">
      <w:pPr>
        <w:spacing w:line="360" w:lineRule="auto"/>
        <w:rPr>
          <w:rFonts w:ascii="Times New Roman" w:hAnsi="Times New Roman" w:cs="Times New Roman"/>
          <w:szCs w:val="24"/>
          <w:lang w:val="en-US" w:bidi="ar-SA"/>
        </w:rPr>
      </w:pPr>
    </w:p>
    <w:p w14:paraId="38E691CD" w14:textId="77777777" w:rsidR="009745D8" w:rsidRPr="0042007A"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2007A" w:rsidRDefault="004D7D13"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Contents</w:t>
          </w:r>
        </w:p>
        <w:p w14:paraId="1DFDE9E3" w14:textId="3C653531" w:rsidR="00496E55" w:rsidRPr="0042007A"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2007A">
            <w:rPr>
              <w:rFonts w:ascii="Times New Roman" w:hAnsi="Times New Roman"/>
              <w:color w:val="000000" w:themeColor="text1"/>
              <w:sz w:val="24"/>
              <w:szCs w:val="24"/>
            </w:rPr>
            <w:lastRenderedPageBreak/>
            <w:fldChar w:fldCharType="begin"/>
          </w:r>
          <w:r w:rsidRPr="0042007A">
            <w:rPr>
              <w:rFonts w:ascii="Times New Roman" w:hAnsi="Times New Roman"/>
              <w:color w:val="000000" w:themeColor="text1"/>
              <w:sz w:val="24"/>
              <w:szCs w:val="24"/>
            </w:rPr>
            <w:instrText xml:space="preserve"> TOC \o "1-3" \h \z \u </w:instrText>
          </w:r>
          <w:r w:rsidRPr="0042007A">
            <w:rPr>
              <w:rFonts w:ascii="Times New Roman" w:hAnsi="Times New Roman"/>
              <w:color w:val="000000" w:themeColor="text1"/>
              <w:sz w:val="24"/>
              <w:szCs w:val="24"/>
            </w:rPr>
            <w:fldChar w:fldCharType="separate"/>
          </w:r>
          <w:hyperlink w:anchor="_Toc216766358" w:history="1">
            <w:r w:rsidR="00496E55" w:rsidRPr="0042007A">
              <w:rPr>
                <w:rStyle w:val="Hyperlink"/>
                <w:rFonts w:ascii="Times New Roman" w:hAnsi="Times New Roman"/>
                <w:noProof/>
                <w:sz w:val="24"/>
                <w:szCs w:val="24"/>
              </w:rPr>
              <w:t>Abstract</w:t>
            </w:r>
            <w:r w:rsidR="00496E55" w:rsidRPr="0042007A">
              <w:rPr>
                <w:rFonts w:ascii="Times New Roman" w:hAnsi="Times New Roman"/>
                <w:noProof/>
                <w:webHidden/>
                <w:sz w:val="24"/>
                <w:szCs w:val="24"/>
              </w:rPr>
              <w:tab/>
            </w:r>
            <w:r w:rsidR="00496E55" w:rsidRPr="0042007A">
              <w:rPr>
                <w:rFonts w:ascii="Times New Roman" w:hAnsi="Times New Roman"/>
                <w:noProof/>
                <w:webHidden/>
                <w:sz w:val="24"/>
                <w:szCs w:val="24"/>
              </w:rPr>
              <w:fldChar w:fldCharType="begin"/>
            </w:r>
            <w:r w:rsidR="00496E55" w:rsidRPr="0042007A">
              <w:rPr>
                <w:rFonts w:ascii="Times New Roman" w:hAnsi="Times New Roman"/>
                <w:noProof/>
                <w:webHidden/>
                <w:sz w:val="24"/>
                <w:szCs w:val="24"/>
              </w:rPr>
              <w:instrText xml:space="preserve"> PAGEREF _Toc216766358 \h </w:instrText>
            </w:r>
            <w:r w:rsidR="00496E55" w:rsidRPr="0042007A">
              <w:rPr>
                <w:rFonts w:ascii="Times New Roman" w:hAnsi="Times New Roman"/>
                <w:noProof/>
                <w:webHidden/>
                <w:sz w:val="24"/>
                <w:szCs w:val="24"/>
              </w:rPr>
            </w:r>
            <w:r w:rsidR="00496E55" w:rsidRPr="0042007A">
              <w:rPr>
                <w:rFonts w:ascii="Times New Roman" w:hAnsi="Times New Roman"/>
                <w:noProof/>
                <w:webHidden/>
                <w:sz w:val="24"/>
                <w:szCs w:val="24"/>
              </w:rPr>
              <w:fldChar w:fldCharType="separate"/>
            </w:r>
            <w:r w:rsidR="00496E55" w:rsidRPr="0042007A">
              <w:rPr>
                <w:rFonts w:ascii="Times New Roman" w:hAnsi="Times New Roman"/>
                <w:noProof/>
                <w:webHidden/>
                <w:sz w:val="24"/>
                <w:szCs w:val="24"/>
              </w:rPr>
              <w:t>2</w:t>
            </w:r>
            <w:r w:rsidR="00496E55" w:rsidRPr="0042007A">
              <w:rPr>
                <w:rFonts w:ascii="Times New Roman" w:hAnsi="Times New Roman"/>
                <w:noProof/>
                <w:webHidden/>
                <w:sz w:val="24"/>
                <w:szCs w:val="24"/>
              </w:rPr>
              <w:fldChar w:fldCharType="end"/>
            </w:r>
          </w:hyperlink>
        </w:p>
        <w:p w14:paraId="31027465" w14:textId="1D592646"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2007A">
              <w:rPr>
                <w:rStyle w:val="Hyperlink"/>
                <w:rFonts w:ascii="Times New Roman" w:hAnsi="Times New Roman"/>
                <w:noProof/>
                <w:sz w:val="24"/>
                <w:szCs w:val="24"/>
              </w:rPr>
              <w:t>1.Introduction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_Toc216766359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4</w:t>
            </w:r>
            <w:r w:rsidRPr="0042007A">
              <w:rPr>
                <w:rFonts w:ascii="Times New Roman" w:hAnsi="Times New Roman"/>
                <w:noProof/>
                <w:webHidden/>
                <w:sz w:val="24"/>
                <w:szCs w:val="24"/>
              </w:rPr>
              <w:fldChar w:fldCharType="end"/>
            </w:r>
          </w:hyperlink>
        </w:p>
        <w:p w14:paraId="463812BE" w14:textId="1A69D4B7"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2007A">
              <w:rPr>
                <w:rStyle w:val="Hyperlink"/>
                <w:rFonts w:ascii="Times New Roman" w:hAnsi="Times New Roman"/>
                <w:noProof/>
                <w:sz w:val="24"/>
                <w:szCs w:val="24"/>
              </w:rPr>
              <w:t>2. Literature Review</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_Toc216766360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6</w:t>
            </w:r>
            <w:r w:rsidRPr="0042007A">
              <w:rPr>
                <w:rFonts w:ascii="Times New Roman" w:hAnsi="Times New Roman"/>
                <w:noProof/>
                <w:webHidden/>
                <w:sz w:val="24"/>
                <w:szCs w:val="24"/>
              </w:rPr>
              <w:fldChar w:fldCharType="end"/>
            </w:r>
          </w:hyperlink>
        </w:p>
        <w:p w14:paraId="7033EADF" w14:textId="77D20FDA"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2007A">
              <w:rPr>
                <w:rStyle w:val="Hyperlink"/>
                <w:rFonts w:ascii="Times New Roman" w:hAnsi="Times New Roman"/>
                <w:noProof/>
                <w:sz w:val="24"/>
                <w:szCs w:val="24"/>
              </w:rPr>
              <w:t>3 Methodology</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_Toc216766361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11</w:t>
            </w:r>
            <w:r w:rsidRPr="0042007A">
              <w:rPr>
                <w:rFonts w:ascii="Times New Roman" w:hAnsi="Times New Roman"/>
                <w:noProof/>
                <w:webHidden/>
                <w:sz w:val="24"/>
                <w:szCs w:val="24"/>
              </w:rPr>
              <w:fldChar w:fldCharType="end"/>
            </w:r>
          </w:hyperlink>
        </w:p>
        <w:p w14:paraId="12C663C7" w14:textId="19A07D0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2007A">
              <w:rPr>
                <w:rStyle w:val="Hyperlink"/>
                <w:rFonts w:ascii="Times New Roman" w:hAnsi="Times New Roman"/>
                <w:noProof/>
                <w:sz w:val="24"/>
                <w:szCs w:val="24"/>
              </w:rPr>
              <w:t>4 Finding</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_Toc216766362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13</w:t>
            </w:r>
            <w:r w:rsidRPr="0042007A">
              <w:rPr>
                <w:rFonts w:ascii="Times New Roman" w:hAnsi="Times New Roman"/>
                <w:noProof/>
                <w:webHidden/>
                <w:sz w:val="24"/>
                <w:szCs w:val="24"/>
              </w:rPr>
              <w:fldChar w:fldCharType="end"/>
            </w:r>
          </w:hyperlink>
        </w:p>
        <w:p w14:paraId="5FEE7905" w14:textId="7D49E72F"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2007A">
              <w:rPr>
                <w:rStyle w:val="Hyperlink"/>
                <w:rFonts w:ascii="Times New Roman" w:hAnsi="Times New Roman"/>
                <w:noProof/>
                <w:sz w:val="24"/>
                <w:szCs w:val="24"/>
              </w:rPr>
              <w:t>5. Discussion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_Toc216766363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17</w:t>
            </w:r>
            <w:r w:rsidRPr="0042007A">
              <w:rPr>
                <w:rFonts w:ascii="Times New Roman" w:hAnsi="Times New Roman"/>
                <w:noProof/>
                <w:webHidden/>
                <w:sz w:val="24"/>
                <w:szCs w:val="24"/>
              </w:rPr>
              <w:fldChar w:fldCharType="end"/>
            </w:r>
          </w:hyperlink>
        </w:p>
        <w:p w14:paraId="5AA5A9B4" w14:textId="310EC4E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2007A">
              <w:rPr>
                <w:rStyle w:val="Hyperlink"/>
                <w:rFonts w:ascii="Times New Roman" w:hAnsi="Times New Roman"/>
                <w:noProof/>
                <w:sz w:val="24"/>
                <w:szCs w:val="24"/>
              </w:rPr>
              <w:t>7. Recommendation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_Toc216766364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20</w:t>
            </w:r>
            <w:r w:rsidRPr="0042007A">
              <w:rPr>
                <w:rFonts w:ascii="Times New Roman" w:hAnsi="Times New Roman"/>
                <w:noProof/>
                <w:webHidden/>
                <w:sz w:val="24"/>
                <w:szCs w:val="24"/>
              </w:rPr>
              <w:fldChar w:fldCharType="end"/>
            </w:r>
          </w:hyperlink>
        </w:p>
        <w:p w14:paraId="206C4605" w14:textId="4DEE379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2007A">
              <w:rPr>
                <w:rStyle w:val="Hyperlink"/>
                <w:rFonts w:ascii="Times New Roman" w:hAnsi="Times New Roman"/>
                <w:noProof/>
                <w:sz w:val="24"/>
                <w:szCs w:val="24"/>
              </w:rPr>
              <w:t>8. Conclusion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_Toc216766365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22</w:t>
            </w:r>
            <w:r w:rsidRPr="0042007A">
              <w:rPr>
                <w:rFonts w:ascii="Times New Roman" w:hAnsi="Times New Roman"/>
                <w:noProof/>
                <w:webHidden/>
                <w:sz w:val="24"/>
                <w:szCs w:val="24"/>
              </w:rPr>
              <w:fldChar w:fldCharType="end"/>
            </w:r>
          </w:hyperlink>
        </w:p>
        <w:p w14:paraId="74C6E94E" w14:textId="756ED05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2007A">
              <w:rPr>
                <w:rStyle w:val="Hyperlink"/>
                <w:rFonts w:ascii="Times New Roman" w:hAnsi="Times New Roman"/>
                <w:noProof/>
                <w:sz w:val="24"/>
                <w:szCs w:val="24"/>
              </w:rPr>
              <w:t>Reference List</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_Toc216766366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24</w:t>
            </w:r>
            <w:r w:rsidRPr="0042007A">
              <w:rPr>
                <w:rFonts w:ascii="Times New Roman" w:hAnsi="Times New Roman"/>
                <w:noProof/>
                <w:webHidden/>
                <w:sz w:val="24"/>
                <w:szCs w:val="24"/>
              </w:rPr>
              <w:fldChar w:fldCharType="end"/>
            </w:r>
          </w:hyperlink>
        </w:p>
        <w:p w14:paraId="646EF9D8" w14:textId="0DF15E15" w:rsidR="004D7D13" w:rsidRPr="0042007A" w:rsidRDefault="004D7D13"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noProof/>
              <w:color w:val="000000" w:themeColor="text1"/>
              <w:szCs w:val="24"/>
            </w:rPr>
            <w:fldChar w:fldCharType="end"/>
          </w:r>
        </w:p>
      </w:sdtContent>
    </w:sdt>
    <w:p w14:paraId="1EDA022C" w14:textId="77777777" w:rsidR="004D7D13" w:rsidRPr="0042007A" w:rsidRDefault="004D7D13" w:rsidP="00592DBF">
      <w:pPr>
        <w:spacing w:line="360" w:lineRule="auto"/>
        <w:rPr>
          <w:rFonts w:ascii="Times New Roman" w:hAnsi="Times New Roman" w:cs="Times New Roman"/>
          <w:color w:val="000000" w:themeColor="text1"/>
          <w:szCs w:val="24"/>
        </w:rPr>
      </w:pPr>
    </w:p>
    <w:p w14:paraId="19B15F5F" w14:textId="77777777" w:rsidR="0095171B" w:rsidRPr="0042007A" w:rsidRDefault="0095171B" w:rsidP="00592DBF">
      <w:pPr>
        <w:spacing w:line="360" w:lineRule="auto"/>
        <w:rPr>
          <w:rFonts w:ascii="Times New Roman" w:hAnsi="Times New Roman" w:cs="Times New Roman"/>
          <w:color w:val="000000" w:themeColor="text1"/>
          <w:szCs w:val="24"/>
        </w:rPr>
      </w:pPr>
    </w:p>
    <w:p w14:paraId="73636B03" w14:textId="77777777" w:rsidR="0095171B" w:rsidRPr="0042007A" w:rsidRDefault="0095171B"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br w:type="page"/>
      </w:r>
    </w:p>
    <w:p w14:paraId="6481512E" w14:textId="072866A3" w:rsidR="0086710E" w:rsidRPr="0042007A" w:rsidRDefault="002B0CE3" w:rsidP="00592DBF">
      <w:pPr>
        <w:spacing w:line="360" w:lineRule="auto"/>
        <w:rPr>
          <w:rFonts w:ascii="Times New Roman" w:hAnsi="Times New Roman" w:cs="Times New Roman"/>
          <w:b/>
          <w:bCs/>
          <w:color w:val="000000" w:themeColor="text1"/>
          <w:szCs w:val="24"/>
        </w:rPr>
      </w:pPr>
      <w:bookmarkStart w:id="1" w:name="_Toc216766359"/>
      <w:r w:rsidRPr="0042007A">
        <w:rPr>
          <w:rStyle w:val="Heading1Char"/>
          <w:rFonts w:ascii="Times New Roman" w:hAnsi="Times New Roman" w:cs="Times New Roman"/>
          <w:b/>
          <w:bCs/>
          <w:color w:val="000000" w:themeColor="text1"/>
          <w:sz w:val="24"/>
          <w:szCs w:val="24"/>
        </w:rPr>
        <w:lastRenderedPageBreak/>
        <w:t>1</w:t>
      </w:r>
      <w:r w:rsidR="004D7D13" w:rsidRPr="0042007A">
        <w:rPr>
          <w:rStyle w:val="Heading1Char"/>
          <w:rFonts w:ascii="Times New Roman" w:hAnsi="Times New Roman" w:cs="Times New Roman"/>
          <w:b/>
          <w:bCs/>
          <w:color w:val="000000" w:themeColor="text1"/>
          <w:sz w:val="24"/>
          <w:szCs w:val="24"/>
        </w:rPr>
        <w:t>.</w:t>
      </w:r>
      <w:r w:rsidR="0095171B" w:rsidRPr="0042007A">
        <w:rPr>
          <w:rStyle w:val="Heading1Char"/>
          <w:rFonts w:ascii="Times New Roman" w:hAnsi="Times New Roman" w:cs="Times New Roman"/>
          <w:b/>
          <w:bCs/>
          <w:color w:val="000000" w:themeColor="text1"/>
          <w:sz w:val="24"/>
          <w:szCs w:val="24"/>
        </w:rPr>
        <w:t>Introduction</w:t>
      </w:r>
      <w:bookmarkEnd w:id="1"/>
      <w:r w:rsidR="0095171B" w:rsidRPr="0042007A">
        <w:rPr>
          <w:rStyle w:val="Heading1Char"/>
          <w:rFonts w:ascii="Times New Roman" w:hAnsi="Times New Roman" w:cs="Times New Roman"/>
          <w:b/>
          <w:bCs/>
          <w:color w:val="000000" w:themeColor="text1"/>
          <w:sz w:val="24"/>
          <w:szCs w:val="24"/>
        </w:rPr>
        <w:t xml:space="preserve"> </w:t>
      </w:r>
    </w:p>
    <w:p w14:paraId="1376881D" w14:textId="77777777" w:rsidR="00934189" w:rsidRPr="00934189" w:rsidRDefault="00934189" w:rsidP="00934189">
      <w:pPr>
        <w:spacing w:line="360" w:lineRule="auto"/>
        <w:rPr>
          <w:rFonts w:ascii="Times New Roman" w:hAnsi="Times New Roman" w:cs="Times New Roman"/>
          <w:color w:val="000000" w:themeColor="text1"/>
          <w:szCs w:val="24"/>
        </w:rPr>
      </w:pPr>
      <w:bookmarkStart w:id="2" w:name="_Toc216766360"/>
      <w:r w:rsidRPr="00934189">
        <w:rPr>
          <w:rFonts w:ascii="Times New Roman" w:hAnsi="Times New Roman" w:cs="Times New Roman"/>
          <w:color w:val="000000" w:themeColor="text1"/>
          <w:szCs w:val="24"/>
        </w:rPr>
        <w:t>The Christmas and New Year period is widely recognised as one of the most significant peak seasons in the global tourism calendar. Destinations across the world experience substantial increases in visitor numbers as tourists travel for leisure, cultural celebrations, winter festivals, and family gatherings. While this festive period brings considerable economic benefits, including increased tourism revenue and employment opportunities, it also places intense pressure on destination infrastructure, natural resources, and local communities. As a result, effective destination management and sustainable tourism planning have become critical priorities during the Christmas and New Year season.</w:t>
      </w:r>
    </w:p>
    <w:p w14:paraId="4550768F"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Destination management refers to the coordinated management of all elements that comprise a tourism destination, including attractions, services, infrastructure, stakeholders, and the host community. During peak festive periods, destination management organisations (DMOs) play a central role in planning and coordinating tourism activities to ensure that visitor demand is met without compromising environmental integrity or social sustainability. Sustainable tourism planning, in this context, seeks to balance economic growth with environmental protection and socio-cultural preservation to support long-term destination viability.</w:t>
      </w:r>
    </w:p>
    <w:p w14:paraId="3AE1245E"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The Christmas and New Year rush presents unique challenges for destinations. Increased visitor volumes often lead to overcrowding in popular areas, congestion in transport networks, excessive waste generation, higher energy and water consumption, and disruptions to residents’ daily lives. Iconic events such as Christmas markets, New Year celebrations, and winter festivals can amplify these pressures if not carefully managed. Research suggests that destinations failing to plan effectively for peak seasons risk long-term environmental damage, declining visitor satisfaction, and growing community resistance to tourism development.</w:t>
      </w:r>
    </w:p>
    <w:p w14:paraId="6A3CEA82"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Sustainable tourism planning emphasises proactive and integrated approaches to managing tourism growth. During festive periods, this includes strategies such as visitor flow management, spatial and temporal dispersion of events, sustainable transport solutions, and the implementation of environmental management practices. Community engagement and stakeholder collaboration are also essential, as residents and local businesses are directly affected by the impacts of peak tourism. Involving stakeholders in planning processes enhances social acceptance and supports the equitable distribution of tourism benefits.</w:t>
      </w:r>
    </w:p>
    <w:p w14:paraId="3DFD7E8E"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lastRenderedPageBreak/>
        <w:t>Importantly, visitor experience and sustainability objectives are increasingly recognised as interconnected rather than conflicting. Overcrowding, pollution, and poor infrastructure management negatively affect visitor satisfaction, while well-planned, sustainable destinations offer cleaner environments, smoother mobility, and more enjoyable experiences. Therefore, effective destination planning during Christmas and New Year can simultaneously enhance visitor experience and sustainability outcomes.</w:t>
      </w:r>
    </w:p>
    <w:p w14:paraId="40ECD4B1"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The purpose of this report is to analyse how tourism destinations prepare for the Christmas and New Year rush with sustainable practices in mind and to discuss the role of destination planning in balancing visitor experience with sustainability goals. By synthesising academic research and destination management practices, this study aims to provide insights into best practices for managing festive tourism sustainably and supporting long-term destination resilience.</w:t>
      </w:r>
    </w:p>
    <w:p w14:paraId="1C6DB8BA" w14:textId="77777777" w:rsidR="00C74CF2" w:rsidRPr="0042007A" w:rsidRDefault="00C74CF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42007A" w:rsidRDefault="003A63C5" w:rsidP="00592DBF">
      <w:pPr>
        <w:spacing w:line="360" w:lineRule="auto"/>
        <w:rPr>
          <w:rStyle w:val="Heading1Char"/>
          <w:rFonts w:ascii="Times New Roman" w:hAnsi="Times New Roman" w:cs="Times New Roman"/>
          <w:color w:val="000000" w:themeColor="text1"/>
          <w:sz w:val="24"/>
          <w:szCs w:val="24"/>
        </w:rPr>
      </w:pPr>
    </w:p>
    <w:p w14:paraId="4F4C9843" w14:textId="77777777" w:rsidR="00934189" w:rsidRPr="0042007A" w:rsidRDefault="002B0CE3" w:rsidP="00934189">
      <w:pPr>
        <w:spacing w:line="360" w:lineRule="auto"/>
        <w:rPr>
          <w:rFonts w:ascii="Times New Roman" w:hAnsi="Times New Roman" w:cs="Times New Roman"/>
          <w:color w:val="000000" w:themeColor="text1"/>
          <w:szCs w:val="24"/>
        </w:rPr>
      </w:pPr>
      <w:r w:rsidRPr="0042007A">
        <w:rPr>
          <w:rStyle w:val="Heading1Char"/>
          <w:rFonts w:ascii="Times New Roman" w:hAnsi="Times New Roman" w:cs="Times New Roman"/>
          <w:b/>
          <w:bCs/>
          <w:color w:val="000000" w:themeColor="text1"/>
          <w:sz w:val="24"/>
          <w:szCs w:val="24"/>
        </w:rPr>
        <w:lastRenderedPageBreak/>
        <w:t>2</w:t>
      </w:r>
      <w:r w:rsidR="0095171B" w:rsidRPr="0042007A">
        <w:rPr>
          <w:rStyle w:val="Heading1Char"/>
          <w:rFonts w:ascii="Times New Roman" w:hAnsi="Times New Roman" w:cs="Times New Roman"/>
          <w:b/>
          <w:bCs/>
          <w:color w:val="000000" w:themeColor="text1"/>
          <w:sz w:val="24"/>
          <w:szCs w:val="24"/>
        </w:rPr>
        <w:t>. Literature Review</w:t>
      </w:r>
      <w:bookmarkEnd w:id="2"/>
      <w:r w:rsidR="0095171B" w:rsidRPr="0042007A">
        <w:rPr>
          <w:rFonts w:ascii="Times New Roman" w:hAnsi="Times New Roman" w:cs="Times New Roman"/>
          <w:color w:val="000000" w:themeColor="text1"/>
          <w:szCs w:val="24"/>
        </w:rPr>
        <w:t xml:space="preserve"> </w:t>
      </w:r>
      <w:r w:rsidR="0095171B" w:rsidRPr="0042007A">
        <w:rPr>
          <w:rFonts w:ascii="Times New Roman" w:hAnsi="Times New Roman" w:cs="Times New Roman"/>
          <w:color w:val="000000" w:themeColor="text1"/>
          <w:szCs w:val="24"/>
        </w:rPr>
        <w:br/>
      </w:r>
      <w:bookmarkStart w:id="3" w:name="_Toc216766362"/>
      <w:r w:rsidR="00934189" w:rsidRPr="0042007A">
        <w:rPr>
          <w:rFonts w:ascii="Times New Roman" w:hAnsi="Times New Roman" w:cs="Times New Roman"/>
          <w:color w:val="000000" w:themeColor="text1"/>
          <w:szCs w:val="24"/>
        </w:rPr>
        <w:t>The Christmas and New Year period represents a critical stress point for tourism destinations due to seasonal concentration of visitors, intensified events, and heightened consumption of resources. Existing literature on destination management and sustainable tourism planning emphasises that peak seasons require proactive, integrated, and sustainability-oriented planning to balance economic benefits with environmental protection and social well-being. This section reviews key academic perspectives related to destination management, sustainable tourism planning, visitor experience, and festive peak-season governance.</w:t>
      </w:r>
    </w:p>
    <w:p w14:paraId="487A2133"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2.1 Destination Management in Peak Tourism Periods</w:t>
      </w:r>
    </w:p>
    <w:p w14:paraId="105879B9"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Destination management refers to the coordinated process of planning, developing, and managing tourism destinations to ensure competitiveness and sustainability (UNWTO, 2019). During peak periods such as Christmas and New Year, destination management becomes increasingly complex due to high visitor density, time-bound events, and infrastructure pressure. Studies indicate that destinations without integrated management frameworks often experience overcrowding, service failures, and negative resident attitudes during festive seasons (Timur &amp; Getz, 2009).</w:t>
      </w:r>
    </w:p>
    <w:p w14:paraId="2D4259AB"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Destination Management Organisations (DMOs) play a central role in coordinating stakeholders, including local governments, tourism businesses, transport providers, and communities. Research highlights that strong DMO leadership enables destinations to align festive tourism activities with long-term sustainability goals through planning, regulation, and communication (Bramwell &amp; Lane, 2011).</w:t>
      </w:r>
    </w:p>
    <w:p w14:paraId="6576B615"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2.2 Sustainable Tourism Planning Frameworks</w:t>
      </w:r>
    </w:p>
    <w:p w14:paraId="16342FFA"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Sustainable tourism planning is grounded in the principle of meeting present tourism demands without compromising the ability of future generations to meet their needs. The literature consistently emphasises the need for strategic planning that integrates environmental, economic, and socio-cultural dimensions (Hall, 2011). During the Christmas and New Year period, sustainable planning becomes particularly important due to short-term demand surges that can exceed destination carrying capacity.</w:t>
      </w:r>
    </w:p>
    <w:p w14:paraId="6B215652"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lastRenderedPageBreak/>
        <w:t xml:space="preserve">Frameworks such as </w:t>
      </w:r>
      <w:r w:rsidRPr="00934189">
        <w:rPr>
          <w:rFonts w:ascii="Times New Roman" w:hAnsi="Times New Roman" w:cs="Times New Roman"/>
          <w:b/>
          <w:bCs/>
          <w:color w:val="000000" w:themeColor="text1"/>
          <w:szCs w:val="24"/>
        </w:rPr>
        <w:t>carrying capacity</w:t>
      </w:r>
      <w:r w:rsidRPr="00934189">
        <w:rPr>
          <w:rFonts w:ascii="Times New Roman" w:hAnsi="Times New Roman" w:cs="Times New Roman"/>
          <w:color w:val="000000" w:themeColor="text1"/>
          <w:szCs w:val="24"/>
        </w:rPr>
        <w:t xml:space="preserve">, </w:t>
      </w:r>
      <w:r w:rsidRPr="00934189">
        <w:rPr>
          <w:rFonts w:ascii="Times New Roman" w:hAnsi="Times New Roman" w:cs="Times New Roman"/>
          <w:b/>
          <w:bCs/>
          <w:color w:val="000000" w:themeColor="text1"/>
          <w:szCs w:val="24"/>
        </w:rPr>
        <w:t>limits of acceptable change (LAC)</w:t>
      </w:r>
      <w:r w:rsidRPr="00934189">
        <w:rPr>
          <w:rFonts w:ascii="Times New Roman" w:hAnsi="Times New Roman" w:cs="Times New Roman"/>
          <w:color w:val="000000" w:themeColor="text1"/>
          <w:szCs w:val="24"/>
        </w:rPr>
        <w:t xml:space="preserve">, and </w:t>
      </w:r>
      <w:r w:rsidRPr="00934189">
        <w:rPr>
          <w:rFonts w:ascii="Times New Roman" w:hAnsi="Times New Roman" w:cs="Times New Roman"/>
          <w:b/>
          <w:bCs/>
          <w:color w:val="000000" w:themeColor="text1"/>
          <w:szCs w:val="24"/>
        </w:rPr>
        <w:t>adaptive management</w:t>
      </w:r>
      <w:r w:rsidRPr="00934189">
        <w:rPr>
          <w:rFonts w:ascii="Times New Roman" w:hAnsi="Times New Roman" w:cs="Times New Roman"/>
          <w:color w:val="000000" w:themeColor="text1"/>
          <w:szCs w:val="24"/>
        </w:rPr>
        <w:t xml:space="preserve"> are widely discussed as tools for managing peak tourism impacts (McCool &amp; Lime, 2001). These frameworks help destination managers assess acceptable levels of crowding, environmental degradation, and social disruption during festive events.</w:t>
      </w:r>
    </w:p>
    <w:p w14:paraId="78F97315"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2.3 Visitor Flow and Crowd Management</w:t>
      </w:r>
    </w:p>
    <w:p w14:paraId="14C0F108"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Overcrowding is one of the most frequently cited challenges associated with Christmas and New Year tourism. Popular urban centres, heritage sites, and event locations often experience excessive visitor concentration, negatively affecting both visitor experience and resident quality of life (</w:t>
      </w:r>
      <w:proofErr w:type="spellStart"/>
      <w:r w:rsidRPr="00934189">
        <w:rPr>
          <w:rFonts w:ascii="Times New Roman" w:hAnsi="Times New Roman" w:cs="Times New Roman"/>
          <w:color w:val="000000" w:themeColor="text1"/>
          <w:szCs w:val="24"/>
        </w:rPr>
        <w:t>Gössling</w:t>
      </w:r>
      <w:proofErr w:type="spellEnd"/>
      <w:r w:rsidRPr="00934189">
        <w:rPr>
          <w:rFonts w:ascii="Times New Roman" w:hAnsi="Times New Roman" w:cs="Times New Roman"/>
          <w:color w:val="000000" w:themeColor="text1"/>
          <w:szCs w:val="24"/>
        </w:rPr>
        <w:t xml:space="preserve"> et al., 2020). Research indicates that unmanaged crowding reduces satisfaction, increases environmental damage, and contributes to overtourism perceptions.</w:t>
      </w:r>
    </w:p>
    <w:p w14:paraId="48EB71E2"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The literature highlights several effective visitor management strategies, including spatial dispersion of events, timed entry systems, reservation requirements, and promotion of alternative attractions. Digital technologies and real-time data monitoring are increasingly used to manage visitor flows during peak festive periods, allowing destinations to respond proactively to congestion (UNWTO, 2021).</w:t>
      </w:r>
    </w:p>
    <w:p w14:paraId="0B7CCADD"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2.4 Sustainable Transport Planning During Festive Seasons</w:t>
      </w:r>
    </w:p>
    <w:p w14:paraId="4D7F3901"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Transport systems face significant pressure during Christmas and New Year tourism due to increased arrivals, event-related travel, and congestion. Sustainable transport planning is therefore a key component of destination management during peak seasons. Studies show that promoting public transport, pedestrianisation, cycling infrastructure, and park-and-ride systems reduces emissions and enhances visitor experience (Peeters et al., 2016).</w:t>
      </w:r>
    </w:p>
    <w:p w14:paraId="24BAC876"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Temporary transport measures, such as extended public transport hours and traffic restrictions in city centres, are commonly implemented during festive events. These strategies contribute to environmental sustainability while improving accessibility and safety for visitors.</w:t>
      </w:r>
    </w:p>
    <w:p w14:paraId="2CA91C54"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2.5 Environmental Management and Resource Consumption</w:t>
      </w:r>
    </w:p>
    <w:p w14:paraId="6EB0849A"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The Christmas and New Year period is associated with increased waste generation, energy use, and water consumption. The literature identifies festive decorations, food waste, and single-use materials as major contributors to environmental pressure (</w:t>
      </w:r>
      <w:proofErr w:type="spellStart"/>
      <w:r w:rsidRPr="00934189">
        <w:rPr>
          <w:rFonts w:ascii="Times New Roman" w:hAnsi="Times New Roman" w:cs="Times New Roman"/>
          <w:color w:val="000000" w:themeColor="text1"/>
          <w:szCs w:val="24"/>
        </w:rPr>
        <w:t>Gössling</w:t>
      </w:r>
      <w:proofErr w:type="spellEnd"/>
      <w:r w:rsidRPr="00934189">
        <w:rPr>
          <w:rFonts w:ascii="Times New Roman" w:hAnsi="Times New Roman" w:cs="Times New Roman"/>
          <w:color w:val="000000" w:themeColor="text1"/>
          <w:szCs w:val="24"/>
        </w:rPr>
        <w:t xml:space="preserve"> et al., 2018). Sustainable </w:t>
      </w:r>
      <w:r w:rsidRPr="00934189">
        <w:rPr>
          <w:rFonts w:ascii="Times New Roman" w:hAnsi="Times New Roman" w:cs="Times New Roman"/>
          <w:color w:val="000000" w:themeColor="text1"/>
          <w:szCs w:val="24"/>
        </w:rPr>
        <w:lastRenderedPageBreak/>
        <w:t>destination planning therefore emphasises waste reduction initiatives, recycling programs, energy-efficient lighting, and renewable energy use during festive events.</w:t>
      </w:r>
    </w:p>
    <w:p w14:paraId="04DBE9BB"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Green event standards and environmental certifications are increasingly adopted by destinations to guide sustainable festive planning. Research indicates that visible environmental initiatives improve destination image and visitor perceptions of sustainability (Bramwell et al., 2017).</w:t>
      </w:r>
    </w:p>
    <w:p w14:paraId="03A26010"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2.6 Community Engagement and Social Sustainability</w:t>
      </w:r>
    </w:p>
    <w:p w14:paraId="074BF0FA"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Social sustainability is a critical dimension of destination management, particularly during peak tourism periods. Residents often bear the costs of congestion, noise, and disruption during Christmas and New Year celebrations. Studies show that resident support for tourism depends heavily on perceived benefits and involvement in decision-making processes (Nunkoo &amp; Gursoy, 2012).</w:t>
      </w:r>
    </w:p>
    <w:p w14:paraId="07684BEA"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Participatory planning and stakeholder engagement are therefore essential for balancing festive tourism with community well-being. Destinations that involve residents in event planning and policy development are more likely to maintain social licence for tourism growth.</w:t>
      </w:r>
    </w:p>
    <w:p w14:paraId="4735001D"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2.7 Balancing Visitor Experience and Sustainability Goals</w:t>
      </w:r>
    </w:p>
    <w:p w14:paraId="5752238A"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Recent literature increasingly recognises that visitor experience and sustainability are mutually reinforcing rather than conflicting. Overcrowding, pollution, and poor management negatively affect visitor satisfaction, while sustainable planning enhances cleanliness, accessibility, and enjoyment (</w:t>
      </w:r>
      <w:proofErr w:type="spellStart"/>
      <w:r w:rsidRPr="00934189">
        <w:rPr>
          <w:rFonts w:ascii="Times New Roman" w:hAnsi="Times New Roman" w:cs="Times New Roman"/>
          <w:color w:val="000000" w:themeColor="text1"/>
          <w:szCs w:val="24"/>
        </w:rPr>
        <w:t>Gössling</w:t>
      </w:r>
      <w:proofErr w:type="spellEnd"/>
      <w:r w:rsidRPr="00934189">
        <w:rPr>
          <w:rFonts w:ascii="Times New Roman" w:hAnsi="Times New Roman" w:cs="Times New Roman"/>
          <w:color w:val="000000" w:themeColor="text1"/>
          <w:szCs w:val="24"/>
        </w:rPr>
        <w:t xml:space="preserve"> et al., 2020).</w:t>
      </w:r>
    </w:p>
    <w:p w14:paraId="052A3828"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Well-planned Christmas and New Year events that incorporate sustainability principles improve visitor experience by reducing congestion, enhancing safety, and preserving cultural authenticity. Destinations that fail to integrate sustainability risk long-term reputational damage and declining competitiveness.</w:t>
      </w:r>
    </w:p>
    <w:p w14:paraId="3FB913E6"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Summary</w:t>
      </w:r>
    </w:p>
    <w:p w14:paraId="3A3D2F54"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 xml:space="preserve">Overall, the literature demonstrates that destination management and sustainable tourism planning are essential for managing the Christmas and New Year tourism rush. Integrated planning frameworks, visitor flow management, sustainable transport, environmental protection, and community engagement are key strategies for balancing visitor experience with </w:t>
      </w:r>
      <w:r w:rsidRPr="00934189">
        <w:rPr>
          <w:rFonts w:ascii="Times New Roman" w:hAnsi="Times New Roman" w:cs="Times New Roman"/>
          <w:color w:val="000000" w:themeColor="text1"/>
          <w:szCs w:val="24"/>
        </w:rPr>
        <w:lastRenderedPageBreak/>
        <w:t>sustainability goals. This review provides a strong theoretical foundation for analysing festive tourism planning practices.</w:t>
      </w:r>
    </w:p>
    <w:p w14:paraId="584D7C03" w14:textId="77777777" w:rsidR="00934189" w:rsidRPr="00934189" w:rsidRDefault="00000000" w:rsidP="00934189">
      <w:pPr>
        <w:spacing w:line="36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16261DA9">
          <v:rect id="_x0000_i1025" style="width:0;height:1.5pt" o:hralign="center" o:hrstd="t" o:hr="t" fillcolor="#a0a0a0" stroked="f"/>
        </w:pict>
      </w:r>
    </w:p>
    <w:p w14:paraId="2F9B5868"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 Methodology (≈400 words)</w:t>
      </w:r>
    </w:p>
    <w:p w14:paraId="759B5509"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 xml:space="preserve">This study adopts a </w:t>
      </w:r>
      <w:r w:rsidRPr="00934189">
        <w:rPr>
          <w:rFonts w:ascii="Times New Roman" w:hAnsi="Times New Roman" w:cs="Times New Roman"/>
          <w:b/>
          <w:bCs/>
          <w:color w:val="000000" w:themeColor="text1"/>
          <w:szCs w:val="24"/>
        </w:rPr>
        <w:t>qualitative research approach</w:t>
      </w:r>
      <w:r w:rsidRPr="00934189">
        <w:rPr>
          <w:rFonts w:ascii="Times New Roman" w:hAnsi="Times New Roman" w:cs="Times New Roman"/>
          <w:color w:val="000000" w:themeColor="text1"/>
          <w:szCs w:val="24"/>
        </w:rPr>
        <w:t xml:space="preserve"> based on </w:t>
      </w:r>
      <w:r w:rsidRPr="00934189">
        <w:rPr>
          <w:rFonts w:ascii="Times New Roman" w:hAnsi="Times New Roman" w:cs="Times New Roman"/>
          <w:b/>
          <w:bCs/>
          <w:color w:val="000000" w:themeColor="text1"/>
          <w:szCs w:val="24"/>
        </w:rPr>
        <w:t>secondary data analysis</w:t>
      </w:r>
      <w:r w:rsidRPr="00934189">
        <w:rPr>
          <w:rFonts w:ascii="Times New Roman" w:hAnsi="Times New Roman" w:cs="Times New Roman"/>
          <w:color w:val="000000" w:themeColor="text1"/>
          <w:szCs w:val="24"/>
        </w:rPr>
        <w:t xml:space="preserve"> to examine destination management and sustainable tourism planning during the Christmas and New Year period. A qualitative methodology is appropriate because the research aims to explore planning strategies, governance practices, and sustainability outcomes rather than measure quantitative relationships.</w:t>
      </w:r>
    </w:p>
    <w:p w14:paraId="631A3081"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3.1 Research Design</w:t>
      </w:r>
    </w:p>
    <w:p w14:paraId="7EC3B6FA"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 xml:space="preserve">The research design is </w:t>
      </w:r>
      <w:r w:rsidRPr="00934189">
        <w:rPr>
          <w:rFonts w:ascii="Times New Roman" w:hAnsi="Times New Roman" w:cs="Times New Roman"/>
          <w:b/>
          <w:bCs/>
          <w:color w:val="000000" w:themeColor="text1"/>
          <w:szCs w:val="24"/>
        </w:rPr>
        <w:t>exploratory and descriptive</w:t>
      </w:r>
      <w:r w:rsidRPr="00934189">
        <w:rPr>
          <w:rFonts w:ascii="Times New Roman" w:hAnsi="Times New Roman" w:cs="Times New Roman"/>
          <w:color w:val="000000" w:themeColor="text1"/>
          <w:szCs w:val="24"/>
        </w:rPr>
        <w:t xml:space="preserve">, focusing on understanding how destinations prepare for festive tourism demand while integrating sustainability principles. The study is informed by </w:t>
      </w:r>
      <w:r w:rsidRPr="00934189">
        <w:rPr>
          <w:rFonts w:ascii="Times New Roman" w:hAnsi="Times New Roman" w:cs="Times New Roman"/>
          <w:b/>
          <w:bCs/>
          <w:color w:val="000000" w:themeColor="text1"/>
          <w:szCs w:val="24"/>
        </w:rPr>
        <w:t>sustainable tourism theory</w:t>
      </w:r>
      <w:r w:rsidRPr="00934189">
        <w:rPr>
          <w:rFonts w:ascii="Times New Roman" w:hAnsi="Times New Roman" w:cs="Times New Roman"/>
          <w:color w:val="000000" w:themeColor="text1"/>
          <w:szCs w:val="24"/>
        </w:rPr>
        <w:t xml:space="preserve">, </w:t>
      </w:r>
      <w:r w:rsidRPr="00934189">
        <w:rPr>
          <w:rFonts w:ascii="Times New Roman" w:hAnsi="Times New Roman" w:cs="Times New Roman"/>
          <w:b/>
          <w:bCs/>
          <w:color w:val="000000" w:themeColor="text1"/>
          <w:szCs w:val="24"/>
        </w:rPr>
        <w:t>destination management frameworks</w:t>
      </w:r>
      <w:r w:rsidRPr="00934189">
        <w:rPr>
          <w:rFonts w:ascii="Times New Roman" w:hAnsi="Times New Roman" w:cs="Times New Roman"/>
          <w:color w:val="000000" w:themeColor="text1"/>
          <w:szCs w:val="24"/>
        </w:rPr>
        <w:t xml:space="preserve">, and </w:t>
      </w:r>
      <w:r w:rsidRPr="00934189">
        <w:rPr>
          <w:rFonts w:ascii="Times New Roman" w:hAnsi="Times New Roman" w:cs="Times New Roman"/>
          <w:b/>
          <w:bCs/>
          <w:color w:val="000000" w:themeColor="text1"/>
          <w:szCs w:val="24"/>
        </w:rPr>
        <w:t>planning and governance models</w:t>
      </w:r>
      <w:r w:rsidRPr="00934189">
        <w:rPr>
          <w:rFonts w:ascii="Times New Roman" w:hAnsi="Times New Roman" w:cs="Times New Roman"/>
          <w:color w:val="000000" w:themeColor="text1"/>
          <w:szCs w:val="24"/>
        </w:rPr>
        <w:t>, which emphasise long-term resilience and stakeholder coordination (Bramwell &amp; Lane, 2011; Hall, 2011).</w:t>
      </w:r>
    </w:p>
    <w:p w14:paraId="354F8729"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3.2 Data Sources</w:t>
      </w:r>
    </w:p>
    <w:p w14:paraId="470110ED"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 xml:space="preserve">Secondary data were collected from </w:t>
      </w:r>
      <w:r w:rsidRPr="00934189">
        <w:rPr>
          <w:rFonts w:ascii="Times New Roman" w:hAnsi="Times New Roman" w:cs="Times New Roman"/>
          <w:b/>
          <w:bCs/>
          <w:color w:val="000000" w:themeColor="text1"/>
          <w:szCs w:val="24"/>
        </w:rPr>
        <w:t>peer-reviewed academic journals</w:t>
      </w:r>
      <w:r w:rsidRPr="00934189">
        <w:rPr>
          <w:rFonts w:ascii="Times New Roman" w:hAnsi="Times New Roman" w:cs="Times New Roman"/>
          <w:color w:val="000000" w:themeColor="text1"/>
          <w:szCs w:val="24"/>
        </w:rPr>
        <w:t xml:space="preserve"> such as </w:t>
      </w:r>
      <w:r w:rsidRPr="00934189">
        <w:rPr>
          <w:rFonts w:ascii="Times New Roman" w:hAnsi="Times New Roman" w:cs="Times New Roman"/>
          <w:i/>
          <w:iCs/>
          <w:color w:val="000000" w:themeColor="text1"/>
          <w:szCs w:val="24"/>
        </w:rPr>
        <w:t>Journal of Sustainable Tourism</w:t>
      </w:r>
      <w:r w:rsidRPr="00934189">
        <w:rPr>
          <w:rFonts w:ascii="Times New Roman" w:hAnsi="Times New Roman" w:cs="Times New Roman"/>
          <w:color w:val="000000" w:themeColor="text1"/>
          <w:szCs w:val="24"/>
        </w:rPr>
        <w:t xml:space="preserve">, </w:t>
      </w:r>
      <w:r w:rsidRPr="00934189">
        <w:rPr>
          <w:rFonts w:ascii="Times New Roman" w:hAnsi="Times New Roman" w:cs="Times New Roman"/>
          <w:i/>
          <w:iCs/>
          <w:color w:val="000000" w:themeColor="text1"/>
          <w:szCs w:val="24"/>
        </w:rPr>
        <w:t>Tourism Management</w:t>
      </w:r>
      <w:r w:rsidRPr="00934189">
        <w:rPr>
          <w:rFonts w:ascii="Times New Roman" w:hAnsi="Times New Roman" w:cs="Times New Roman"/>
          <w:color w:val="000000" w:themeColor="text1"/>
          <w:szCs w:val="24"/>
        </w:rPr>
        <w:t xml:space="preserve">, and </w:t>
      </w:r>
      <w:r w:rsidRPr="00934189">
        <w:rPr>
          <w:rFonts w:ascii="Times New Roman" w:hAnsi="Times New Roman" w:cs="Times New Roman"/>
          <w:i/>
          <w:iCs/>
          <w:color w:val="000000" w:themeColor="text1"/>
          <w:szCs w:val="24"/>
        </w:rPr>
        <w:t>Annals of Tourism Research</w:t>
      </w:r>
      <w:r w:rsidRPr="00934189">
        <w:rPr>
          <w:rFonts w:ascii="Times New Roman" w:hAnsi="Times New Roman" w:cs="Times New Roman"/>
          <w:color w:val="000000" w:themeColor="text1"/>
          <w:szCs w:val="24"/>
        </w:rPr>
        <w:t xml:space="preserve">. Policy reports and guidelines from organisations including the </w:t>
      </w:r>
      <w:r w:rsidRPr="00934189">
        <w:rPr>
          <w:rFonts w:ascii="Times New Roman" w:hAnsi="Times New Roman" w:cs="Times New Roman"/>
          <w:b/>
          <w:bCs/>
          <w:color w:val="000000" w:themeColor="text1"/>
          <w:szCs w:val="24"/>
        </w:rPr>
        <w:t>UNWTO</w:t>
      </w:r>
      <w:r w:rsidRPr="00934189">
        <w:rPr>
          <w:rFonts w:ascii="Times New Roman" w:hAnsi="Times New Roman" w:cs="Times New Roman"/>
          <w:color w:val="000000" w:themeColor="text1"/>
          <w:szCs w:val="24"/>
        </w:rPr>
        <w:t xml:space="preserve">, </w:t>
      </w:r>
      <w:r w:rsidRPr="00934189">
        <w:rPr>
          <w:rFonts w:ascii="Times New Roman" w:hAnsi="Times New Roman" w:cs="Times New Roman"/>
          <w:b/>
          <w:bCs/>
          <w:color w:val="000000" w:themeColor="text1"/>
          <w:szCs w:val="24"/>
        </w:rPr>
        <w:t>OECD</w:t>
      </w:r>
      <w:r w:rsidRPr="00934189">
        <w:rPr>
          <w:rFonts w:ascii="Times New Roman" w:hAnsi="Times New Roman" w:cs="Times New Roman"/>
          <w:color w:val="000000" w:themeColor="text1"/>
          <w:szCs w:val="24"/>
        </w:rPr>
        <w:t xml:space="preserve">, and </w:t>
      </w:r>
      <w:r w:rsidRPr="00934189">
        <w:rPr>
          <w:rFonts w:ascii="Times New Roman" w:hAnsi="Times New Roman" w:cs="Times New Roman"/>
          <w:b/>
          <w:bCs/>
          <w:color w:val="000000" w:themeColor="text1"/>
          <w:szCs w:val="24"/>
        </w:rPr>
        <w:t>European Commission</w:t>
      </w:r>
      <w:r w:rsidRPr="00934189">
        <w:rPr>
          <w:rFonts w:ascii="Times New Roman" w:hAnsi="Times New Roman" w:cs="Times New Roman"/>
          <w:color w:val="000000" w:themeColor="text1"/>
          <w:szCs w:val="24"/>
        </w:rPr>
        <w:t xml:space="preserve"> were also analysed. In addition, documented case examples of destinations managing Christmas markets, New Year celebrations, and winter festivals were reviewed.</w:t>
      </w:r>
    </w:p>
    <w:p w14:paraId="0EF3368F"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3.3 Data Collection and Analysis</w:t>
      </w:r>
    </w:p>
    <w:p w14:paraId="2380B2FD"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 xml:space="preserve">A systematic literature review process was used, prioritising sources published within the last ten to twelve years. Data were analysed using </w:t>
      </w:r>
      <w:r w:rsidRPr="00934189">
        <w:rPr>
          <w:rFonts w:ascii="Times New Roman" w:hAnsi="Times New Roman" w:cs="Times New Roman"/>
          <w:b/>
          <w:bCs/>
          <w:color w:val="000000" w:themeColor="text1"/>
          <w:szCs w:val="24"/>
        </w:rPr>
        <w:t>thematic analysis</w:t>
      </w:r>
      <w:r w:rsidRPr="00934189">
        <w:rPr>
          <w:rFonts w:ascii="Times New Roman" w:hAnsi="Times New Roman" w:cs="Times New Roman"/>
          <w:color w:val="000000" w:themeColor="text1"/>
          <w:szCs w:val="24"/>
        </w:rPr>
        <w:t>, with key themes including visitor management, sustainable transport, environmental practices, community engagement, and visitor experience. Comparative analysis was applied to identify best practices across destinations.</w:t>
      </w:r>
    </w:p>
    <w:p w14:paraId="1B5F5FBD"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3.4 Ethical Considerations</w:t>
      </w:r>
    </w:p>
    <w:p w14:paraId="34E8A89B"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lastRenderedPageBreak/>
        <w:t xml:space="preserve">The study relies exclusively on publicly available secondary data. All sources are appropriately cited using </w:t>
      </w:r>
      <w:r w:rsidRPr="00934189">
        <w:rPr>
          <w:rFonts w:ascii="Times New Roman" w:hAnsi="Times New Roman" w:cs="Times New Roman"/>
          <w:b/>
          <w:bCs/>
          <w:color w:val="000000" w:themeColor="text1"/>
          <w:szCs w:val="24"/>
        </w:rPr>
        <w:t>APA referencing</w:t>
      </w:r>
      <w:r w:rsidRPr="00934189">
        <w:rPr>
          <w:rFonts w:ascii="Times New Roman" w:hAnsi="Times New Roman" w:cs="Times New Roman"/>
          <w:color w:val="000000" w:themeColor="text1"/>
          <w:szCs w:val="24"/>
        </w:rPr>
        <w:t>, ensuring academic integrity.</w:t>
      </w:r>
    </w:p>
    <w:p w14:paraId="5C991F12"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3.5 Limitations</w:t>
      </w:r>
    </w:p>
    <w:p w14:paraId="7949CA6E"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The reliance on secondary data may limit insights into real-time operational challenges faced during specific festive seasons. Future research could include primary data collection such as interviews with destination managers or resident surveys.</w:t>
      </w:r>
    </w:p>
    <w:p w14:paraId="3E7658C5" w14:textId="1EE7D673" w:rsidR="00592DBF" w:rsidRPr="0042007A" w:rsidRDefault="00592DBF" w:rsidP="00934189">
      <w:pPr>
        <w:spacing w:line="360" w:lineRule="auto"/>
        <w:rPr>
          <w:rFonts w:ascii="Times New Roman" w:hAnsi="Times New Roman" w:cs="Times New Roman"/>
          <w:color w:val="000000" w:themeColor="text1"/>
          <w:szCs w:val="24"/>
        </w:rPr>
      </w:pPr>
    </w:p>
    <w:p w14:paraId="7E6F1EFF" w14:textId="77777777" w:rsidR="00934189" w:rsidRPr="0042007A" w:rsidRDefault="00934189" w:rsidP="00934189">
      <w:pPr>
        <w:spacing w:line="360" w:lineRule="auto"/>
        <w:rPr>
          <w:rFonts w:ascii="Times New Roman" w:hAnsi="Times New Roman" w:cs="Times New Roman"/>
          <w:color w:val="000000" w:themeColor="text1"/>
          <w:szCs w:val="24"/>
        </w:rPr>
      </w:pPr>
    </w:p>
    <w:p w14:paraId="21A50060" w14:textId="77777777" w:rsidR="00934189" w:rsidRPr="0042007A" w:rsidRDefault="00934189" w:rsidP="00934189">
      <w:pPr>
        <w:spacing w:line="360" w:lineRule="auto"/>
        <w:rPr>
          <w:rFonts w:ascii="Times New Roman" w:hAnsi="Times New Roman" w:cs="Times New Roman"/>
          <w:color w:val="000000" w:themeColor="text1"/>
          <w:szCs w:val="24"/>
        </w:rPr>
      </w:pPr>
    </w:p>
    <w:p w14:paraId="35D63FF4" w14:textId="77777777" w:rsidR="00934189" w:rsidRPr="0042007A" w:rsidRDefault="00934189" w:rsidP="00934189">
      <w:pPr>
        <w:spacing w:line="360" w:lineRule="auto"/>
        <w:rPr>
          <w:rFonts w:ascii="Times New Roman" w:hAnsi="Times New Roman" w:cs="Times New Roman"/>
          <w:color w:val="000000" w:themeColor="text1"/>
          <w:szCs w:val="24"/>
        </w:rPr>
      </w:pPr>
    </w:p>
    <w:p w14:paraId="42AC0ED3" w14:textId="77777777" w:rsidR="00934189" w:rsidRPr="0042007A" w:rsidRDefault="00934189" w:rsidP="00934189">
      <w:pPr>
        <w:spacing w:line="360" w:lineRule="auto"/>
        <w:rPr>
          <w:rFonts w:ascii="Times New Roman" w:hAnsi="Times New Roman" w:cs="Times New Roman"/>
          <w:color w:val="000000" w:themeColor="text1"/>
          <w:szCs w:val="24"/>
        </w:rPr>
      </w:pPr>
    </w:p>
    <w:p w14:paraId="647BD557" w14:textId="77777777" w:rsidR="00934189" w:rsidRPr="0042007A" w:rsidRDefault="00934189" w:rsidP="00934189">
      <w:pPr>
        <w:spacing w:line="360" w:lineRule="auto"/>
        <w:rPr>
          <w:rFonts w:ascii="Times New Roman" w:hAnsi="Times New Roman" w:cs="Times New Roman"/>
          <w:color w:val="000000" w:themeColor="text1"/>
          <w:szCs w:val="24"/>
        </w:rPr>
      </w:pPr>
    </w:p>
    <w:p w14:paraId="0CB4A169" w14:textId="77777777" w:rsidR="00934189" w:rsidRPr="0042007A" w:rsidRDefault="00934189" w:rsidP="00934189">
      <w:pPr>
        <w:spacing w:line="360" w:lineRule="auto"/>
        <w:rPr>
          <w:rFonts w:ascii="Times New Roman" w:hAnsi="Times New Roman" w:cs="Times New Roman"/>
          <w:color w:val="000000" w:themeColor="text1"/>
          <w:szCs w:val="24"/>
        </w:rPr>
      </w:pPr>
    </w:p>
    <w:p w14:paraId="21155C43" w14:textId="77777777" w:rsidR="00934189" w:rsidRPr="0042007A" w:rsidRDefault="00934189" w:rsidP="00934189">
      <w:pPr>
        <w:spacing w:line="360" w:lineRule="auto"/>
        <w:rPr>
          <w:rFonts w:ascii="Times New Roman" w:hAnsi="Times New Roman" w:cs="Times New Roman"/>
          <w:color w:val="000000" w:themeColor="text1"/>
          <w:szCs w:val="24"/>
        </w:rPr>
      </w:pPr>
    </w:p>
    <w:p w14:paraId="39279AD1" w14:textId="77777777" w:rsidR="00934189" w:rsidRPr="0042007A" w:rsidRDefault="00934189" w:rsidP="00934189">
      <w:pPr>
        <w:spacing w:line="360" w:lineRule="auto"/>
        <w:rPr>
          <w:rFonts w:ascii="Times New Roman" w:hAnsi="Times New Roman" w:cs="Times New Roman"/>
          <w:color w:val="000000" w:themeColor="text1"/>
          <w:szCs w:val="24"/>
        </w:rPr>
      </w:pPr>
    </w:p>
    <w:p w14:paraId="0B283C77" w14:textId="77777777" w:rsidR="00934189" w:rsidRPr="0042007A" w:rsidRDefault="00934189" w:rsidP="00934189">
      <w:pPr>
        <w:spacing w:line="360" w:lineRule="auto"/>
        <w:rPr>
          <w:rFonts w:ascii="Times New Roman" w:hAnsi="Times New Roman" w:cs="Times New Roman"/>
          <w:color w:val="000000" w:themeColor="text1"/>
          <w:szCs w:val="24"/>
        </w:rPr>
      </w:pPr>
    </w:p>
    <w:p w14:paraId="391BAC60" w14:textId="77777777" w:rsidR="00934189" w:rsidRPr="0042007A" w:rsidRDefault="00934189" w:rsidP="00934189">
      <w:pPr>
        <w:spacing w:line="360" w:lineRule="auto"/>
        <w:rPr>
          <w:rFonts w:ascii="Times New Roman" w:hAnsi="Times New Roman" w:cs="Times New Roman"/>
          <w:color w:val="000000" w:themeColor="text1"/>
          <w:szCs w:val="24"/>
        </w:rPr>
      </w:pPr>
    </w:p>
    <w:p w14:paraId="149D3955" w14:textId="77777777" w:rsidR="00934189" w:rsidRPr="0042007A" w:rsidRDefault="00934189" w:rsidP="00934189">
      <w:pPr>
        <w:spacing w:line="360" w:lineRule="auto"/>
        <w:rPr>
          <w:rFonts w:ascii="Times New Roman" w:hAnsi="Times New Roman" w:cs="Times New Roman"/>
          <w:color w:val="000000" w:themeColor="text1"/>
          <w:szCs w:val="24"/>
        </w:rPr>
      </w:pPr>
    </w:p>
    <w:p w14:paraId="04B557C4" w14:textId="77777777" w:rsidR="00934189" w:rsidRPr="0042007A" w:rsidRDefault="00934189" w:rsidP="00934189">
      <w:pPr>
        <w:spacing w:line="360" w:lineRule="auto"/>
        <w:rPr>
          <w:rFonts w:ascii="Times New Roman" w:hAnsi="Times New Roman" w:cs="Times New Roman"/>
          <w:color w:val="000000" w:themeColor="text1"/>
          <w:szCs w:val="24"/>
        </w:rPr>
      </w:pPr>
    </w:p>
    <w:p w14:paraId="36F6A405" w14:textId="77777777" w:rsidR="00934189" w:rsidRPr="0042007A" w:rsidRDefault="00934189" w:rsidP="00934189">
      <w:pPr>
        <w:spacing w:line="360" w:lineRule="auto"/>
        <w:rPr>
          <w:rFonts w:ascii="Times New Roman" w:hAnsi="Times New Roman" w:cs="Times New Roman"/>
          <w:color w:val="000000" w:themeColor="text1"/>
          <w:szCs w:val="24"/>
        </w:rPr>
      </w:pPr>
    </w:p>
    <w:p w14:paraId="0BAD388E" w14:textId="77777777" w:rsidR="00934189" w:rsidRPr="0042007A" w:rsidRDefault="00934189" w:rsidP="00934189">
      <w:pPr>
        <w:spacing w:line="360" w:lineRule="auto"/>
        <w:rPr>
          <w:rFonts w:ascii="Times New Roman" w:hAnsi="Times New Roman" w:cs="Times New Roman"/>
          <w:color w:val="000000" w:themeColor="text1"/>
          <w:szCs w:val="24"/>
        </w:rPr>
      </w:pPr>
    </w:p>
    <w:p w14:paraId="5894CC61" w14:textId="77777777" w:rsidR="00934189" w:rsidRPr="0042007A" w:rsidRDefault="00934189" w:rsidP="00934189">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42007A" w:rsidRDefault="000A012D" w:rsidP="00592DBF">
      <w:pPr>
        <w:spacing w:line="360" w:lineRule="auto"/>
        <w:rPr>
          <w:rStyle w:val="Heading1Char"/>
          <w:rFonts w:ascii="Times New Roman" w:hAnsi="Times New Roman" w:cs="Times New Roman"/>
          <w:b/>
          <w:bCs/>
          <w:color w:val="000000" w:themeColor="text1"/>
          <w:sz w:val="24"/>
          <w:szCs w:val="24"/>
        </w:rPr>
      </w:pPr>
      <w:r w:rsidRPr="0042007A">
        <w:rPr>
          <w:rStyle w:val="Heading1Char"/>
          <w:rFonts w:ascii="Times New Roman" w:hAnsi="Times New Roman" w:cs="Times New Roman"/>
          <w:b/>
          <w:bCs/>
          <w:color w:val="000000" w:themeColor="text1"/>
          <w:sz w:val="24"/>
          <w:szCs w:val="24"/>
        </w:rPr>
        <w:lastRenderedPageBreak/>
        <w:t>4</w:t>
      </w:r>
      <w:r w:rsidR="00582227" w:rsidRPr="0042007A">
        <w:rPr>
          <w:rStyle w:val="Heading1Char"/>
          <w:rFonts w:ascii="Times New Roman" w:hAnsi="Times New Roman" w:cs="Times New Roman"/>
          <w:b/>
          <w:bCs/>
          <w:color w:val="000000" w:themeColor="text1"/>
          <w:sz w:val="24"/>
          <w:szCs w:val="24"/>
        </w:rPr>
        <w:t xml:space="preserve"> </w:t>
      </w:r>
      <w:r w:rsidR="00160E9C" w:rsidRPr="0042007A">
        <w:rPr>
          <w:rStyle w:val="Heading1Char"/>
          <w:rFonts w:ascii="Times New Roman" w:hAnsi="Times New Roman" w:cs="Times New Roman"/>
          <w:b/>
          <w:bCs/>
          <w:color w:val="000000" w:themeColor="text1"/>
          <w:sz w:val="24"/>
          <w:szCs w:val="24"/>
        </w:rPr>
        <w:t>Finding</w:t>
      </w:r>
      <w:bookmarkEnd w:id="3"/>
    </w:p>
    <w:p w14:paraId="302F1720"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This section presents the key findings derived from the analysis of academic literature, policy documents, and documented destination management practices related to Christmas and New Year tourism. The findings are organised thematically to demonstrate how destinations prepare for peak festive demand while integrating sustainability principles and maintaining visitor experience quality.</w:t>
      </w:r>
    </w:p>
    <w:p w14:paraId="1996F886" w14:textId="77777777" w:rsidR="00934189" w:rsidRPr="0042007A" w:rsidRDefault="00934189" w:rsidP="00934189">
      <w:pPr>
        <w:spacing w:line="360" w:lineRule="auto"/>
        <w:rPr>
          <w:rFonts w:ascii="Times New Roman" w:hAnsi="Times New Roman" w:cs="Times New Roman"/>
          <w:color w:val="000000" w:themeColor="text1"/>
          <w:szCs w:val="24"/>
        </w:rPr>
      </w:pPr>
    </w:p>
    <w:p w14:paraId="4FC8F49C"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4.1 Increased Planning Intensity During Christmas and New Year</w:t>
      </w:r>
    </w:p>
    <w:p w14:paraId="6B5CECE5" w14:textId="77777777" w:rsidR="00934189" w:rsidRPr="0042007A" w:rsidRDefault="00934189" w:rsidP="00934189">
      <w:pPr>
        <w:spacing w:line="360" w:lineRule="auto"/>
        <w:rPr>
          <w:rFonts w:ascii="Times New Roman" w:hAnsi="Times New Roman" w:cs="Times New Roman"/>
          <w:color w:val="000000" w:themeColor="text1"/>
          <w:szCs w:val="24"/>
        </w:rPr>
      </w:pPr>
    </w:p>
    <w:p w14:paraId="66F9006E"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The findings indicate that tourism destinations significantly increase planning efforts during the Christmas and New Year period due to heightened visitor demand and event concentration. Destinations commonly implement temporary management measures, including extended public services, additional security, enhanced sanitation facilities, and expanded visitor information systems. Proactive planning enables destinations to cope with short-term demand surges without permanently expanding infrastructure, which supports long-term sustainability.</w:t>
      </w:r>
    </w:p>
    <w:p w14:paraId="799263E2" w14:textId="77777777" w:rsidR="00934189" w:rsidRPr="0042007A" w:rsidRDefault="00934189" w:rsidP="00934189">
      <w:pPr>
        <w:spacing w:line="360" w:lineRule="auto"/>
        <w:rPr>
          <w:rFonts w:ascii="Times New Roman" w:hAnsi="Times New Roman" w:cs="Times New Roman"/>
          <w:color w:val="000000" w:themeColor="text1"/>
          <w:szCs w:val="24"/>
        </w:rPr>
      </w:pPr>
    </w:p>
    <w:p w14:paraId="000ED2D6"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Destinations with established destination management organisations (DMOs) demonstrate higher preparedness levels, as DMOs facilitate coordination between public authorities, tourism businesses, and local communities. This coordination is particularly important during festive periods when multiple events and attractions operate simultaneously.</w:t>
      </w:r>
    </w:p>
    <w:p w14:paraId="53BB076D" w14:textId="77777777" w:rsidR="00934189" w:rsidRPr="0042007A" w:rsidRDefault="00934189" w:rsidP="00934189">
      <w:pPr>
        <w:spacing w:line="360" w:lineRule="auto"/>
        <w:rPr>
          <w:rFonts w:ascii="Times New Roman" w:hAnsi="Times New Roman" w:cs="Times New Roman"/>
          <w:color w:val="000000" w:themeColor="text1"/>
          <w:szCs w:val="24"/>
        </w:rPr>
      </w:pPr>
    </w:p>
    <w:p w14:paraId="4918B677"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4.2 Visitor Flow and Crowd Management Practices</w:t>
      </w:r>
    </w:p>
    <w:p w14:paraId="541CE0DA" w14:textId="77777777" w:rsidR="00934189" w:rsidRPr="0042007A" w:rsidRDefault="00934189" w:rsidP="00934189">
      <w:pPr>
        <w:spacing w:line="360" w:lineRule="auto"/>
        <w:rPr>
          <w:rFonts w:ascii="Times New Roman" w:hAnsi="Times New Roman" w:cs="Times New Roman"/>
          <w:color w:val="000000" w:themeColor="text1"/>
          <w:szCs w:val="24"/>
        </w:rPr>
      </w:pPr>
    </w:p>
    <w:p w14:paraId="72EADB11"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Visitor flow management emerged as a central finding in festive destination planning. Christmas markets, New Year celebrations, and cultural events often attract large crowds, leading to congestion and safety concerns. The findings show that destinations successfully managing </w:t>
      </w:r>
      <w:r w:rsidRPr="0042007A">
        <w:rPr>
          <w:rFonts w:ascii="Times New Roman" w:hAnsi="Times New Roman" w:cs="Times New Roman"/>
          <w:color w:val="000000" w:themeColor="text1"/>
          <w:szCs w:val="24"/>
        </w:rPr>
        <w:lastRenderedPageBreak/>
        <w:t>festive crowds employ spatial and temporal dispersion strategies, such as hosting multiple smaller events across different locations and staggering event schedules.</w:t>
      </w:r>
    </w:p>
    <w:p w14:paraId="36E30D25" w14:textId="77777777" w:rsidR="00934189" w:rsidRPr="0042007A" w:rsidRDefault="00934189" w:rsidP="00934189">
      <w:pPr>
        <w:spacing w:line="360" w:lineRule="auto"/>
        <w:rPr>
          <w:rFonts w:ascii="Times New Roman" w:hAnsi="Times New Roman" w:cs="Times New Roman"/>
          <w:color w:val="000000" w:themeColor="text1"/>
          <w:szCs w:val="24"/>
        </w:rPr>
      </w:pPr>
    </w:p>
    <w:p w14:paraId="3F7C028F"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Timed entry systems, pedestrian-only zones, and real-time crowd monitoring technologies are increasingly used to manage visitor density. These measures reduce overcrowding, improve safety, and enhance visitor comfort, while also minimising negative impacts on residents.</w:t>
      </w:r>
    </w:p>
    <w:p w14:paraId="137AF1AF" w14:textId="77777777" w:rsidR="00934189" w:rsidRPr="0042007A" w:rsidRDefault="00934189" w:rsidP="00934189">
      <w:pPr>
        <w:spacing w:line="360" w:lineRule="auto"/>
        <w:rPr>
          <w:rFonts w:ascii="Times New Roman" w:hAnsi="Times New Roman" w:cs="Times New Roman"/>
          <w:color w:val="000000" w:themeColor="text1"/>
          <w:szCs w:val="24"/>
        </w:rPr>
      </w:pPr>
    </w:p>
    <w:p w14:paraId="6E966FDB"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4.3 Sustainable Transport Measures</w:t>
      </w:r>
    </w:p>
    <w:p w14:paraId="1C4E27FC" w14:textId="77777777" w:rsidR="00934189" w:rsidRPr="0042007A" w:rsidRDefault="00934189" w:rsidP="00934189">
      <w:pPr>
        <w:spacing w:line="360" w:lineRule="auto"/>
        <w:rPr>
          <w:rFonts w:ascii="Times New Roman" w:hAnsi="Times New Roman" w:cs="Times New Roman"/>
          <w:color w:val="000000" w:themeColor="text1"/>
          <w:szCs w:val="24"/>
        </w:rPr>
      </w:pPr>
    </w:p>
    <w:p w14:paraId="7D60B919"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The findings highlight sustainable transport planning as a critical component of destination management during the festive season. Destinations that prioritise public transport, walking, and cycling experience lower congestion and emissions during Christmas and New Year events. Temporary traffic restrictions and extended public transport operating hours are common practices that improve accessibility and reduce environmental impact.</w:t>
      </w:r>
    </w:p>
    <w:p w14:paraId="02A9EA06" w14:textId="77777777" w:rsidR="00934189" w:rsidRPr="0042007A" w:rsidRDefault="00934189" w:rsidP="00934189">
      <w:pPr>
        <w:spacing w:line="360" w:lineRule="auto"/>
        <w:rPr>
          <w:rFonts w:ascii="Times New Roman" w:hAnsi="Times New Roman" w:cs="Times New Roman"/>
          <w:color w:val="000000" w:themeColor="text1"/>
          <w:szCs w:val="24"/>
        </w:rPr>
      </w:pPr>
    </w:p>
    <w:p w14:paraId="4B83980F"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Integrated transport planning supports both sustainability and visitor experience by reducing travel stress and improving mobility in busy urban areas.</w:t>
      </w:r>
    </w:p>
    <w:p w14:paraId="126D53EB" w14:textId="77777777" w:rsidR="00934189" w:rsidRPr="0042007A" w:rsidRDefault="00934189" w:rsidP="00934189">
      <w:pPr>
        <w:spacing w:line="360" w:lineRule="auto"/>
        <w:rPr>
          <w:rFonts w:ascii="Times New Roman" w:hAnsi="Times New Roman" w:cs="Times New Roman"/>
          <w:color w:val="000000" w:themeColor="text1"/>
          <w:szCs w:val="24"/>
        </w:rPr>
      </w:pPr>
    </w:p>
    <w:p w14:paraId="07390809"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4.4 Environmental Management and Resource Efficiency</w:t>
      </w:r>
    </w:p>
    <w:p w14:paraId="31F5F472" w14:textId="77777777" w:rsidR="00934189" w:rsidRPr="0042007A" w:rsidRDefault="00934189" w:rsidP="00934189">
      <w:pPr>
        <w:spacing w:line="360" w:lineRule="auto"/>
        <w:rPr>
          <w:rFonts w:ascii="Times New Roman" w:hAnsi="Times New Roman" w:cs="Times New Roman"/>
          <w:color w:val="000000" w:themeColor="text1"/>
          <w:szCs w:val="24"/>
        </w:rPr>
      </w:pPr>
    </w:p>
    <w:p w14:paraId="43AF9593"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Environmental pressures intensify during festive tourism due to increased waste generation, energy consumption, and water use. The findings indicate that destinations adopting sustainable environmental practices—such as recycling stations, reduced single-use plastics, energy-efficient festive lighting, and renewable energy sources—are more successful in mitigating environmental impacts.</w:t>
      </w:r>
    </w:p>
    <w:p w14:paraId="420A1247" w14:textId="77777777" w:rsidR="00934189" w:rsidRPr="0042007A" w:rsidRDefault="00934189" w:rsidP="00934189">
      <w:pPr>
        <w:spacing w:line="360" w:lineRule="auto"/>
        <w:rPr>
          <w:rFonts w:ascii="Times New Roman" w:hAnsi="Times New Roman" w:cs="Times New Roman"/>
          <w:color w:val="000000" w:themeColor="text1"/>
          <w:szCs w:val="24"/>
        </w:rPr>
      </w:pPr>
    </w:p>
    <w:p w14:paraId="176BFA86"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lastRenderedPageBreak/>
        <w:t>Green event guidelines and sustainability standards are increasingly applied to Christmas and New Year events. These practices not only reduce environmental footprints but also enhance destination image and visitor perceptions of environmental responsibility.</w:t>
      </w:r>
    </w:p>
    <w:p w14:paraId="24769A28" w14:textId="77777777" w:rsidR="00934189" w:rsidRPr="0042007A" w:rsidRDefault="00934189" w:rsidP="00934189">
      <w:pPr>
        <w:spacing w:line="360" w:lineRule="auto"/>
        <w:rPr>
          <w:rFonts w:ascii="Times New Roman" w:hAnsi="Times New Roman" w:cs="Times New Roman"/>
          <w:color w:val="000000" w:themeColor="text1"/>
          <w:szCs w:val="24"/>
        </w:rPr>
      </w:pPr>
    </w:p>
    <w:p w14:paraId="7504C233"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4.5 Community Engagement and Social Sustainability</w:t>
      </w:r>
    </w:p>
    <w:p w14:paraId="529B1E47" w14:textId="77777777" w:rsidR="00934189" w:rsidRPr="0042007A" w:rsidRDefault="00934189" w:rsidP="00934189">
      <w:pPr>
        <w:spacing w:line="360" w:lineRule="auto"/>
        <w:rPr>
          <w:rFonts w:ascii="Times New Roman" w:hAnsi="Times New Roman" w:cs="Times New Roman"/>
          <w:color w:val="000000" w:themeColor="text1"/>
          <w:szCs w:val="24"/>
        </w:rPr>
      </w:pPr>
    </w:p>
    <w:p w14:paraId="23E57E75"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Community engagement emerged as a key determinant of sustainable festive tourism. The findings show that destinations involving residents and local businesses in planning processes experience higher social acceptance and cooperation. Participatory planning approaches help address concerns related to noise, congestion, and disruption during festive celebrations.</w:t>
      </w:r>
    </w:p>
    <w:p w14:paraId="3631213A" w14:textId="77777777" w:rsidR="00934189" w:rsidRPr="0042007A" w:rsidRDefault="00934189" w:rsidP="00934189">
      <w:pPr>
        <w:spacing w:line="360" w:lineRule="auto"/>
        <w:rPr>
          <w:rFonts w:ascii="Times New Roman" w:hAnsi="Times New Roman" w:cs="Times New Roman"/>
          <w:color w:val="000000" w:themeColor="text1"/>
          <w:szCs w:val="24"/>
        </w:rPr>
      </w:pPr>
    </w:p>
    <w:p w14:paraId="15D475EE"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Supporting local businesses and cultural traditions through festive events ensures that economic benefits are more evenly distributed and contributes to social sustainability.</w:t>
      </w:r>
    </w:p>
    <w:p w14:paraId="12BCE65C" w14:textId="77777777" w:rsidR="00934189" w:rsidRPr="0042007A" w:rsidRDefault="00934189" w:rsidP="00934189">
      <w:pPr>
        <w:spacing w:line="360" w:lineRule="auto"/>
        <w:rPr>
          <w:rFonts w:ascii="Times New Roman" w:hAnsi="Times New Roman" w:cs="Times New Roman"/>
          <w:color w:val="000000" w:themeColor="text1"/>
          <w:szCs w:val="24"/>
        </w:rPr>
      </w:pPr>
    </w:p>
    <w:p w14:paraId="73DE020E"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4.6 Balancing Visitor Experience and Sustainability Goals</w:t>
      </w:r>
    </w:p>
    <w:p w14:paraId="2701BA7D" w14:textId="77777777" w:rsidR="00934189" w:rsidRPr="0042007A" w:rsidRDefault="00934189" w:rsidP="00934189">
      <w:pPr>
        <w:spacing w:line="360" w:lineRule="auto"/>
        <w:rPr>
          <w:rFonts w:ascii="Times New Roman" w:hAnsi="Times New Roman" w:cs="Times New Roman"/>
          <w:color w:val="000000" w:themeColor="text1"/>
          <w:szCs w:val="24"/>
        </w:rPr>
      </w:pPr>
    </w:p>
    <w:p w14:paraId="085C1A5E"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The findings demonstrate that destinations integrating sustainability into festive planning achieve higher-quality visitor experiences. Clean public spaces, efficient transport systems, and well-managed events enhance visitor satisfaction while reducing negative impacts. Conversely, destinations lacking adequate planning experience overcrowding, reduced satisfaction, and reputational damage.</w:t>
      </w:r>
    </w:p>
    <w:p w14:paraId="506C2A2A" w14:textId="77777777" w:rsidR="00934189" w:rsidRPr="0042007A" w:rsidRDefault="00934189" w:rsidP="00934189">
      <w:pPr>
        <w:spacing w:line="360" w:lineRule="auto"/>
        <w:rPr>
          <w:rFonts w:ascii="Times New Roman" w:hAnsi="Times New Roman" w:cs="Times New Roman"/>
          <w:color w:val="000000" w:themeColor="text1"/>
          <w:szCs w:val="24"/>
        </w:rPr>
      </w:pPr>
    </w:p>
    <w:p w14:paraId="1B4A667C" w14:textId="77777777" w:rsidR="00934189" w:rsidRPr="0042007A" w:rsidRDefault="00934189"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Overall, effective destination management enables a balance between festive enjoyment and long-term sustainability.</w:t>
      </w:r>
    </w:p>
    <w:p w14:paraId="0F05C2EF" w14:textId="77777777" w:rsidR="00934189" w:rsidRPr="0042007A" w:rsidRDefault="00934189" w:rsidP="00934189">
      <w:pPr>
        <w:spacing w:line="360" w:lineRule="auto"/>
        <w:rPr>
          <w:rFonts w:ascii="Times New Roman" w:hAnsi="Times New Roman" w:cs="Times New Roman"/>
          <w:color w:val="000000" w:themeColor="text1"/>
          <w:szCs w:val="24"/>
        </w:rPr>
      </w:pPr>
    </w:p>
    <w:p w14:paraId="77F30E72" w14:textId="77777777" w:rsidR="00934189" w:rsidRPr="0042007A" w:rsidRDefault="00934189" w:rsidP="00934189">
      <w:pPr>
        <w:spacing w:line="360" w:lineRule="auto"/>
        <w:rPr>
          <w:rFonts w:ascii="Times New Roman" w:hAnsi="Times New Roman" w:cs="Times New Roman"/>
          <w:color w:val="000000" w:themeColor="text1"/>
          <w:szCs w:val="24"/>
        </w:rPr>
      </w:pPr>
    </w:p>
    <w:p w14:paraId="0DA6B350" w14:textId="77777777" w:rsidR="00934189" w:rsidRPr="0042007A" w:rsidRDefault="006A4481" w:rsidP="00934189">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lastRenderedPageBreak/>
        <w:br/>
      </w:r>
      <w:r w:rsidRPr="0042007A">
        <w:rPr>
          <w:rFonts w:ascii="Times New Roman" w:hAnsi="Times New Roman" w:cs="Times New Roman"/>
          <w:b/>
          <w:bCs/>
          <w:color w:val="000000" w:themeColor="text1"/>
          <w:szCs w:val="24"/>
        </w:rPr>
        <w:t xml:space="preserve">5. Discussion </w:t>
      </w:r>
      <w:r w:rsidRPr="0042007A">
        <w:rPr>
          <w:rFonts w:ascii="Times New Roman" w:hAnsi="Times New Roman" w:cs="Times New Roman"/>
          <w:b/>
          <w:bCs/>
          <w:color w:val="000000" w:themeColor="text1"/>
          <w:szCs w:val="24"/>
        </w:rPr>
        <w:br/>
      </w:r>
      <w:bookmarkStart w:id="4" w:name="_Toc216766365"/>
      <w:r w:rsidR="00934189" w:rsidRPr="0042007A">
        <w:rPr>
          <w:rFonts w:ascii="Times New Roman" w:hAnsi="Times New Roman" w:cs="Times New Roman"/>
          <w:color w:val="000000" w:themeColor="text1"/>
          <w:szCs w:val="24"/>
        </w:rPr>
        <w:t>The findings of this study emphasise the importance of destination management and sustainable tourism planning during the Christmas and New Year period. This discussion interprets the findings in relation to sustainable tourism theory, destination governance frameworks, and visitor experience research.</w:t>
      </w:r>
    </w:p>
    <w:p w14:paraId="4F39C506"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Consistent with sustainable tourism theory, the findings demonstrate that proactive and integrated planning is essential for managing peak festive tourism without compromising environmental or social resources (Bramwell &amp; Lane, 2011). Temporary and flexible planning measures allow destinations to respond to short-term demand surges while avoiding long-term overdevelopment.</w:t>
      </w:r>
    </w:p>
    <w:p w14:paraId="76486386"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Visitor flow management is particularly significant during festive periods. The findings support the limits of acceptable change framework, which focuses on managing impacts rather than restricting visitor numbers (McCool &amp; Lime, 2001). By dispersing visitors spatially and temporally, destinations reduce overcrowding and enhance both visitor satisfaction and resident well-being.</w:t>
      </w:r>
    </w:p>
    <w:p w14:paraId="521EFE8B"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Sustainable transport planning plays a crucial role in balancing accessibility and environmental protection. The findings align with existing research highlighting transport as a major contributor to tourism-related emissions (Peeters et al., 2016). Destinations promoting public transport and pedestrianisation achieve improved environmental outcomes while enhancing visitor experience.</w:t>
      </w:r>
    </w:p>
    <w:p w14:paraId="0A1805DF"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Environmental management practices, such as waste reduction and energy-efficient lighting, are central to sustainable festive tourism. Visible sustainability initiatives not only reduce environmental impact but also positively influence visitor perceptions and destination branding.</w:t>
      </w:r>
    </w:p>
    <w:p w14:paraId="56A5FAA7"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Community engagement is critical for achieving social sustainability. The findings support social exchange theory, which suggests that residents are more supportive of tourism when perceived benefits outweigh costs (Nunkoo &amp; Gursoy, 2012). Involving residents in planning processes strengthens social acceptance and destination resilience.</w:t>
      </w:r>
    </w:p>
    <w:p w14:paraId="388DACD0" w14:textId="77777777" w:rsidR="00934189" w:rsidRPr="00934189" w:rsidRDefault="00934189" w:rsidP="00934189">
      <w:pPr>
        <w:spacing w:line="360" w:lineRule="auto"/>
        <w:rPr>
          <w:rFonts w:ascii="Times New Roman" w:hAnsi="Times New Roman" w:cs="Times New Roman"/>
          <w:color w:val="000000" w:themeColor="text1"/>
          <w:szCs w:val="24"/>
        </w:rPr>
      </w:pPr>
      <w:r w:rsidRPr="00934189">
        <w:rPr>
          <w:rFonts w:ascii="Times New Roman" w:hAnsi="Times New Roman" w:cs="Times New Roman"/>
          <w:color w:val="000000" w:themeColor="text1"/>
          <w:szCs w:val="24"/>
        </w:rPr>
        <w:t xml:space="preserve">Overall, the discussion highlights that sustainability and visitor experience are mutually reinforcing objectives when integrated through effective destination management. Destinations </w:t>
      </w:r>
      <w:r w:rsidRPr="00934189">
        <w:rPr>
          <w:rFonts w:ascii="Times New Roman" w:hAnsi="Times New Roman" w:cs="Times New Roman"/>
          <w:color w:val="000000" w:themeColor="text1"/>
          <w:szCs w:val="24"/>
        </w:rPr>
        <w:lastRenderedPageBreak/>
        <w:t>that align festive tourism with sustainability principles are better positioned to achieve long-term competitiveness.</w:t>
      </w:r>
    </w:p>
    <w:p w14:paraId="351BDBF3" w14:textId="77777777" w:rsidR="00934189" w:rsidRPr="0042007A" w:rsidRDefault="00934189" w:rsidP="00934189">
      <w:pPr>
        <w:spacing w:line="360" w:lineRule="auto"/>
        <w:rPr>
          <w:rStyle w:val="Heading1Char"/>
          <w:rFonts w:ascii="Times New Roman" w:hAnsi="Times New Roman" w:cs="Times New Roman"/>
          <w:b/>
          <w:bCs/>
          <w:color w:val="000000" w:themeColor="text1"/>
          <w:sz w:val="24"/>
          <w:szCs w:val="24"/>
        </w:rPr>
      </w:pPr>
    </w:p>
    <w:p w14:paraId="345F3A1B" w14:textId="77777777" w:rsidR="0042007A" w:rsidRPr="0042007A" w:rsidRDefault="00EB264E" w:rsidP="0042007A">
      <w:pPr>
        <w:spacing w:line="360" w:lineRule="auto"/>
        <w:rPr>
          <w:rFonts w:ascii="Times New Roman" w:hAnsi="Times New Roman" w:cs="Times New Roman"/>
          <w:color w:val="000000" w:themeColor="text1"/>
          <w:szCs w:val="24"/>
        </w:rPr>
      </w:pPr>
      <w:r w:rsidRPr="0042007A">
        <w:rPr>
          <w:rStyle w:val="Heading1Char"/>
          <w:rFonts w:ascii="Times New Roman" w:hAnsi="Times New Roman" w:cs="Times New Roman"/>
          <w:b/>
          <w:bCs/>
          <w:color w:val="000000" w:themeColor="text1"/>
          <w:sz w:val="24"/>
          <w:szCs w:val="24"/>
        </w:rPr>
        <w:t>6</w:t>
      </w:r>
      <w:r w:rsidR="00F11085" w:rsidRPr="0042007A">
        <w:rPr>
          <w:rStyle w:val="Heading1Char"/>
          <w:rFonts w:ascii="Times New Roman" w:hAnsi="Times New Roman" w:cs="Times New Roman"/>
          <w:b/>
          <w:bCs/>
          <w:color w:val="000000" w:themeColor="text1"/>
          <w:sz w:val="24"/>
          <w:szCs w:val="24"/>
        </w:rPr>
        <w:t>. Conclusion</w:t>
      </w:r>
      <w:bookmarkEnd w:id="4"/>
      <w:r w:rsidR="00F11085" w:rsidRPr="0042007A">
        <w:rPr>
          <w:rFonts w:ascii="Times New Roman" w:hAnsi="Times New Roman" w:cs="Times New Roman"/>
          <w:color w:val="000000" w:themeColor="text1"/>
          <w:szCs w:val="24"/>
        </w:rPr>
        <w:t xml:space="preserve"> </w:t>
      </w:r>
      <w:r w:rsidR="00F11085" w:rsidRPr="0042007A">
        <w:rPr>
          <w:rFonts w:ascii="Times New Roman" w:hAnsi="Times New Roman" w:cs="Times New Roman"/>
          <w:color w:val="000000" w:themeColor="text1"/>
          <w:szCs w:val="24"/>
        </w:rPr>
        <w:br/>
      </w:r>
      <w:bookmarkStart w:id="5" w:name="_Toc216766366"/>
      <w:r w:rsidR="0042007A" w:rsidRPr="0042007A">
        <w:rPr>
          <w:rFonts w:ascii="Times New Roman" w:hAnsi="Times New Roman" w:cs="Times New Roman"/>
          <w:color w:val="000000" w:themeColor="text1"/>
          <w:szCs w:val="24"/>
        </w:rPr>
        <w:t>This report examined destination management and sustainable tourism planning during the Christmas and New Year period, a time characterised by intense visitor demand and heightened pressure on destination resources. The analysis demonstrates that while festive tourism delivers substantial economic benefits, it also presents significant environmental, social, and infrastructural challenges that require careful and proactive management.</w:t>
      </w:r>
    </w:p>
    <w:p w14:paraId="4444E37E"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The findings highlight that effective destination management during peak festive periods depends on integrated planning approaches that balance visitor experience with sustainability objectives. Strategies such as visitor flow and crowd management, sustainable transport planning, environmental protection measures, and community engagement enable destinations to manage increased demand while minimising negative impacts. Destination Management Organisations (DMOs) play a critical role in coordinating stakeholders and aligning short-term festive activities with long-term sustainability goals.</w:t>
      </w:r>
    </w:p>
    <w:p w14:paraId="21D82FC4"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Importantly, the study confirms that sustainability and visitor experience are not opposing objectives. Destinations that invest in sustainable practices—such as clean public spaces, efficient mobility systems, and well-managed events—enhance visitor satisfaction while protecting environmental and social resources. Conversely, destinations that fail to plan effectively risk overcrowding, environmental degradation, declining visitor satisfaction, and resident opposition to tourism.</w:t>
      </w:r>
    </w:p>
    <w:p w14:paraId="20E43AF8" w14:textId="778792A6" w:rsidR="005C3E06" w:rsidRPr="0042007A" w:rsidRDefault="0042007A"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In conclusion, sustainable destination management during Christmas and New Year is essential for ensuring long-term destination resilience and competitiveness. By embedding sustainability principles into festive tourism planning and governance, destinations can balance economic growth with environmental protection and community well-being. Future research could incorporate primary data from destination managers and residents or compare festive tourism strategies across different cultural and geographic contexts to further deepen understanding of sustainable peak-season tourism management.</w:t>
      </w:r>
    </w:p>
    <w:p w14:paraId="0881047A" w14:textId="35CFCE6A" w:rsidR="004D7D13" w:rsidRPr="0042007A" w:rsidRDefault="004D7D13" w:rsidP="00592DBF">
      <w:pPr>
        <w:spacing w:line="360" w:lineRule="auto"/>
        <w:rPr>
          <w:rFonts w:ascii="Times New Roman" w:hAnsi="Times New Roman" w:cs="Times New Roman"/>
          <w:b/>
          <w:bCs/>
          <w:color w:val="000000" w:themeColor="text1"/>
          <w:szCs w:val="24"/>
        </w:rPr>
      </w:pPr>
      <w:r w:rsidRPr="0042007A">
        <w:rPr>
          <w:rFonts w:ascii="Times New Roman" w:hAnsi="Times New Roman" w:cs="Times New Roman"/>
          <w:b/>
          <w:bCs/>
          <w:color w:val="000000" w:themeColor="text1"/>
          <w:szCs w:val="24"/>
        </w:rPr>
        <w:lastRenderedPageBreak/>
        <w:t>Reference List</w:t>
      </w:r>
      <w:bookmarkEnd w:id="5"/>
      <w:r w:rsidRPr="0042007A">
        <w:rPr>
          <w:rFonts w:ascii="Times New Roman" w:hAnsi="Times New Roman" w:cs="Times New Roman"/>
          <w:b/>
          <w:bCs/>
          <w:color w:val="000000" w:themeColor="text1"/>
          <w:szCs w:val="24"/>
        </w:rPr>
        <w:t xml:space="preserve"> </w:t>
      </w:r>
    </w:p>
    <w:p w14:paraId="72E02D11"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Bramwell, B., &amp; Lane, B. (2011). Critical research on the governance of tourism and sustainability. </w:t>
      </w:r>
      <w:r w:rsidRPr="0042007A">
        <w:rPr>
          <w:rFonts w:ascii="Times New Roman" w:hAnsi="Times New Roman" w:cs="Times New Roman"/>
          <w:i/>
          <w:iCs/>
          <w:color w:val="000000" w:themeColor="text1"/>
          <w:szCs w:val="24"/>
        </w:rPr>
        <w:t>Journal of Sustainable Tourism, 19</w:t>
      </w:r>
      <w:r w:rsidRPr="0042007A">
        <w:rPr>
          <w:rFonts w:ascii="Times New Roman" w:hAnsi="Times New Roman" w:cs="Times New Roman"/>
          <w:color w:val="000000" w:themeColor="text1"/>
          <w:szCs w:val="24"/>
        </w:rPr>
        <w:t>(4–5), 411–421.</w:t>
      </w:r>
      <w:r w:rsidRPr="0042007A">
        <w:rPr>
          <w:rFonts w:ascii="Times New Roman" w:hAnsi="Times New Roman" w:cs="Times New Roman"/>
          <w:color w:val="000000" w:themeColor="text1"/>
          <w:szCs w:val="24"/>
        </w:rPr>
        <w:br/>
      </w:r>
      <w:hyperlink r:id="rId7" w:tgtFrame="_new" w:history="1">
        <w:r w:rsidRPr="0042007A">
          <w:rPr>
            <w:rStyle w:val="Hyperlink"/>
            <w:rFonts w:ascii="Times New Roman" w:hAnsi="Times New Roman" w:cs="Times New Roman"/>
            <w:szCs w:val="24"/>
          </w:rPr>
          <w:t>https://doi.org/10.1080/09669582.2011.580586</w:t>
        </w:r>
      </w:hyperlink>
    </w:p>
    <w:p w14:paraId="1D2DE12F"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Bramwell, B., Higham, J., Lane, B., &amp; Miller, G. (2017). Twenty-five years of sustainable tourism and the Journal of Sustainable Tourism. </w:t>
      </w:r>
      <w:r w:rsidRPr="0042007A">
        <w:rPr>
          <w:rFonts w:ascii="Times New Roman" w:hAnsi="Times New Roman" w:cs="Times New Roman"/>
          <w:i/>
          <w:iCs/>
          <w:color w:val="000000" w:themeColor="text1"/>
          <w:szCs w:val="24"/>
        </w:rPr>
        <w:t>Journal of Sustainable Tourism, 25</w:t>
      </w:r>
      <w:r w:rsidRPr="0042007A">
        <w:rPr>
          <w:rFonts w:ascii="Times New Roman" w:hAnsi="Times New Roman" w:cs="Times New Roman"/>
          <w:color w:val="000000" w:themeColor="text1"/>
          <w:szCs w:val="24"/>
        </w:rPr>
        <w:t>(1), 1–9.</w:t>
      </w:r>
      <w:r w:rsidRPr="0042007A">
        <w:rPr>
          <w:rFonts w:ascii="Times New Roman" w:hAnsi="Times New Roman" w:cs="Times New Roman"/>
          <w:color w:val="000000" w:themeColor="text1"/>
          <w:szCs w:val="24"/>
        </w:rPr>
        <w:br/>
        <w:t>https://doi.org/10.1080/09669582.2017.1280179</w:t>
      </w:r>
    </w:p>
    <w:p w14:paraId="0424933B" w14:textId="77777777" w:rsidR="0042007A" w:rsidRPr="0042007A" w:rsidRDefault="0042007A" w:rsidP="0042007A">
      <w:pPr>
        <w:spacing w:line="360" w:lineRule="auto"/>
        <w:rPr>
          <w:rFonts w:ascii="Times New Roman" w:hAnsi="Times New Roman" w:cs="Times New Roman"/>
          <w:color w:val="000000" w:themeColor="text1"/>
          <w:szCs w:val="24"/>
        </w:rPr>
      </w:pPr>
      <w:proofErr w:type="spellStart"/>
      <w:r w:rsidRPr="0042007A">
        <w:rPr>
          <w:rFonts w:ascii="Times New Roman" w:hAnsi="Times New Roman" w:cs="Times New Roman"/>
          <w:color w:val="000000" w:themeColor="text1"/>
          <w:szCs w:val="24"/>
        </w:rPr>
        <w:t>Gössling</w:t>
      </w:r>
      <w:proofErr w:type="spellEnd"/>
      <w:r w:rsidRPr="0042007A">
        <w:rPr>
          <w:rFonts w:ascii="Times New Roman" w:hAnsi="Times New Roman" w:cs="Times New Roman"/>
          <w:color w:val="000000" w:themeColor="text1"/>
          <w:szCs w:val="24"/>
        </w:rPr>
        <w:t xml:space="preserve">, S., Hall, C. M., &amp; Scott, D. (2018). </w:t>
      </w:r>
      <w:r w:rsidRPr="0042007A">
        <w:rPr>
          <w:rFonts w:ascii="Times New Roman" w:hAnsi="Times New Roman" w:cs="Times New Roman"/>
          <w:i/>
          <w:iCs/>
          <w:color w:val="000000" w:themeColor="text1"/>
          <w:szCs w:val="24"/>
        </w:rPr>
        <w:t>Tourism and water</w:t>
      </w:r>
      <w:r w:rsidRPr="0042007A">
        <w:rPr>
          <w:rFonts w:ascii="Times New Roman" w:hAnsi="Times New Roman" w:cs="Times New Roman"/>
          <w:color w:val="000000" w:themeColor="text1"/>
          <w:szCs w:val="24"/>
        </w:rPr>
        <w:t>. Channel View Publications.</w:t>
      </w:r>
    </w:p>
    <w:p w14:paraId="0A30F908" w14:textId="77777777" w:rsidR="0042007A" w:rsidRPr="0042007A" w:rsidRDefault="0042007A" w:rsidP="0042007A">
      <w:pPr>
        <w:spacing w:line="360" w:lineRule="auto"/>
        <w:rPr>
          <w:rFonts w:ascii="Times New Roman" w:hAnsi="Times New Roman" w:cs="Times New Roman"/>
          <w:color w:val="000000" w:themeColor="text1"/>
          <w:szCs w:val="24"/>
        </w:rPr>
      </w:pPr>
      <w:proofErr w:type="spellStart"/>
      <w:r w:rsidRPr="0042007A">
        <w:rPr>
          <w:rFonts w:ascii="Times New Roman" w:hAnsi="Times New Roman" w:cs="Times New Roman"/>
          <w:color w:val="000000" w:themeColor="text1"/>
          <w:szCs w:val="24"/>
        </w:rPr>
        <w:t>Gössling</w:t>
      </w:r>
      <w:proofErr w:type="spellEnd"/>
      <w:r w:rsidRPr="0042007A">
        <w:rPr>
          <w:rFonts w:ascii="Times New Roman" w:hAnsi="Times New Roman" w:cs="Times New Roman"/>
          <w:color w:val="000000" w:themeColor="text1"/>
          <w:szCs w:val="24"/>
        </w:rPr>
        <w:t xml:space="preserve">, S., Scott, D., &amp; Hall, C. M. (2020). Pandemics, tourism and global change. </w:t>
      </w:r>
      <w:r w:rsidRPr="0042007A">
        <w:rPr>
          <w:rFonts w:ascii="Times New Roman" w:hAnsi="Times New Roman" w:cs="Times New Roman"/>
          <w:i/>
          <w:iCs/>
          <w:color w:val="000000" w:themeColor="text1"/>
          <w:szCs w:val="24"/>
        </w:rPr>
        <w:t>Journal of Sustainable Tourism, 29</w:t>
      </w:r>
      <w:r w:rsidRPr="0042007A">
        <w:rPr>
          <w:rFonts w:ascii="Times New Roman" w:hAnsi="Times New Roman" w:cs="Times New Roman"/>
          <w:color w:val="000000" w:themeColor="text1"/>
          <w:szCs w:val="24"/>
        </w:rPr>
        <w:t>(1), 1–20.</w:t>
      </w:r>
      <w:r w:rsidRPr="0042007A">
        <w:rPr>
          <w:rFonts w:ascii="Times New Roman" w:hAnsi="Times New Roman" w:cs="Times New Roman"/>
          <w:color w:val="000000" w:themeColor="text1"/>
          <w:szCs w:val="24"/>
        </w:rPr>
        <w:br/>
      </w:r>
      <w:hyperlink r:id="rId8" w:tgtFrame="_new" w:history="1">
        <w:r w:rsidRPr="0042007A">
          <w:rPr>
            <w:rStyle w:val="Hyperlink"/>
            <w:rFonts w:ascii="Times New Roman" w:hAnsi="Times New Roman" w:cs="Times New Roman"/>
            <w:szCs w:val="24"/>
          </w:rPr>
          <w:t>https://doi.org/10.1080/09669582.2020.1758708</w:t>
        </w:r>
      </w:hyperlink>
    </w:p>
    <w:p w14:paraId="13CE5D09"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Hall, C. M. (2011). Policy learning and policy failure in sustainable tourism governance. </w:t>
      </w:r>
      <w:r w:rsidRPr="0042007A">
        <w:rPr>
          <w:rFonts w:ascii="Times New Roman" w:hAnsi="Times New Roman" w:cs="Times New Roman"/>
          <w:i/>
          <w:iCs/>
          <w:color w:val="000000" w:themeColor="text1"/>
          <w:szCs w:val="24"/>
        </w:rPr>
        <w:t>Journal of Sustainable Tourism, 19</w:t>
      </w:r>
      <w:r w:rsidRPr="0042007A">
        <w:rPr>
          <w:rFonts w:ascii="Times New Roman" w:hAnsi="Times New Roman" w:cs="Times New Roman"/>
          <w:color w:val="000000" w:themeColor="text1"/>
          <w:szCs w:val="24"/>
        </w:rPr>
        <w:t>(4–5), 649–671.</w:t>
      </w:r>
      <w:r w:rsidRPr="0042007A">
        <w:rPr>
          <w:rFonts w:ascii="Times New Roman" w:hAnsi="Times New Roman" w:cs="Times New Roman"/>
          <w:color w:val="000000" w:themeColor="text1"/>
          <w:szCs w:val="24"/>
        </w:rPr>
        <w:br/>
        <w:t>https://doi.org/10.1080/09669582.2011.555555</w:t>
      </w:r>
    </w:p>
    <w:p w14:paraId="6ED3CD6D"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McCool, S. F., &amp; Lime, D. W. (2001). Tourism carrying capacity. </w:t>
      </w:r>
      <w:r w:rsidRPr="0042007A">
        <w:rPr>
          <w:rFonts w:ascii="Times New Roman" w:hAnsi="Times New Roman" w:cs="Times New Roman"/>
          <w:i/>
          <w:iCs/>
          <w:color w:val="000000" w:themeColor="text1"/>
          <w:szCs w:val="24"/>
        </w:rPr>
        <w:t>Journal of Sustainable Tourism, 9</w:t>
      </w:r>
      <w:r w:rsidRPr="0042007A">
        <w:rPr>
          <w:rFonts w:ascii="Times New Roman" w:hAnsi="Times New Roman" w:cs="Times New Roman"/>
          <w:color w:val="000000" w:themeColor="text1"/>
          <w:szCs w:val="24"/>
        </w:rPr>
        <w:t>(5), 372–388.</w:t>
      </w:r>
      <w:r w:rsidRPr="0042007A">
        <w:rPr>
          <w:rFonts w:ascii="Times New Roman" w:hAnsi="Times New Roman" w:cs="Times New Roman"/>
          <w:color w:val="000000" w:themeColor="text1"/>
          <w:szCs w:val="24"/>
        </w:rPr>
        <w:br/>
        <w:t>https://doi.org/10.1080/09669580108667409</w:t>
      </w:r>
    </w:p>
    <w:p w14:paraId="4E7CC06A"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Nunkoo, R., &amp; Gursoy, D. (2012). Residents’ support for tourism. </w:t>
      </w:r>
      <w:r w:rsidRPr="0042007A">
        <w:rPr>
          <w:rFonts w:ascii="Times New Roman" w:hAnsi="Times New Roman" w:cs="Times New Roman"/>
          <w:i/>
          <w:iCs/>
          <w:color w:val="000000" w:themeColor="text1"/>
          <w:szCs w:val="24"/>
        </w:rPr>
        <w:t>Annals of Tourism Research, 39</w:t>
      </w:r>
      <w:r w:rsidRPr="0042007A">
        <w:rPr>
          <w:rFonts w:ascii="Times New Roman" w:hAnsi="Times New Roman" w:cs="Times New Roman"/>
          <w:color w:val="000000" w:themeColor="text1"/>
          <w:szCs w:val="24"/>
        </w:rPr>
        <w:t>(1), 243–268.</w:t>
      </w:r>
      <w:r w:rsidRPr="0042007A">
        <w:rPr>
          <w:rFonts w:ascii="Times New Roman" w:hAnsi="Times New Roman" w:cs="Times New Roman"/>
          <w:color w:val="000000" w:themeColor="text1"/>
          <w:szCs w:val="24"/>
        </w:rPr>
        <w:br/>
        <w:t>https://doi.org/10.1016/j.annals.2011.05.006</w:t>
      </w:r>
    </w:p>
    <w:p w14:paraId="22EE790D"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Peeters, P., Higham, J., Cohen, S., Eijgelaar, E., &amp; </w:t>
      </w:r>
      <w:proofErr w:type="spellStart"/>
      <w:r w:rsidRPr="0042007A">
        <w:rPr>
          <w:rFonts w:ascii="Times New Roman" w:hAnsi="Times New Roman" w:cs="Times New Roman"/>
          <w:color w:val="000000" w:themeColor="text1"/>
          <w:szCs w:val="24"/>
        </w:rPr>
        <w:t>Gössling</w:t>
      </w:r>
      <w:proofErr w:type="spellEnd"/>
      <w:r w:rsidRPr="0042007A">
        <w:rPr>
          <w:rFonts w:ascii="Times New Roman" w:hAnsi="Times New Roman" w:cs="Times New Roman"/>
          <w:color w:val="000000" w:themeColor="text1"/>
          <w:szCs w:val="24"/>
        </w:rPr>
        <w:t xml:space="preserve">, S. (2016). Desirable tourism transport futures. </w:t>
      </w:r>
      <w:r w:rsidRPr="0042007A">
        <w:rPr>
          <w:rFonts w:ascii="Times New Roman" w:hAnsi="Times New Roman" w:cs="Times New Roman"/>
          <w:i/>
          <w:iCs/>
          <w:color w:val="000000" w:themeColor="text1"/>
          <w:szCs w:val="24"/>
        </w:rPr>
        <w:t>Journal of Sustainable Tourism, 24</w:t>
      </w:r>
      <w:r w:rsidRPr="0042007A">
        <w:rPr>
          <w:rFonts w:ascii="Times New Roman" w:hAnsi="Times New Roman" w:cs="Times New Roman"/>
          <w:color w:val="000000" w:themeColor="text1"/>
          <w:szCs w:val="24"/>
        </w:rPr>
        <w:t>(11), 1394–1411.</w:t>
      </w:r>
      <w:r w:rsidRPr="0042007A">
        <w:rPr>
          <w:rFonts w:ascii="Times New Roman" w:hAnsi="Times New Roman" w:cs="Times New Roman"/>
          <w:color w:val="000000" w:themeColor="text1"/>
          <w:szCs w:val="24"/>
        </w:rPr>
        <w:br/>
        <w:t>https://doi.org/10.1080/09669582.2016.1141602</w:t>
      </w:r>
    </w:p>
    <w:p w14:paraId="31A6B9B2"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Timur, S., &amp; Getz, D. (2009). Sustainable tourism development. </w:t>
      </w:r>
      <w:r w:rsidRPr="0042007A">
        <w:rPr>
          <w:rFonts w:ascii="Times New Roman" w:hAnsi="Times New Roman" w:cs="Times New Roman"/>
          <w:i/>
          <w:iCs/>
          <w:color w:val="000000" w:themeColor="text1"/>
          <w:szCs w:val="24"/>
        </w:rPr>
        <w:t>Sustainable Development, 17</w:t>
      </w:r>
      <w:r w:rsidRPr="0042007A">
        <w:rPr>
          <w:rFonts w:ascii="Times New Roman" w:hAnsi="Times New Roman" w:cs="Times New Roman"/>
          <w:color w:val="000000" w:themeColor="text1"/>
          <w:szCs w:val="24"/>
        </w:rPr>
        <w:t>(4), 220–232.</w:t>
      </w:r>
      <w:r w:rsidRPr="0042007A">
        <w:rPr>
          <w:rFonts w:ascii="Times New Roman" w:hAnsi="Times New Roman" w:cs="Times New Roman"/>
          <w:color w:val="000000" w:themeColor="text1"/>
          <w:szCs w:val="24"/>
        </w:rPr>
        <w:br/>
        <w:t>https://doi.org/10.1002/sd.384</w:t>
      </w:r>
    </w:p>
    <w:p w14:paraId="642EB090"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lastRenderedPageBreak/>
        <w:t xml:space="preserve">UNWTO. (2019). </w:t>
      </w:r>
      <w:r w:rsidRPr="0042007A">
        <w:rPr>
          <w:rFonts w:ascii="Times New Roman" w:hAnsi="Times New Roman" w:cs="Times New Roman"/>
          <w:i/>
          <w:iCs/>
          <w:color w:val="000000" w:themeColor="text1"/>
          <w:szCs w:val="24"/>
        </w:rPr>
        <w:t>Guidelines for institutional strengthening of destination management organisations</w:t>
      </w:r>
      <w:r w:rsidRPr="0042007A">
        <w:rPr>
          <w:rFonts w:ascii="Times New Roman" w:hAnsi="Times New Roman" w:cs="Times New Roman"/>
          <w:color w:val="000000" w:themeColor="text1"/>
          <w:szCs w:val="24"/>
        </w:rPr>
        <w:t>. World Tourism Organization.</w:t>
      </w:r>
    </w:p>
    <w:p w14:paraId="6E38686A" w14:textId="77777777" w:rsidR="0042007A" w:rsidRPr="0042007A" w:rsidRDefault="0042007A" w:rsidP="0042007A">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 xml:space="preserve">UNWTO. (2021). </w:t>
      </w:r>
      <w:r w:rsidRPr="0042007A">
        <w:rPr>
          <w:rFonts w:ascii="Times New Roman" w:hAnsi="Times New Roman" w:cs="Times New Roman"/>
          <w:i/>
          <w:iCs/>
          <w:color w:val="000000" w:themeColor="text1"/>
          <w:szCs w:val="24"/>
        </w:rPr>
        <w:t>Managing tourism growth in destinations</w:t>
      </w:r>
      <w:r w:rsidRPr="0042007A">
        <w:rPr>
          <w:rFonts w:ascii="Times New Roman" w:hAnsi="Times New Roman" w:cs="Times New Roman"/>
          <w:color w:val="000000" w:themeColor="text1"/>
          <w:szCs w:val="24"/>
        </w:rPr>
        <w:t>. World Tourism Organization.</w:t>
      </w:r>
    </w:p>
    <w:p w14:paraId="18D123F1" w14:textId="20F6CD8C" w:rsidR="00F11085" w:rsidRPr="0042007A" w:rsidRDefault="00F11085" w:rsidP="0042007A">
      <w:pPr>
        <w:spacing w:line="360" w:lineRule="auto"/>
        <w:rPr>
          <w:rFonts w:ascii="Times New Roman" w:hAnsi="Times New Roman" w:cs="Times New Roman"/>
          <w:color w:val="000000" w:themeColor="text1"/>
          <w:szCs w:val="24"/>
        </w:rPr>
      </w:pPr>
    </w:p>
    <w:sectPr w:rsidR="00F11085" w:rsidRPr="004200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647DA"/>
    <w:rsid w:val="00275EAE"/>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73168"/>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30FA7"/>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3982</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2025-12-22T12:59:00Z</dcterms:created>
  <dcterms:modified xsi:type="dcterms:W3CDTF">2025-12-22T12:59:00Z</dcterms:modified>
</cp:coreProperties>
</file>