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39ECD">
      <w:pPr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B80210">
      <w:pPr>
        <w:jc w:val="both"/>
        <w:rPr>
          <w:rFonts w:hint="default" w:ascii="Times New Roman Regular" w:hAnsi="Times New Roman Regular" w:cs="Times New Roman Regular"/>
          <w:b/>
          <w:bCs/>
          <w:lang w:val="en-US"/>
        </w:rPr>
      </w:pPr>
      <w:r>
        <w:rPr>
          <w:rFonts w:hint="default" w:ascii="Times New Roman Regular" w:hAnsi="Times New Roman Regular" w:cs="Times New Roman Regular"/>
          <w:b/>
          <w:bCs/>
          <w:lang w:val="nl-NL"/>
        </w:rPr>
        <w:t>Operations Management in Hospitality</w:t>
      </w:r>
    </w:p>
    <w:p w14:paraId="7957884C">
      <w:pPr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t>Assignment 1</w:t>
      </w:r>
    </w:p>
    <w:p w14:paraId="1CBD2A70">
      <w:pPr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t>17.10.2025</w:t>
      </w:r>
    </w:p>
    <w:p w14:paraId="3FBD59FF">
      <w:pPr>
        <w:jc w:val="both"/>
        <w:rPr>
          <w:rFonts w:hint="default" w:ascii="Times New Roman Regular" w:hAnsi="Times New Roman Regular" w:cs="Times New Roman Regular"/>
        </w:rPr>
      </w:pPr>
    </w:p>
    <w:p w14:paraId="0842FDB7">
      <w:pPr>
        <w:jc w:val="both"/>
        <w:rPr>
          <w:rFonts w:hint="default" w:ascii="Times New Roman Regular" w:hAnsi="Times New Roman Regular" w:cs="Times New Roman Regular"/>
        </w:rPr>
      </w:pPr>
    </w:p>
    <w:p w14:paraId="7E7811F6">
      <w:pPr>
        <w:jc w:val="both"/>
        <w:rPr>
          <w:rFonts w:hint="default" w:ascii="Times New Roman Regular" w:hAnsi="Times New Roman Regular" w:cs="Times New Roman Regular"/>
        </w:rPr>
      </w:pPr>
    </w:p>
    <w:p w14:paraId="2B0A9BED">
      <w:pPr>
        <w:jc w:val="both"/>
        <w:rPr>
          <w:rFonts w:hint="default" w:ascii="Times New Roman Regular" w:hAnsi="Times New Roman Regular" w:cs="Times New Roman Regular"/>
        </w:rPr>
      </w:pPr>
    </w:p>
    <w:p w14:paraId="3CEC7595">
      <w:pPr>
        <w:jc w:val="both"/>
        <w:rPr>
          <w:rFonts w:hint="default" w:ascii="Times New Roman Regular" w:hAnsi="Times New Roman Regular" w:cs="Times New Roman Regular"/>
        </w:rPr>
      </w:pPr>
    </w:p>
    <w:p w14:paraId="27CCEB77">
      <w:pPr>
        <w:jc w:val="both"/>
        <w:rPr>
          <w:rFonts w:hint="default" w:ascii="Times New Roman Regular" w:hAnsi="Times New Roman Regular" w:cs="Times New Roman Regular"/>
        </w:rPr>
      </w:pPr>
    </w:p>
    <w:p w14:paraId="391E000B">
      <w:pPr>
        <w:jc w:val="both"/>
        <w:rPr>
          <w:rFonts w:hint="default" w:ascii="Times New Roman Regular" w:hAnsi="Times New Roman Regular" w:cs="Times New Roman Regular"/>
        </w:rPr>
      </w:pPr>
    </w:p>
    <w:p w14:paraId="57BFC6DF">
      <w:pPr>
        <w:jc w:val="both"/>
        <w:rPr>
          <w:rFonts w:hint="default" w:ascii="Times New Roman Regular" w:hAnsi="Times New Roman Regular" w:cs="Times New Roman Regular"/>
        </w:rPr>
      </w:pPr>
    </w:p>
    <w:p w14:paraId="0827F284">
      <w:pPr>
        <w:jc w:val="both"/>
        <w:rPr>
          <w:rFonts w:hint="default" w:ascii="Times New Roman Regular" w:hAnsi="Times New Roman Regular" w:cs="Times New Roman Regular"/>
        </w:rPr>
      </w:pPr>
    </w:p>
    <w:p w14:paraId="15DA3A21">
      <w:pPr>
        <w:jc w:val="both"/>
        <w:rPr>
          <w:rFonts w:hint="default" w:ascii="Times New Roman Regular" w:hAnsi="Times New Roman Regular" w:cs="Times New Roman Regular"/>
        </w:rPr>
      </w:pPr>
    </w:p>
    <w:p w14:paraId="678113FF">
      <w:pPr>
        <w:jc w:val="both"/>
        <w:rPr>
          <w:rFonts w:hint="default" w:ascii="Times New Roman Regular" w:hAnsi="Times New Roman Regular" w:cs="Times New Roman Regular"/>
        </w:rPr>
      </w:pPr>
    </w:p>
    <w:p w14:paraId="0E47954C">
      <w:pPr>
        <w:jc w:val="both"/>
        <w:rPr>
          <w:rFonts w:hint="default" w:ascii="Times New Roman Regular" w:hAnsi="Times New Roman Regular" w:cs="Times New Roman Regular"/>
        </w:rPr>
      </w:pPr>
    </w:p>
    <w:p w14:paraId="7A7D74CE">
      <w:pPr>
        <w:jc w:val="both"/>
        <w:rPr>
          <w:rFonts w:hint="default" w:ascii="Times New Roman Regular" w:hAnsi="Times New Roman Regular" w:cs="Times New Roman Regular"/>
        </w:rPr>
      </w:pPr>
    </w:p>
    <w:p w14:paraId="234A7C3D">
      <w:pPr>
        <w:spacing w:line="276" w:lineRule="auto"/>
        <w:jc w:val="both"/>
        <w:rPr>
          <w:rFonts w:hint="default" w:ascii="Times New Roman Regular" w:hAnsi="Times New Roman Regular" w:cs="Times New Roman Regular"/>
          <w:b/>
          <w:bCs/>
          <w:lang w:val="en-US"/>
        </w:rPr>
      </w:pPr>
      <w:r>
        <w:rPr>
          <w:rFonts w:hint="default" w:ascii="Times New Roman Regular" w:hAnsi="Times New Roman Regular" w:cs="Times New Roman Regular"/>
          <w:b/>
          <w:bCs/>
          <w:lang w:val="en-US"/>
        </w:rPr>
        <w:t>In no more than 1000 words, and using 3-5 references:</w:t>
      </w:r>
    </w:p>
    <w:p w14:paraId="277A7105">
      <w:pPr>
        <w:spacing w:line="276" w:lineRule="auto"/>
        <w:jc w:val="both"/>
        <w:rPr>
          <w:rFonts w:hint="default" w:ascii="Times New Roman Regular" w:hAnsi="Times New Roman Regular" w:cs="Times New Roman Regular"/>
          <w:lang w:val="en-US"/>
        </w:rPr>
      </w:pPr>
    </w:p>
    <w:p w14:paraId="5B9164B7">
      <w:pPr>
        <w:pStyle w:val="15"/>
        <w:numPr>
          <w:ilvl w:val="0"/>
          <w:numId w:val="1"/>
        </w:numPr>
        <w:spacing w:line="276" w:lineRule="auto"/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t>Choose two hospitality organizations (for example, two hotels or two restaurants) that offer similar services.</w:t>
      </w:r>
    </w:p>
    <w:p w14:paraId="3289E44D">
      <w:pPr>
        <w:pStyle w:val="15"/>
        <w:numPr>
          <w:ilvl w:val="0"/>
          <w:numId w:val="1"/>
        </w:numPr>
        <w:spacing w:line="276" w:lineRule="auto"/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t>Describe what each organization’s service concept is (what they offer and how they deliver it).</w:t>
      </w:r>
    </w:p>
    <w:p w14:paraId="380A2EE3">
      <w:pPr>
        <w:pStyle w:val="15"/>
        <w:numPr>
          <w:ilvl w:val="0"/>
          <w:numId w:val="1"/>
        </w:numPr>
        <w:spacing w:line="276" w:lineRule="auto"/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t>Compare their key features — what is similar and what is different?</w:t>
      </w:r>
    </w:p>
    <w:p w14:paraId="03A044C1">
      <w:pPr>
        <w:pStyle w:val="15"/>
        <w:numPr>
          <w:ilvl w:val="0"/>
          <w:numId w:val="1"/>
        </w:numPr>
        <w:spacing w:line="276" w:lineRule="auto"/>
        <w:jc w:val="both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  <w:lang w:val="en-US"/>
        </w:rPr>
        <w:t>Finally, come up with a new service idea that could give both organizations a strategic advantage in the market.</w:t>
      </w:r>
    </w:p>
    <w:p w14:paraId="6C13769E">
      <w:pPr>
        <w:pStyle w:val="2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  <w:bCs/>
        </w:rPr>
        <w:t>Comparison of Hotel Adlon Kempinski and Leonardo Royal Hotel Berlin Alexanderplatz</w:t>
      </w:r>
    </w:p>
    <w:p w14:paraId="5FB2BE80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Introduction</w:t>
      </w:r>
    </w:p>
    <w:p w14:paraId="791577FE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 xml:space="preserve">This report compares two well-known hotels in Berlin: </w:t>
      </w:r>
      <w:r>
        <w:rPr>
          <w:rStyle w:val="10"/>
          <w:rFonts w:hint="default" w:ascii="Times New Roman Regular" w:hAnsi="Times New Roman Regular" w:cs="Times New Roman Regular"/>
        </w:rPr>
        <w:t>Hotel Adlon Kempinski</w:t>
      </w:r>
      <w:r>
        <w:rPr>
          <w:rFonts w:hint="default" w:ascii="Times New Roman Regular" w:hAnsi="Times New Roman Regular" w:cs="Times New Roman Regular"/>
        </w:rPr>
        <w:t xml:space="preserve">, a luxury landmark next to the Brandenburg Gate, and the </w:t>
      </w:r>
      <w:r>
        <w:rPr>
          <w:rStyle w:val="10"/>
          <w:rFonts w:hint="default" w:ascii="Times New Roman Regular" w:hAnsi="Times New Roman Regular" w:cs="Times New Roman Regular"/>
        </w:rPr>
        <w:t>Leonardo Royal Hotel Berlin Alexanderplatz</w:t>
      </w:r>
      <w:r>
        <w:rPr>
          <w:rFonts w:hint="default" w:ascii="Times New Roman Regular" w:hAnsi="Times New Roman Regular" w:cs="Times New Roman Regular"/>
        </w:rPr>
        <w:t xml:space="preserve">, a modern four-star property near Alexanderplatz. Both hotels operate in central locations and serve a mix of business and leisure </w:t>
      </w:r>
      <w:r>
        <w:rPr>
          <w:rFonts w:hint="default" w:ascii="Times New Roman Regular" w:hAnsi="Times New Roman Regular" w:cs="Times New Roman Regular"/>
          <w:lang w:val="de-DE"/>
        </w:rPr>
        <w:t>travelers</w:t>
      </w:r>
      <w:r>
        <w:rPr>
          <w:rFonts w:hint="default" w:ascii="Times New Roman Regular" w:hAnsi="Times New Roman Regular" w:cs="Times New Roman Regular"/>
        </w:rPr>
        <w:t>, but their service concepts and customer expectations differ significantly.</w:t>
      </w:r>
    </w:p>
    <w:p w14:paraId="7CCEAA67">
      <w:pPr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</w:p>
    <w:p w14:paraId="7D25D344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Service Concepts</w:t>
      </w:r>
    </w:p>
    <w:p w14:paraId="55D9A147">
      <w:pPr>
        <w:pStyle w:val="5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Hotel Adlon Kempinski</w:t>
      </w:r>
    </w:p>
    <w:p w14:paraId="56722E8C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Hotel Adlon Kempinski is one of Germany’s most famous five-star hotels, known for tradition, prestige, and high-end hospitality. According to its official information, it offers around 380 rooms and more than 70 suites, along with fine dining options, including a two-Michelin-star restaurant (Kempinski, n.d.). The hotel also provides an extensive spa and wellness area with a pool, saunas, and professional treatments. Because of its historic reputation and iconic position at the Brandenburg Gate, the Adlon focuses on personalised service, a classic luxury ambience, and a high staff-to-guest ratio. Services such as concierge support, limousine arrangements, and customised guest experiences highlight its luxury positioning.</w:t>
      </w:r>
    </w:p>
    <w:p w14:paraId="01EA5DB9">
      <w:pPr>
        <w:pStyle w:val="5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Leonardo Royal Hotel Berlin Alexanderplatz</w:t>
      </w:r>
    </w:p>
    <w:p w14:paraId="7A03B559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The Leonardo Royal Berlin Alexanderplatz represents a different type of hospitality. It is a four-star hotel inside a renovated historic building, with a modern interior and a focus on comfort and practicality. The hotel features a range of contemporary rooms, a bar and restaurant, and wellness facilities such as a fitness room and sauna (Leonardo Hotels, n.d.). Its service concept is designed to be efficient, value-</w:t>
      </w:r>
      <w:r>
        <w:rPr>
          <w:rFonts w:hint="default" w:ascii="Times New Roman Regular" w:hAnsi="Times New Roman Regular" w:cs="Times New Roman Regular"/>
          <w:lang w:val="de-DE"/>
        </w:rPr>
        <w:t>oriented</w:t>
      </w:r>
      <w:r>
        <w:rPr>
          <w:rFonts w:hint="default" w:ascii="Times New Roman Regular" w:hAnsi="Times New Roman Regular" w:cs="Times New Roman Regular"/>
        </w:rPr>
        <w:t>, and suitable for guests who want a central location without paying luxury-level prices. Staff interactions are more functional than personalised, and the hotel appeals to both city tourists and business guests who prioritise convenience over exclusivity.</w:t>
      </w:r>
    </w:p>
    <w:p w14:paraId="41FCDD65">
      <w:pPr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</w:p>
    <w:p w14:paraId="6E634C12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Comparison of Key Features</w:t>
      </w:r>
    </w:p>
    <w:p w14:paraId="633F24A4">
      <w:pPr>
        <w:pStyle w:val="5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Similarities</w:t>
      </w:r>
    </w:p>
    <w:p w14:paraId="2EA4D1A5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Despite their different positions in the market, the two hotels share several characteristics:</w:t>
      </w:r>
    </w:p>
    <w:p w14:paraId="6B9E65C0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5"/>
        </w:tabs>
        <w:spacing w:line="240" w:lineRule="auto"/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Prime Location: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Both hotels are situated in central Berlin. The Adlon is located in the government district, while the Leonardo Royal is just a short walk from Alexanderplatz, one of Berlin’s major transport hubs. Their locations make them attractive for sightseeing and business trips.</w:t>
      </w:r>
    </w:p>
    <w:p w14:paraId="514E4724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5"/>
        </w:tabs>
        <w:spacing w:line="240" w:lineRule="auto"/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  <w:lang w:val="de-DE"/>
        </w:rPr>
        <w:t>.</w:t>
      </w:r>
      <w:r>
        <w:rPr>
          <w:rStyle w:val="10"/>
          <w:rFonts w:hint="default" w:ascii="Times New Roman Regular" w:hAnsi="Times New Roman Regular" w:cs="Times New Roman Regular"/>
        </w:rPr>
        <w:t>Wellness Facilities: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Each hotel provides spaces for relaxation. The Adlon offers a large, luxurious spa with a pool and professional treatments, while the Leonardo Royal has a smaller but practical wellness area with a sauna and gym.</w:t>
      </w:r>
    </w:p>
    <w:p w14:paraId="72091617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tabs>
          <w:tab w:val="clear" w:pos="425"/>
        </w:tabs>
        <w:spacing w:line="240" w:lineRule="auto"/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Event and Meeting Space: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Both properties host events and meetings. The Adlon has large ballrooms and high-profile event spaces suitable for international conferences, while the Leonardo Royal offers smaller meeting rooms suited for workshops and corporate gatherings.</w:t>
      </w:r>
    </w:p>
    <w:p w14:paraId="4BAE213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 w:hanging="360" w:firstLineChars="0"/>
        <w:jc w:val="both"/>
        <w:rPr>
          <w:rFonts w:hint="default" w:ascii="Times New Roman Regular" w:hAnsi="Times New Roman Regular" w:cs="Times New Roman Regular"/>
        </w:rPr>
      </w:pPr>
    </w:p>
    <w:p w14:paraId="79B3110C">
      <w:pPr>
        <w:pStyle w:val="5"/>
        <w:keepNext w:val="0"/>
        <w:keepLines w:val="0"/>
        <w:widowControl/>
        <w:suppressLineNumbers w:val="0"/>
        <w:jc w:val="both"/>
        <w:rPr>
          <w:rStyle w:val="10"/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Differences</w:t>
      </w:r>
    </w:p>
    <w:p w14:paraId="1061D95B">
      <w:pPr>
        <w:pStyle w:val="5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Their differences are more pronounced than their similarities:</w:t>
      </w:r>
    </w:p>
    <w:p w14:paraId="74C3104C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ind w:left="432" w:leftChars="0" w:hanging="432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Level of Service: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Hotel Adlon delivers traditional luxury service, with personalised attention and refined dining options. In contrast, Leonardo Royal focuses on efficient service and functional comfort rather than exclusivity.</w:t>
      </w:r>
    </w:p>
    <w:p w14:paraId="766900CA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440" w:hanging="360" w:firstLineChars="0"/>
        <w:jc w:val="both"/>
        <w:rPr>
          <w:rFonts w:hint="default" w:ascii="Times New Roman Regular" w:hAnsi="Times New Roman Regular" w:cs="Times New Roman Regular"/>
        </w:rPr>
      </w:pPr>
    </w:p>
    <w:p w14:paraId="68DDB88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440" w:hanging="360" w:firstLineChars="0"/>
        <w:jc w:val="both"/>
        <w:rPr>
          <w:rFonts w:hint="default" w:ascii="Times New Roman Regular" w:hAnsi="Times New Roman Regular" w:cs="Times New Roman Regular"/>
        </w:rPr>
      </w:pPr>
    </w:p>
    <w:p w14:paraId="6892E6EE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ind w:left="432" w:leftChars="0" w:hanging="432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Guest Profile: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The Adlon tends to attract VIPs, diplomats, high-budget travellers, and luxury-oriented visitors. The Leonardo Royal appeals to mid-scale business travellers and tourists looking for a clean, comfortable stay at a reasonable price.</w:t>
      </w:r>
    </w:p>
    <w:p w14:paraId="43512B0E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ind w:left="432" w:leftChars="0" w:hanging="432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Atmosphere and Design: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The Adlon has an elegant, classic design supported by its long history, while the Leonardo Royal mixes historic architecture with a modern, minimalistic interior aimed at younger leisure guests and professionals.</w:t>
      </w:r>
    </w:p>
    <w:p w14:paraId="280EAEF0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ind w:left="432" w:leftChars="0" w:hanging="432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Price Point: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>As expected, the Adlon is significantly more expensive, reflecting its five-star classification. The Leonardo Royal remains accessible to a much wider audience.</w:t>
      </w:r>
    </w:p>
    <w:p w14:paraId="3D9996F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440" w:hanging="360" w:firstLineChars="0"/>
        <w:jc w:val="both"/>
        <w:rPr>
          <w:rFonts w:hint="default" w:ascii="Times New Roman Regular" w:hAnsi="Times New Roman Regular" w:cs="Times New Roman Regular"/>
        </w:rPr>
      </w:pPr>
    </w:p>
    <w:p w14:paraId="0D823237">
      <w:pPr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</w:p>
    <w:p w14:paraId="20193210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New Service Idea: “Berlin Culture &amp; Comfort Pass”</w:t>
      </w:r>
    </w:p>
    <w:p w14:paraId="0BCB9F9A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 xml:space="preserve">To strengthen the market positioning of both hotels, a shared strategic service idea could be introduced: a </w:t>
      </w:r>
      <w:r>
        <w:rPr>
          <w:rStyle w:val="10"/>
          <w:rFonts w:hint="default" w:ascii="Times New Roman Regular" w:hAnsi="Times New Roman Regular" w:cs="Times New Roman Regular"/>
        </w:rPr>
        <w:t>“Berlin Culture &amp; Comfort Pass.”</w:t>
      </w:r>
      <w:r>
        <w:rPr>
          <w:rFonts w:hint="default" w:ascii="Times New Roman Regular" w:hAnsi="Times New Roman Regular" w:cs="Times New Roman Regular"/>
        </w:rPr>
        <w:t xml:space="preserve"> This optional add-on would give guests a curated cultural and wellness experience during their stay.</w:t>
      </w:r>
    </w:p>
    <w:p w14:paraId="641345DF">
      <w:pPr>
        <w:pStyle w:val="5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How It Would Work</w:t>
      </w:r>
    </w:p>
    <w:p w14:paraId="57C797F3">
      <w:pPr>
        <w:pStyle w:val="9"/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Guests receive access to museum or gallery tickets, allowing them to skip queues at major attractions.The pass would include sustainable city mobility options such as public transport day passes or e-bike rentals.Local partnerships with restaurants, design studios, or cultural venues would provide discounts or reserved spots for hotel guests.Each hotel would deliver the pass in a style consistent with its brand.</w:t>
      </w:r>
    </w:p>
    <w:p w14:paraId="39F66D7D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 xml:space="preserve">At the </w:t>
      </w:r>
      <w:r>
        <w:rPr>
          <w:rStyle w:val="10"/>
          <w:rFonts w:hint="default" w:ascii="Times New Roman Regular" w:hAnsi="Times New Roman Regular" w:cs="Times New Roman Regular"/>
        </w:rPr>
        <w:t>Adlon</w:t>
      </w:r>
      <w:r>
        <w:rPr>
          <w:rFonts w:hint="default" w:ascii="Times New Roman Regular" w:hAnsi="Times New Roman Regular" w:cs="Times New Roman Regular"/>
        </w:rPr>
        <w:t>, the concierge team could personalise the itinerary and offer luxury add-ons like private tours.</w:t>
      </w:r>
    </w:p>
    <w:p w14:paraId="3F64FC28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 xml:space="preserve">At the </w:t>
      </w:r>
      <w:r>
        <w:rPr>
          <w:rStyle w:val="10"/>
          <w:rFonts w:hint="default" w:ascii="Times New Roman Regular" w:hAnsi="Times New Roman Regular" w:cs="Times New Roman Regular"/>
        </w:rPr>
        <w:t>Leonardo Royal</w:t>
      </w:r>
      <w:r>
        <w:rPr>
          <w:rFonts w:hint="default" w:ascii="Times New Roman Regular" w:hAnsi="Times New Roman Regular" w:cs="Times New Roman Regular"/>
        </w:rPr>
        <w:t>, guests could book experiences through a digital platform or reception desk.</w:t>
      </w:r>
    </w:p>
    <w:p w14:paraId="5E08CFD4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A small wellness component could be added, such as spa credits at the Adlon or complimentary sauna sessions at the Leonardo Royal.</w:t>
      </w:r>
    </w:p>
    <w:p w14:paraId="453051F0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</w:p>
    <w:p w14:paraId="2017DAAB">
      <w:pPr>
        <w:pStyle w:val="5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Strategic Benefits</w:t>
      </w:r>
    </w:p>
    <w:p w14:paraId="72E6F254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This service would:</w:t>
      </w:r>
    </w:p>
    <w:p w14:paraId="784B3CB3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tabs>
          <w:tab w:val="clear" w:pos="425"/>
        </w:tabs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Differentiate both hotels from competitors and online travel agencies.</w:t>
      </w:r>
    </w:p>
    <w:p w14:paraId="754EBAA8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tabs>
          <w:tab w:val="clear" w:pos="425"/>
        </w:tabs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Generate additional revenue through cultural partnerships and upgrades.</w:t>
      </w:r>
    </w:p>
    <w:p w14:paraId="348ACF85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tabs>
          <w:tab w:val="clear" w:pos="425"/>
        </w:tabs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Improve the guest experience by connecting visitors with Berlin’s cultural identity.</w:t>
      </w:r>
    </w:p>
    <w:p w14:paraId="0560B953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tabs>
          <w:tab w:val="clear" w:pos="425"/>
        </w:tabs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Support sustainability through eco-friendly transportation options.</w:t>
      </w:r>
    </w:p>
    <w:p w14:paraId="5F939BDD">
      <w:pPr>
        <w:pStyle w:val="9"/>
        <w:keepNext w:val="0"/>
        <w:keepLines w:val="0"/>
        <w:widowControl/>
        <w:numPr>
          <w:ilvl w:val="0"/>
          <w:numId w:val="4"/>
        </w:numPr>
        <w:suppressLineNumbers w:val="0"/>
        <w:tabs>
          <w:tab w:val="clear" w:pos="425"/>
        </w:tabs>
        <w:ind w:left="425" w:leftChars="0" w:right="0" w:rightChars="0" w:hanging="425" w:firstLineChars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Strengthen each hotel’s brand: luxury personalisation for the Adlon and modern convenience for Leonardo Royal.</w:t>
      </w:r>
    </w:p>
    <w:p w14:paraId="09E51963">
      <w:pPr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</w:p>
    <w:p w14:paraId="3D59887A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Conclusion</w:t>
      </w:r>
    </w:p>
    <w:p w14:paraId="311DC613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Hotel Adlon Kempinski and Leonardo Royal Hotel Berlin Alexanderplatz operate in the same city but target very different guest segments. The Adlon offers historic prestige, luxury facilities, and high-level personalised</w:t>
      </w:r>
      <w:bookmarkStart w:id="0" w:name="_GoBack"/>
      <w:bookmarkEnd w:id="0"/>
      <w:r>
        <w:rPr>
          <w:rFonts w:hint="default" w:ascii="Times New Roman Regular" w:hAnsi="Times New Roman Regular" w:cs="Times New Roman Regular"/>
        </w:rPr>
        <w:t xml:space="preserve"> service, while the Leonardo Royal focuses on practicality, comfort, and value. A shared service innovation such as the “Berlin Culture &amp; Comfort Pass” could benefit both hotels by enriching the guest experience, increasing direct bookings, and creating a stronger connection between the hotels and the city of Berlin.</w:t>
      </w:r>
    </w:p>
    <w:p w14:paraId="5D50966E">
      <w:pPr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</w:p>
    <w:p w14:paraId="79C85D52">
      <w:pPr>
        <w:pStyle w:val="4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Style w:val="10"/>
          <w:rFonts w:hint="default" w:ascii="Times New Roman Regular" w:hAnsi="Times New Roman Regular" w:cs="Times New Roman Regular"/>
        </w:rPr>
        <w:t>References</w:t>
      </w:r>
    </w:p>
    <w:p w14:paraId="0BEE41F4">
      <w:pPr>
        <w:pStyle w:val="9"/>
        <w:keepNext w:val="0"/>
        <w:keepLines w:val="0"/>
        <w:widowControl/>
        <w:suppressLineNumbers w:val="0"/>
        <w:jc w:val="both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 xml:space="preserve">Kempinski. (n.d.). </w:t>
      </w:r>
      <w:r>
        <w:rPr>
          <w:rStyle w:val="8"/>
          <w:rFonts w:hint="default" w:ascii="Times New Roman Regular" w:hAnsi="Times New Roman Regular" w:cs="Times New Roman Regular"/>
        </w:rPr>
        <w:t>Hotel Adlon Kempinski Berlin – overview and facilities.</w:t>
      </w:r>
      <w:r>
        <w:rPr>
          <w:rFonts w:hint="default" w:ascii="Times New Roman Regular" w:hAnsi="Times New Roman Regular" w:cs="Times New Roman Regular"/>
        </w:rPr>
        <w:t xml:space="preserve"> Retrieved from kempinski.com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 xml:space="preserve">Leonardo Hotels. (n.d.). </w:t>
      </w:r>
      <w:r>
        <w:rPr>
          <w:rStyle w:val="8"/>
          <w:rFonts w:hint="default" w:ascii="Times New Roman Regular" w:hAnsi="Times New Roman Regular" w:cs="Times New Roman Regular"/>
        </w:rPr>
        <w:t>Leonardo Royal Hotel Berlin Alexanderplatz – hotel details.</w:t>
      </w:r>
      <w:r>
        <w:rPr>
          <w:rFonts w:hint="default" w:ascii="Times New Roman Regular" w:hAnsi="Times New Roman Regular" w:cs="Times New Roman Regular"/>
        </w:rPr>
        <w:t xml:space="preserve"> Retrieved from leonardo-hotels.com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 xml:space="preserve">BusinessClass.com. (n.d.). </w:t>
      </w:r>
      <w:r>
        <w:rPr>
          <w:rStyle w:val="8"/>
          <w:rFonts w:hint="default" w:ascii="Times New Roman Regular" w:hAnsi="Times New Roman Regular" w:cs="Times New Roman Regular"/>
        </w:rPr>
        <w:t>Hotel Adlon Kempinski Berlin – review.</w:t>
      </w:r>
      <w:r>
        <w:rPr>
          <w:rFonts w:hint="default" w:ascii="Times New Roman Regular" w:hAnsi="Times New Roman Regular" w:cs="Times New Roman Regular"/>
        </w:rPr>
        <w:br w:type="textWrapping"/>
      </w:r>
      <w:r>
        <w:rPr>
          <w:rFonts w:hint="default" w:ascii="Times New Roman Regular" w:hAnsi="Times New Roman Regular" w:cs="Times New Roman Regular"/>
        </w:rPr>
        <w:t xml:space="preserve">Conference Hotel Group. (n.d.). </w:t>
      </w:r>
      <w:r>
        <w:rPr>
          <w:rStyle w:val="8"/>
          <w:rFonts w:hint="default" w:ascii="Times New Roman Regular" w:hAnsi="Times New Roman Regular" w:cs="Times New Roman Regular"/>
        </w:rPr>
        <w:t>Hotel Adlon – factsheet.</w:t>
      </w:r>
    </w:p>
    <w:p w14:paraId="4B534FF6">
      <w:pPr>
        <w:pStyle w:val="15"/>
        <w:numPr>
          <w:numId w:val="0"/>
        </w:numPr>
        <w:spacing w:line="276" w:lineRule="auto"/>
        <w:contextualSpacing/>
        <w:jc w:val="both"/>
        <w:rPr>
          <w:rFonts w:hint="default" w:ascii="Times New Roman Regular" w:hAnsi="Times New Roman Regular" w:cs="Times New Roman Regular"/>
          <w:lang w:val="en-US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Wingdings">
    <w:panose1 w:val="05000000000000000000"/>
    <w:charset w:val="4D"/>
    <w:family w:val="decorative"/>
    <w:pitch w:val="default"/>
    <w:sig w:usb0="00000000" w:usb1="00000000" w:usb2="00000000" w:usb3="00000000" w:csb0="8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  <w:embedRegular r:id="rId1" w:fontKey="{EE3A7E34-3E8C-1E64-73C2-1769381F7D7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9C6B07"/>
    <w:multiLevelType w:val="singleLevel"/>
    <w:tmpl w:val="B79C6B07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C7DAAFBD"/>
    <w:multiLevelType w:val="singleLevel"/>
    <w:tmpl w:val="C7DAAFBD"/>
    <w:lvl w:ilvl="0" w:tentative="0">
      <w:start w:val="1"/>
      <w:numFmt w:val="decimal"/>
      <w:lvlText w:val="%1."/>
      <w:lvlJc w:val="left"/>
      <w:pPr>
        <w:tabs>
          <w:tab w:val="left" w:pos="1440"/>
        </w:tabs>
        <w:ind w:left="432" w:leftChars="0" w:hanging="432" w:firstLineChars="0"/>
      </w:pPr>
      <w:rPr>
        <w:rFonts w:hint="default"/>
      </w:rPr>
    </w:lvl>
  </w:abstractNum>
  <w:abstractNum w:abstractNumId="2">
    <w:nsid w:val="6D7211F2"/>
    <w:multiLevelType w:val="singleLevel"/>
    <w:tmpl w:val="6D7211F2"/>
    <w:lvl w:ilvl="0" w:tentative="0">
      <w:start w:val="1"/>
      <w:numFmt w:val="upperLetter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77D1549A"/>
    <w:multiLevelType w:val="multilevel"/>
    <w:tmpl w:val="77D1549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TrueType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903466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  <w:rsid w:val="6D7948FF"/>
    <w:rsid w:val="7FBED70C"/>
    <w:rsid w:val="DDF9AB3B"/>
    <w:rsid w:val="EEFBE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kern w:val="2"/>
      <w:sz w:val="24"/>
      <w:szCs w:val="24"/>
      <w:lang w:val="zh-CN" w:eastAsia="en-US" w:bidi="ar-SA"/>
      <w14:ligatures w14:val="standardContextual"/>
    </w:rPr>
  </w:style>
  <w:style w:type="paragraph" w:styleId="2">
    <w:name w:val="heading 1"/>
    <w:basedOn w:val="3"/>
    <w:next w:val="1"/>
    <w:link w:val="12"/>
    <w:autoRedefine/>
    <w:qFormat/>
    <w:uiPriority w:val="9"/>
    <w:pPr>
      <w:keepNext/>
      <w:keepLines/>
      <w:spacing w:before="480"/>
      <w:outlineLvl w:val="0"/>
    </w:pPr>
    <w:rPr>
      <w:rFonts w:ascii="Cambria" w:hAnsi="Cambria" w:eastAsiaTheme="majorEastAsia" w:cstheme="majorBidi"/>
      <w:bCs/>
      <w:sz w:val="28"/>
      <w:szCs w:val="28"/>
      <w:lang w:val="en-US"/>
    </w:rPr>
  </w:style>
  <w:style w:type="paragraph" w:styleId="4">
    <w:name w:val="heading 2"/>
    <w:basedOn w:val="1"/>
    <w:next w:val="1"/>
    <w:link w:val="13"/>
    <w:autoRedefine/>
    <w:unhideWhenUsed/>
    <w:qFormat/>
    <w:uiPriority w:val="9"/>
    <w:pPr>
      <w:keepNext/>
      <w:keepLines/>
      <w:spacing w:before="40" w:line="276" w:lineRule="auto"/>
      <w:outlineLvl w:val="1"/>
    </w:pPr>
    <w:rPr>
      <w:rFonts w:ascii="Cambria" w:hAnsi="Cambria" w:eastAsiaTheme="majorEastAsia" w:cstheme="majorBidi"/>
      <w:color w:val="000000" w:themeColor="text1"/>
      <w:sz w:val="26"/>
      <w:szCs w:val="26"/>
      <w:lang w:val="en-US"/>
      <w14:textFill>
        <w14:solidFill>
          <w14:schemeClr w14:val="tx1"/>
        </w14:solidFill>
      </w14:textFill>
    </w:rPr>
  </w:style>
  <w:style w:type="paragraph" w:styleId="5">
    <w:name w:val="heading 3"/>
    <w:basedOn w:val="1"/>
    <w:next w:val="1"/>
    <w:link w:val="14"/>
    <w:autoRedefine/>
    <w:unhideWhenUsed/>
    <w:qFormat/>
    <w:uiPriority w:val="9"/>
    <w:pPr>
      <w:keepNext/>
      <w:keepLines/>
      <w:spacing w:before="40" w:line="276" w:lineRule="auto"/>
      <w:outlineLvl w:val="2"/>
    </w:pPr>
    <w:rPr>
      <w:rFonts w:ascii="Cambria" w:hAnsi="Cambria" w:eastAsiaTheme="majorEastAsia" w:cstheme="majorBidi"/>
      <w:color w:val="000000" w:themeColor="text1"/>
      <w:lang w:val="en-US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 Spacing"/>
    <w:qFormat/>
    <w:uiPriority w:val="1"/>
    <w:rPr>
      <w:rFonts w:asciiTheme="minorHAnsi" w:hAnsiTheme="minorHAnsi" w:eastAsiaTheme="minorHAnsi" w:cstheme="minorBidi"/>
      <w:kern w:val="2"/>
      <w:sz w:val="24"/>
      <w:szCs w:val="24"/>
      <w:lang w:val="zh-CN" w:eastAsia="en-US" w:bidi="ar-SA"/>
      <w14:ligatures w14:val="standardContextual"/>
    </w:rPr>
  </w:style>
  <w:style w:type="character" w:styleId="8">
    <w:name w:val="Emphasis"/>
    <w:basedOn w:val="6"/>
    <w:qFormat/>
    <w:uiPriority w:val="20"/>
    <w:rPr>
      <w:i/>
      <w:iCs/>
    </w:rPr>
  </w:style>
  <w:style w:type="paragraph" w:styleId="9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10">
    <w:name w:val="Strong"/>
    <w:basedOn w:val="6"/>
    <w:qFormat/>
    <w:uiPriority w:val="22"/>
    <w:rPr>
      <w:b/>
      <w:bCs/>
    </w:rPr>
  </w:style>
  <w:style w:type="paragraph" w:styleId="11">
    <w:name w:val="table of figures"/>
    <w:basedOn w:val="1"/>
    <w:next w:val="1"/>
    <w:autoRedefine/>
    <w:unhideWhenUsed/>
    <w:qFormat/>
    <w:uiPriority w:val="99"/>
    <w:pPr>
      <w:spacing w:line="276" w:lineRule="auto"/>
    </w:pPr>
    <w:rPr>
      <w:rFonts w:ascii="Cambria" w:hAnsi="Cambria"/>
      <w:sz w:val="20"/>
      <w:szCs w:val="22"/>
      <w:lang w:val="en-US"/>
    </w:rPr>
  </w:style>
  <w:style w:type="character" w:customStyle="1" w:styleId="12">
    <w:name w:val="Heading 1 Char"/>
    <w:basedOn w:val="6"/>
    <w:link w:val="2"/>
    <w:uiPriority w:val="9"/>
    <w:rPr>
      <w:rFonts w:ascii="Cambria" w:hAnsi="Cambria" w:eastAsiaTheme="majorEastAsia" w:cstheme="majorBidi"/>
      <w:bCs/>
      <w:sz w:val="28"/>
      <w:szCs w:val="28"/>
      <w:lang w:val="en-US"/>
    </w:rPr>
  </w:style>
  <w:style w:type="character" w:customStyle="1" w:styleId="13">
    <w:name w:val="Heading 2 Char"/>
    <w:basedOn w:val="6"/>
    <w:link w:val="4"/>
    <w:uiPriority w:val="9"/>
    <w:rPr>
      <w:rFonts w:ascii="Cambria" w:hAnsi="Cambria" w:eastAsiaTheme="majorEastAsia" w:cstheme="majorBidi"/>
      <w:color w:val="000000" w:themeColor="text1"/>
      <w:sz w:val="26"/>
      <w:szCs w:val="26"/>
      <w:lang w:val="en-US"/>
      <w14:textFill>
        <w14:solidFill>
          <w14:schemeClr w14:val="tx1"/>
        </w14:solidFill>
      </w14:textFill>
    </w:rPr>
  </w:style>
  <w:style w:type="character" w:customStyle="1" w:styleId="14">
    <w:name w:val="Heading 3 Char"/>
    <w:basedOn w:val="6"/>
    <w:link w:val="5"/>
    <w:uiPriority w:val="9"/>
    <w:rPr>
      <w:rFonts w:ascii="Cambria" w:hAnsi="Cambria" w:eastAsiaTheme="majorEastAsia" w:cstheme="majorBidi"/>
      <w:color w:val="000000" w:themeColor="text1"/>
      <w:lang w:val="en-US"/>
      <w14:textFill>
        <w14:solidFill>
          <w14:schemeClr w14:val="tx1"/>
        </w14:solidFill>
      </w14:textFill>
    </w:rPr>
  </w:style>
  <w:style w:type="paragraph" w:styleId="1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969</Words>
  <Characters>5824</Characters>
  <Lines>3</Lines>
  <Paragraphs>1</Paragraphs>
  <TotalTime>69</TotalTime>
  <ScaleCrop>false</ScaleCrop>
  <LinksUpToDate>false</LinksUpToDate>
  <CharactersWithSpaces>6737</CharactersWithSpaces>
  <Application>WPS Office_12.1.23152.23152_F1E327BC-269C-435d-A152-05C5408002CA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2025-05-02T13:58:00Z</dcterms:created>
  <dc:creator>Mahmoud Bakry</dc:creator>
  <cp:lastModifiedBy>KumarAjay</cp:lastModifiedBy>
  <dcterms:modified xsi:type="dcterms:W3CDTF">2025-11-15T00:59:47Z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1033-12.1.23152.23152</vt:lpwstr>
  </property>
  <property fmtid="{D5CDD505-2E9C-101B-9397-08002B2CF9AE}" pid="3" name="ICV">
    <vt:lpwstr>B05985BCEC32E8A873C217694640D0DD_43</vt:lpwstr>
  </property>
</Properties>
</file>