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“Crisis Communication Plan for BlueVista Resorts Addressing Allegations of Exploiting Migrant Workers in Seasonal Roles”</w:t>
      </w:r>
    </w:p>
    <w:p w:rsidR="00000000" w:rsidDel="00000000" w:rsidP="00000000" w:rsidRDefault="00000000" w:rsidRPr="00000000" w14:paraId="00000002">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Name - Sunil Kumar </w:t>
      </w:r>
    </w:p>
    <w:p w:rsidR="00000000" w:rsidDel="00000000" w:rsidP="00000000" w:rsidRDefault="00000000" w:rsidRPr="00000000" w14:paraId="00000004">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ID - DE240173</w:t>
      </w:r>
    </w:p>
    <w:p w:rsidR="00000000" w:rsidDel="00000000" w:rsidP="00000000" w:rsidRDefault="00000000" w:rsidRPr="00000000" w14:paraId="0000000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Times New Roman" w:cs="Times New Roman" w:eastAsia="Times New Roman" w:hAnsi="Times New Roman"/>
          <w:b w:val="1"/>
          <w:i w:val="0"/>
          <w:smallCaps w:val="0"/>
          <w:strike w:val="0"/>
          <w:color w:val="2e75b5"/>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e75b5"/>
          <w:sz w:val="28"/>
          <w:szCs w:val="28"/>
          <w:u w:val="none"/>
          <w:shd w:fill="auto" w:val="clear"/>
          <w:vertAlign w:val="baseline"/>
          <w:rtl w:val="0"/>
        </w:rPr>
        <w:t xml:space="preserve">Table of Contents</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sdt>
      <w:sdtPr>
        <w:id w:val="1969006631"/>
        <w:docPartObj>
          <w:docPartGallery w:val="Table of Contents"/>
          <w:docPartUnique w:val="1"/>
        </w:docPartObj>
      </w:sdtPr>
      <w:sdtContent>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u2a02yh1mj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Abstract</w:t>
              <w:tab/>
              <w:t xml:space="preserve">3</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350"/>
            </w:tabs>
            <w:spacing w:after="10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edh5sgnlg78x">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w:t>
              <w:tab/>
              <w:t xml:space="preserve">Introduction</w:t>
              <w:tab/>
              <w:t xml:space="preserve">4</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favu92a6n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Background of BlueVista Resorts</w:t>
              <w:tab/>
              <w:t xml:space="preserve">4</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qo6lx7zh4su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Nature of the Crisis</w:t>
              <w:tab/>
              <w:t xml:space="preserve">4</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kjdmj6lwn35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Strategic Communication Imperative</w:t>
              <w:tab/>
              <w:t xml:space="preserve">4</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i4hs6enbq8py">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Critical Perspective</w:t>
              <w:tab/>
              <w:t xml:space="preserve">5</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pqn4tzmkm5f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Literature Review: Business English and Communication Frameworks</w:t>
              <w:tab/>
              <w:t xml:space="preserve">5</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dcs1chxql1by">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Crisis Communication Theories</w:t>
              <w:tab/>
              <w:t xml:space="preserve">5</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ef9e2ymunm1c">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Intercultural Communication Frameworks</w:t>
              <w:tab/>
              <w:t xml:space="preserve">6</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a2pwnskvf7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 Business English in Tourism and International Crisis Management</w:t>
              <w:tab/>
              <w:t xml:space="preserve">7</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xwmvt0be8pob">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 Critical Perspective on Communication Models</w:t>
              <w:tab/>
              <w:t xml:space="preserve">8</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9ffk35gykfq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Methodology</w:t>
              <w:tab/>
              <w:t xml:space="preserve">9</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a705nr2pled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Approach</w:t>
              <w:tab/>
              <w:t xml:space="preserve">9</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7psm4e5v1voi">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Data Sources</w:t>
              <w:tab/>
              <w:t xml:space="preserve">9</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sw1bud1bwm3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 Ethical Considerations</w:t>
              <w:tab/>
              <w:t xml:space="preserve">10</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f0rs0kepc7p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Findings: Communication Deliverables</w:t>
              <w:tab/>
              <w:t xml:space="preserve">10</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c23l2trnyut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Internal Memo to Staff</w:t>
              <w:tab/>
              <w:t xml:space="preserve">11</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k0e68e1d1na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 Press Release</w:t>
              <w:tab/>
              <w:t xml:space="preserve">11</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x5revnvgbrd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4.3 Investor Letter</w:t>
              <w:tab/>
              <w:t xml:space="preserve">12</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why4y8exp0d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4.4 Multicultural Messaging Strategy</w:t>
              <w:tab/>
              <w:t xml:space="preserve">13</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558cpali6o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Discussion</w:t>
              <w:tab/>
              <w:t xml:space="preserve">14</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jfj4n02gzo9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Analysis of BlueVista’s Communication Strategy</w:t>
              <w:tab/>
              <w:t xml:space="preserve">14</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kfy0w9xjpj3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 Effectiveness of Internal vs. External Communication</w:t>
              <w:tab/>
              <w:t xml:space="preserve">16</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83kn5eovel6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5.3 Cultural Appropriateness and Business English Execution</w:t>
              <w:tab/>
              <w:t xml:space="preserve">17</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znr8jdzwqn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5.4 Strategic and Operational Implications</w:t>
              <w:tab/>
              <w:t xml:space="preserve">18</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oerm1kbopt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Critical Analysis</w:t>
              <w:tab/>
              <w:t xml:space="preserve">18</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f86zz5l74g7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Conclusion</w:t>
              <w:tab/>
              <w:t xml:space="preserve">19</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zql1rnujaf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6.1. Summary of Key Insights</w:t>
              <w:tab/>
              <w:t xml:space="preserve">19</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pa4zqsh4h3k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6.2. Recommendations</w:t>
              <w:tab/>
              <w:t xml:space="preserve">20</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sd5q2m9hntq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6.3. Forward-Looking Perspective</w:t>
              <w:tab/>
              <w:t xml:space="preserve">20</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5j70ea843be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21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A">
      <w:pPr>
        <w:pStyle w:val="Heading1"/>
        <w:spacing w:before="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B">
      <w:pPr>
        <w:pStyle w:val="Heading1"/>
        <w:spacing w:before="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C">
      <w:pPr>
        <w:pStyle w:val="Heading1"/>
        <w:spacing w:before="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D">
      <w:pPr>
        <w:pStyle w:val="Heading1"/>
        <w:spacing w:before="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E">
      <w:pPr>
        <w:pStyle w:val="Heading1"/>
        <w:spacing w:before="0" w:lineRule="auto"/>
        <w:rPr>
          <w:rFonts w:ascii="Times New Roman" w:cs="Times New Roman" w:eastAsia="Times New Roman" w:hAnsi="Times New Roman"/>
          <w:b w:val="1"/>
          <w:sz w:val="28"/>
          <w:szCs w:val="28"/>
        </w:rPr>
      </w:pPr>
      <w:bookmarkStart w:colFirst="0" w:colLast="0" w:name="_eeyn4yoixr0q" w:id="0"/>
      <w:bookmarkEnd w:id="0"/>
      <w:r w:rsidDel="00000000" w:rsidR="00000000" w:rsidRPr="00000000">
        <w:rPr>
          <w:rtl w:val="0"/>
        </w:rPr>
      </w:r>
    </w:p>
    <w:p w:rsidR="00000000" w:rsidDel="00000000" w:rsidP="00000000" w:rsidRDefault="00000000" w:rsidRPr="00000000" w14:paraId="0000002F">
      <w:pPr>
        <w:pStyle w:val="Heading1"/>
        <w:spacing w:before="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0">
      <w:pPr>
        <w:pStyle w:val="Heading1"/>
        <w:spacing w:before="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1">
      <w:pPr>
        <w:pStyle w:val="Heading1"/>
        <w:spacing w:before="0" w:line="480" w:lineRule="auto"/>
        <w:rPr>
          <w:rFonts w:ascii="Calibri" w:cs="Calibri" w:eastAsia="Calibri" w:hAnsi="Calibri"/>
          <w:color w:val="000000"/>
          <w:sz w:val="22"/>
          <w:szCs w:val="22"/>
        </w:rPr>
      </w:pPr>
      <w:bookmarkStart w:colFirst="0" w:colLast="0" w:name="_u2a02yh1mj2" w:id="1"/>
      <w:bookmarkEnd w:id="1"/>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pStyle w:val="Heading1"/>
        <w:spacing w:before="0" w:line="48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Abstract</w:t>
      </w:r>
    </w:p>
    <w:p w:rsidR="00000000" w:rsidDel="00000000" w:rsidP="00000000" w:rsidRDefault="00000000" w:rsidRPr="00000000" w14:paraId="0000003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report looks into the strategic response to communication conducted by BlueVista, a fictional brand in the international tourist industry that was facing allegations of labour rights abuse. It applies Situational Crisis Communication Theory (SCCT), Image Restoration Theory, and intercultural communication models to analyse how internal and external messages are developed based on different stakeholders. Deliverables will be an internal memo, press release, investor letter and multicultural messaging strategy. </w:t>
      </w:r>
    </w:p>
    <w:p w:rsidR="00000000" w:rsidDel="00000000" w:rsidP="00000000" w:rsidRDefault="00000000" w:rsidRPr="00000000" w14:paraId="00000035">
      <w:pPr>
        <w:spacing w:line="480" w:lineRule="auto"/>
        <w:ind w:firstLine="27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results indicate the significance of tone, cultural appropriateness and ethical responsibility in reputational risk management. The study proposes to integrate intercultural training, transparent management and crisis simulation in tourism activities. Although SCCT is beneficial for finding frameworks, it is significantly mentioned that SCCT fails to adequately address human rights issues; hence, it would be more beneficial to consider theories that are based more on ethics when it comes to crisis response in labour-sensitive fields.</w:t>
      </w:r>
    </w:p>
    <w:p w:rsidR="00000000" w:rsidDel="00000000" w:rsidP="00000000" w:rsidRDefault="00000000" w:rsidRPr="00000000" w14:paraId="00000036">
      <w:pPr>
        <w:spacing w:line="480" w:lineRule="auto"/>
        <w:ind w:firstLine="27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480" w:lineRule="auto"/>
        <w:ind w:firstLine="27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line="480" w:lineRule="auto"/>
        <w:ind w:firstLine="27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480" w:lineRule="auto"/>
        <w:ind w:firstLine="27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line="480" w:lineRule="auto"/>
        <w:ind w:firstLine="27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480" w:lineRule="auto"/>
        <w:ind w:firstLine="27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pStyle w:val="Heading1"/>
        <w:numPr>
          <w:ilvl w:val="0"/>
          <w:numId w:val="1"/>
        </w:numPr>
        <w:spacing w:line="480" w:lineRule="auto"/>
        <w:ind w:left="270" w:hanging="270"/>
        <w:jc w:val="center"/>
        <w:rPr>
          <w:rFonts w:ascii="Times New Roman" w:cs="Times New Roman" w:eastAsia="Times New Roman" w:hAnsi="Times New Roman"/>
          <w:b w:val="1"/>
          <w:sz w:val="28"/>
          <w:szCs w:val="28"/>
        </w:rPr>
      </w:pPr>
      <w:bookmarkStart w:colFirst="0" w:colLast="0" w:name="_edh5sgnlg78x" w:id="2"/>
      <w:bookmarkEnd w:id="2"/>
      <w:r w:rsidDel="00000000" w:rsidR="00000000" w:rsidRPr="00000000">
        <w:rPr>
          <w:rFonts w:ascii="Times New Roman" w:cs="Times New Roman" w:eastAsia="Times New Roman" w:hAnsi="Times New Roman"/>
          <w:b w:val="1"/>
          <w:sz w:val="28"/>
          <w:szCs w:val="28"/>
          <w:rtl w:val="0"/>
        </w:rPr>
        <w:t xml:space="preserve">Introduction</w:t>
      </w:r>
    </w:p>
    <w:p w:rsidR="00000000" w:rsidDel="00000000" w:rsidP="00000000" w:rsidRDefault="00000000" w:rsidRPr="00000000" w14:paraId="0000003D">
      <w:pPr>
        <w:pStyle w:val="Heading2"/>
        <w:spacing w:line="480" w:lineRule="auto"/>
        <w:rPr>
          <w:rFonts w:ascii="Times New Roman" w:cs="Times New Roman" w:eastAsia="Times New Roman" w:hAnsi="Times New Roman"/>
          <w:b w:val="1"/>
        </w:rPr>
      </w:pPr>
      <w:bookmarkStart w:colFirst="0" w:colLast="0" w:name="_3favu92a6nz" w:id="3"/>
      <w:bookmarkEnd w:id="3"/>
      <w:r w:rsidDel="00000000" w:rsidR="00000000" w:rsidRPr="00000000">
        <w:rPr>
          <w:rFonts w:ascii="Times New Roman" w:cs="Times New Roman" w:eastAsia="Times New Roman" w:hAnsi="Times New Roman"/>
          <w:b w:val="1"/>
          <w:rtl w:val="0"/>
        </w:rPr>
        <w:t xml:space="preserve">1.1 Background of BlueVista Resorts</w:t>
      </w:r>
    </w:p>
    <w:p w:rsidR="00000000" w:rsidDel="00000000" w:rsidP="00000000" w:rsidRDefault="00000000" w:rsidRPr="00000000" w14:paraId="0000003E">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BlueVista Resorts is a globally recognised hospitality brand operating across key tourism destinations, specialising in seasonal luxury travel experiences. With resorts located in Europe, Southeast Asia, and the Caribbean, the company employs a diverse workforce to manage fluctuating demand during peak seasons. A significant portion of its labour force comprises migrant workers who are often contracted through third-party agencies to meet operational requirements in short-term roles. This global staffing model, while efficient, brings with it complex challenges related to labour ethics, communication, and compliance across jurisdictions.</w:t>
      </w:r>
    </w:p>
    <w:p w:rsidR="00000000" w:rsidDel="00000000" w:rsidP="00000000" w:rsidRDefault="00000000" w:rsidRPr="00000000" w14:paraId="0000003F">
      <w:pPr>
        <w:pStyle w:val="Heading2"/>
        <w:spacing w:line="480" w:lineRule="auto"/>
        <w:rPr>
          <w:rFonts w:ascii="Times New Roman" w:cs="Times New Roman" w:eastAsia="Times New Roman" w:hAnsi="Times New Roman"/>
          <w:b w:val="1"/>
        </w:rPr>
      </w:pPr>
      <w:bookmarkStart w:colFirst="0" w:colLast="0" w:name="_qo6lx7zh4su6" w:id="4"/>
      <w:bookmarkEnd w:id="4"/>
      <w:r w:rsidDel="00000000" w:rsidR="00000000" w:rsidRPr="00000000">
        <w:rPr>
          <w:rFonts w:ascii="Times New Roman" w:cs="Times New Roman" w:eastAsia="Times New Roman" w:hAnsi="Times New Roman"/>
          <w:b w:val="1"/>
          <w:rtl w:val="0"/>
        </w:rPr>
        <w:t xml:space="preserve">1.2 Nature of the Crisis</w:t>
      </w:r>
    </w:p>
    <w:p w:rsidR="00000000" w:rsidDel="00000000" w:rsidP="00000000" w:rsidRDefault="00000000" w:rsidRPr="00000000" w14:paraId="00000040">
      <w:pPr>
        <w:spacing w:after="280" w:before="280" w:line="480" w:lineRule="auto"/>
        <w:ind w:firstLine="720"/>
        <w:rPr>
          <w:rFonts w:ascii="Times New Roman" w:cs="Times New Roman" w:eastAsia="Times New Roman" w:hAnsi="Times New Roman"/>
          <w:sz w:val="24"/>
          <w:szCs w:val="24"/>
        </w:rPr>
      </w:pPr>
      <w:bookmarkStart w:colFirst="0" w:colLast="0" w:name="_q08c9lz2qipq" w:id="5"/>
      <w:bookmarkEnd w:id="5"/>
      <w:r w:rsidDel="00000000" w:rsidR="00000000" w:rsidRPr="00000000">
        <w:rPr>
          <w:rFonts w:ascii="Times New Roman" w:cs="Times New Roman" w:eastAsia="Times New Roman" w:hAnsi="Times New Roman"/>
          <w:sz w:val="24"/>
          <w:szCs w:val="24"/>
          <w:rtl w:val="0"/>
        </w:rPr>
        <w:t xml:space="preserve">In the recent past, BlueVista Resorts has been subjected to extreme press scrutiny after being accused of exploiting migrant workers within a few of its seasonal centres (Rizvi, 2021). The company has been accused of underpaying its workers, offering poor housing conditions, and failing to meet minimum labour standards in the host countries. Human rights organisations have widely criticised these allegations, and there has been adverse publicity, and investors, customers, and regulatory agencies are increasingly feeling concerned.</w:t>
      </w:r>
    </w:p>
    <w:p w:rsidR="00000000" w:rsidDel="00000000" w:rsidP="00000000" w:rsidRDefault="00000000" w:rsidRPr="00000000" w14:paraId="00000041">
      <w:pPr>
        <w:pStyle w:val="Heading2"/>
        <w:spacing w:line="480" w:lineRule="auto"/>
        <w:rPr>
          <w:rFonts w:ascii="Times New Roman" w:cs="Times New Roman" w:eastAsia="Times New Roman" w:hAnsi="Times New Roman"/>
          <w:b w:val="1"/>
        </w:rPr>
      </w:pPr>
      <w:bookmarkStart w:colFirst="0" w:colLast="0" w:name="_kjdmj6lwn359" w:id="6"/>
      <w:bookmarkEnd w:id="6"/>
      <w:r w:rsidDel="00000000" w:rsidR="00000000" w:rsidRPr="00000000">
        <w:rPr>
          <w:rFonts w:ascii="Times New Roman" w:cs="Times New Roman" w:eastAsia="Times New Roman" w:hAnsi="Times New Roman"/>
          <w:b w:val="1"/>
          <w:rtl w:val="0"/>
        </w:rPr>
        <w:t xml:space="preserve">1.3 Strategic Communication Imperative</w:t>
      </w:r>
    </w:p>
    <w:p w:rsidR="00000000" w:rsidDel="00000000" w:rsidP="00000000" w:rsidRDefault="00000000" w:rsidRPr="00000000" w14:paraId="00000042">
      <w:pPr>
        <w:spacing w:after="0" w:line="480" w:lineRule="auto"/>
        <w:ind w:firstLine="720"/>
        <w:rPr>
          <w:rFonts w:ascii="Times New Roman" w:cs="Times New Roman" w:eastAsia="Times New Roman" w:hAnsi="Times New Roman"/>
          <w:sz w:val="24"/>
          <w:szCs w:val="24"/>
        </w:rPr>
      </w:pPr>
      <w:bookmarkStart w:colFirst="0" w:colLast="0" w:name="_96rovbluuxcq" w:id="7"/>
      <w:bookmarkEnd w:id="7"/>
      <w:r w:rsidDel="00000000" w:rsidR="00000000" w:rsidRPr="00000000">
        <w:rPr>
          <w:rFonts w:ascii="Times New Roman" w:cs="Times New Roman" w:eastAsia="Times New Roman" w:hAnsi="Times New Roman"/>
          <w:sz w:val="24"/>
          <w:szCs w:val="24"/>
          <w:rtl w:val="0"/>
        </w:rPr>
        <w:t xml:space="preserve">The crisis generates a huge reputation, legal and operational risk. The reputation of the company, both globally and at home, as a socially responsible brand, is at risk, and they need to be saved by restoring the public trust. Moreover, possible lawsuits and regulatory penalties are able to interrupt the activities and destroy the trust of the investors. Such high-stakes, cross-cultural situations are the ones where the significance of a strong, ethically sound, culturally sensitive communication plan cannot be underscored. In a way, strategic communication should not be simply reactive but proactive, transparent, and customized to the needs of various groups of stakeholders with different cultural expectations and perceptions (Falkheimer &amp; Heide, 2018).</w:t>
      </w:r>
    </w:p>
    <w:p w:rsidR="00000000" w:rsidDel="00000000" w:rsidP="00000000" w:rsidRDefault="00000000" w:rsidRPr="00000000" w14:paraId="00000043">
      <w:pPr>
        <w:pStyle w:val="Heading2"/>
        <w:spacing w:line="480" w:lineRule="auto"/>
        <w:rPr>
          <w:rFonts w:ascii="Times New Roman" w:cs="Times New Roman" w:eastAsia="Times New Roman" w:hAnsi="Times New Roman"/>
          <w:b w:val="1"/>
        </w:rPr>
      </w:pPr>
      <w:bookmarkStart w:colFirst="0" w:colLast="0" w:name="_i4hs6enbq8py" w:id="8"/>
      <w:bookmarkEnd w:id="8"/>
      <w:r w:rsidDel="00000000" w:rsidR="00000000" w:rsidRPr="00000000">
        <w:rPr>
          <w:rFonts w:ascii="Times New Roman" w:cs="Times New Roman" w:eastAsia="Times New Roman" w:hAnsi="Times New Roman"/>
          <w:b w:val="1"/>
          <w:rtl w:val="0"/>
        </w:rPr>
        <w:t xml:space="preserve">1.4 Critical Perspective</w:t>
      </w:r>
    </w:p>
    <w:p w:rsidR="00000000" w:rsidDel="00000000" w:rsidP="00000000" w:rsidRDefault="00000000" w:rsidRPr="00000000" w14:paraId="00000044">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situation also underscores broader issues within the global tourism labour market, particularly the systemic vulnerability of migrant workers. Their precarious employment status often leaves them susceptible to exploitation, especially in countries with weak labour protections. As such, organisations like BlueVista must adopt a nuanced communication approach—one that is both linguistically precise and culturally intelligent—to responsibly manage crises and reinforce ethical credibility across borders.</w:t>
      </w:r>
    </w:p>
    <w:p w:rsidR="00000000" w:rsidDel="00000000" w:rsidP="00000000" w:rsidRDefault="00000000" w:rsidRPr="00000000" w14:paraId="00000045">
      <w:pPr>
        <w:pStyle w:val="Heading1"/>
        <w:spacing w:line="480" w:lineRule="auto"/>
        <w:jc w:val="center"/>
        <w:rPr>
          <w:rFonts w:ascii="Times New Roman" w:cs="Times New Roman" w:eastAsia="Times New Roman" w:hAnsi="Times New Roman"/>
          <w:sz w:val="28"/>
          <w:szCs w:val="28"/>
        </w:rPr>
      </w:pPr>
      <w:bookmarkStart w:colFirst="0" w:colLast="0" w:name="_pqn4tzmkm5fr" w:id="9"/>
      <w:bookmarkEnd w:id="9"/>
      <w:r w:rsidDel="00000000" w:rsidR="00000000" w:rsidRPr="00000000">
        <w:rPr>
          <w:rFonts w:ascii="Times New Roman" w:cs="Times New Roman" w:eastAsia="Times New Roman" w:hAnsi="Times New Roman"/>
          <w:b w:val="1"/>
          <w:sz w:val="28"/>
          <w:szCs w:val="28"/>
          <w:rtl w:val="0"/>
        </w:rPr>
        <w:t xml:space="preserve">2. Literature Review: Business English and Communication Frameworks</w:t>
      </w:r>
      <w:r w:rsidDel="00000000" w:rsidR="00000000" w:rsidRPr="00000000">
        <w:rPr>
          <w:rtl w:val="0"/>
        </w:rPr>
      </w:r>
    </w:p>
    <w:p w:rsidR="00000000" w:rsidDel="00000000" w:rsidP="00000000" w:rsidRDefault="00000000" w:rsidRPr="00000000" w14:paraId="00000046">
      <w:pPr>
        <w:pStyle w:val="Heading2"/>
        <w:spacing w:line="480" w:lineRule="auto"/>
        <w:rPr>
          <w:rFonts w:ascii="Times New Roman" w:cs="Times New Roman" w:eastAsia="Times New Roman" w:hAnsi="Times New Roman"/>
        </w:rPr>
      </w:pPr>
      <w:bookmarkStart w:colFirst="0" w:colLast="0" w:name="_dcs1chxql1by" w:id="10"/>
      <w:bookmarkEnd w:id="10"/>
      <w:r w:rsidDel="00000000" w:rsidR="00000000" w:rsidRPr="00000000">
        <w:rPr>
          <w:rFonts w:ascii="Times New Roman" w:cs="Times New Roman" w:eastAsia="Times New Roman" w:hAnsi="Times New Roman"/>
          <w:b w:val="1"/>
          <w:sz w:val="24"/>
          <w:szCs w:val="24"/>
          <w:rtl w:val="0"/>
        </w:rPr>
        <w:t xml:space="preserve">2.1 Crisis Communication Theories</w:t>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Communication strategies play a vital role in reducing reputational losses and repairing stakeholder engagement, especially in the situation of corporate crises (Kiambi &amp; Shafer, 2016). Among the best-known models is the Situational Crisis Communication Theory (SCCT), which was formulated by W. Timothy Coombs. The SCCT framework also allows organisations to understand how much responsibility is assigned to them in a crisis and choose the response strategy (Coombs, 2007). The theory presents four central approaches, namely denial, diminishment, rebuilding and bolstering. Given that in the case of BlueVista Resorts, the allegations rely on labour exploitation, a strictly denial-based strategy can be counterproductive because of the moral and ethical gravity of the claims. Rather, a combination of rebuilding, like press releases apologising and promising corrective measures, and bolstering, a reminder of the ethical behaviour of the organisation in the past, can be more useful to prevent the backlash.</w:t>
      </w:r>
    </w:p>
    <w:p w:rsidR="00000000" w:rsidDel="00000000" w:rsidP="00000000" w:rsidRDefault="00000000" w:rsidRPr="00000000" w14:paraId="00000048">
      <w:pPr>
        <w:pStyle w:val="Heading3"/>
        <w:spacing w:after="280" w:before="280" w:line="480" w:lineRule="auto"/>
        <w:ind w:firstLine="720"/>
        <w:rPr>
          <w:b w:val="0"/>
          <w:sz w:val="24"/>
          <w:szCs w:val="24"/>
        </w:rPr>
      </w:pPr>
      <w:bookmarkStart w:colFirst="0" w:colLast="0" w:name="_dnpqau35vgr" w:id="11"/>
      <w:bookmarkEnd w:id="11"/>
      <w:r w:rsidDel="00000000" w:rsidR="00000000" w:rsidRPr="00000000">
        <w:rPr>
          <w:b w:val="0"/>
          <w:sz w:val="24"/>
          <w:szCs w:val="24"/>
          <w:rtl w:val="0"/>
        </w:rPr>
        <w:t xml:space="preserve">An alternative theory to SCCT is the Image Restoration Theory, by William Benoit. This theory centres on message building in crisis moments and provides direct choices like denial, shifting blame, reducing offensiveness, corrective action, and mortification (Benoit, 2014). During labour controversies, organisations have been observed to employ a combination of corrective action and mortification (apology) in an attempt to express responsibility and empathy (Hearit, 2006). The success of these strategies, however, usually depends on the promptness of the response and message framing. Late or inadequately worded pronouncements can compound the level of scepticism and frustrate a reputation, particularly in the era of the digital era where the news travels at high speed. </w:t>
      </w:r>
    </w:p>
    <w:p w:rsidR="00000000" w:rsidDel="00000000" w:rsidP="00000000" w:rsidRDefault="00000000" w:rsidRPr="00000000" w14:paraId="00000049">
      <w:pPr>
        <w:pStyle w:val="Heading2"/>
        <w:spacing w:line="480" w:lineRule="auto"/>
        <w:rPr/>
      </w:pPr>
      <w:bookmarkStart w:colFirst="0" w:colLast="0" w:name="_ef9e2ymunm1c" w:id="12"/>
      <w:bookmarkEnd w:id="12"/>
      <w:r w:rsidDel="00000000" w:rsidR="00000000" w:rsidRPr="00000000">
        <w:rPr>
          <w:rFonts w:ascii="Times New Roman" w:cs="Times New Roman" w:eastAsia="Times New Roman" w:hAnsi="Times New Roman"/>
          <w:b w:val="1"/>
          <w:sz w:val="24"/>
          <w:szCs w:val="24"/>
          <w:rtl w:val="0"/>
        </w:rPr>
        <w:t xml:space="preserve">2.2 Intercultural Communication Frameworks</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Understanding intercultural dynamics is crucial in international business communication, especially during crises involving a multinational workforce. Hofstede’s Cultural Dimensions Theory provides a foundational tool to analyse and adapt messages across cultures. Dimensions such as power distance, individualism vs. collectivism, and uncertainty avoidance are particularly relevant (Lin &amp; Lou, 2024). For example, in high power-distance cultures such as the Philippines or India—where hierarchical structures are deeply ingrained—messages from top executives carry significant weight and must be delivered with respectful language (Banerjee, n.d). Conversely, in low power-distance societies like Denmark or the Netherlands, employees may expect more transparent and participatory communication styles.</w:t>
      </w:r>
    </w:p>
    <w:p w:rsidR="00000000" w:rsidDel="00000000" w:rsidP="00000000" w:rsidRDefault="00000000" w:rsidRPr="00000000" w14:paraId="0000004B">
      <w:pPr>
        <w:pStyle w:val="Heading3"/>
        <w:spacing w:after="280" w:before="280" w:line="480" w:lineRule="auto"/>
        <w:ind w:firstLine="720"/>
        <w:rPr>
          <w:b w:val="0"/>
          <w:sz w:val="24"/>
          <w:szCs w:val="24"/>
        </w:rPr>
      </w:pPr>
      <w:bookmarkStart w:colFirst="0" w:colLast="0" w:name="_x9ze9fh94qvg" w:id="13"/>
      <w:bookmarkEnd w:id="13"/>
      <w:r w:rsidDel="00000000" w:rsidR="00000000" w:rsidRPr="00000000">
        <w:rPr>
          <w:b w:val="0"/>
          <w:sz w:val="24"/>
          <w:szCs w:val="24"/>
          <w:rtl w:val="0"/>
        </w:rPr>
        <w:t xml:space="preserve">The concept of high-context and low-context cultures of Edward Hall is yet another framework that ought to be considered (Kittler, Rygl, &amp; Mackinnon, 2011). High context (e.g. Japan, Arab nations) cultures depend on underlying messages, tacit knowledge and nonverbal communication. Direct challenges of the person or visible pronouncements of fault can be unacceptable in such setups. In the meantime, low-context cultures (e.g., United States, Germany) appreciate clear, detailed, and explicit communication. An effective cross-cultural communication plan should thus moderate tone, structure, message, and the extent of detail in line with the cultural perception of different groups of stakeholders (Aririguzoh, 2022). In the case of BlueVista, an internal message sent to the stakeholders in Southeast Asia should have different tones and styles compared to those sent across the ocean to investors or regulators in Western nations.</w:t>
      </w:r>
    </w:p>
    <w:p w:rsidR="00000000" w:rsidDel="00000000" w:rsidP="00000000" w:rsidRDefault="00000000" w:rsidRPr="00000000" w14:paraId="0000004C">
      <w:pPr>
        <w:pStyle w:val="Heading2"/>
        <w:spacing w:line="480" w:lineRule="auto"/>
        <w:rPr/>
      </w:pPr>
      <w:bookmarkStart w:colFirst="0" w:colLast="0" w:name="_a2pwnskvf79" w:id="14"/>
      <w:bookmarkEnd w:id="14"/>
      <w:r w:rsidDel="00000000" w:rsidR="00000000" w:rsidRPr="00000000">
        <w:rPr>
          <w:rFonts w:ascii="Times New Roman" w:cs="Times New Roman" w:eastAsia="Times New Roman" w:hAnsi="Times New Roman"/>
          <w:b w:val="1"/>
          <w:sz w:val="24"/>
          <w:szCs w:val="24"/>
          <w:rtl w:val="0"/>
        </w:rPr>
        <w:t xml:space="preserve">2.3 Business English in Tourism and International Crisis Management</w:t>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Business English is a critical resource that forms the stakeholder perceptions in tourism and hospitality sectors, which are considered as industries that engage in uneven, fast-paced, and in most cases unpredictable environments (Munusamy, &amp; Kaliappen, 2024). Formality, brevity, clarity, and a persuasive characterise effective Business English (Judijanto, et al., 2025). The demands of a high-stakes situation required that messages meet the legal requirements and be humanly empathetic. As an example, messages that target at the concern over labour exploitation should be conveyed in a way that would not create liability but still indicate honesty towards the interests of employees.</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such scenarios, the use of euphemism and tone-down strategies can soften the impact of negative information, making the organisation appear more composed and responsible. Phrases like “inadvertent oversight” or “working to improve conditions” may serve to diffuse tension without appearing evasive. Additionally, strategic ambiguity—the deliberate use of vague or generalised statements—can be useful when the organisation lacks complete information or when legal implications are unclear. However, overuse of ambiguity risks eroding stakeholder trust, especially if perceived as an attempt to avoid accountability.</w:t>
      </w:r>
    </w:p>
    <w:p w:rsidR="00000000" w:rsidDel="00000000" w:rsidP="00000000" w:rsidRDefault="00000000" w:rsidRPr="00000000" w14:paraId="0000004F">
      <w:pPr>
        <w:pStyle w:val="Heading2"/>
        <w:spacing w:line="480" w:lineRule="auto"/>
        <w:rPr/>
      </w:pPr>
      <w:bookmarkStart w:colFirst="0" w:colLast="0" w:name="_xwmvt0be8pob" w:id="15"/>
      <w:bookmarkEnd w:id="15"/>
      <w:r w:rsidDel="00000000" w:rsidR="00000000" w:rsidRPr="00000000">
        <w:rPr>
          <w:rFonts w:ascii="Times New Roman" w:cs="Times New Roman" w:eastAsia="Times New Roman" w:hAnsi="Times New Roman"/>
          <w:b w:val="1"/>
          <w:sz w:val="24"/>
          <w:szCs w:val="24"/>
          <w:rtl w:val="0"/>
        </w:rPr>
        <w:t xml:space="preserve">2.4 Critical Perspective on Communication Models</w:t>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Although these communication theories provide invaluable advice, they might not be so applicable in a non-Western context. Both SCCT and Image Restoration Theory are the products of Western scholarly cultures, and both tend to presuppose rational and individualistic audience behaviour. The messages can, however, be interpreted by values like harmony, group reputation and emotions undercurrents governing collectivistic societies. As an example, a direct apology, which is often considered to be good in the Western context, can be considered an issue of face loss in East Asian society (Shibata, 2017). Therefore, the communication strategies are to be situational and not universal.</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Besides, a certain incompatibility between legalistic corporate language and compassionate HR communication exists. Whereas a legal counsel can also suggest neutral and risk-averse wording to reduce the risks of liability, this language might sound cold or offensive to the common routine and affected workers. It is a delicate process to balance serving the interests of the organisation and being perceived to be compassionate, a balance that needs to be fulfilled by a skilled communicator with the ability to communicate using Business English and be cross-culturally sensitive.</w:t>
      </w:r>
    </w:p>
    <w:p w:rsidR="00000000" w:rsidDel="00000000" w:rsidP="00000000" w:rsidRDefault="00000000" w:rsidRPr="00000000" w14:paraId="00000052">
      <w:pPr>
        <w:pStyle w:val="Heading1"/>
        <w:spacing w:line="480" w:lineRule="auto"/>
        <w:jc w:val="center"/>
        <w:rPr>
          <w:rFonts w:ascii="Times New Roman" w:cs="Times New Roman" w:eastAsia="Times New Roman" w:hAnsi="Times New Roman"/>
          <w:sz w:val="28"/>
          <w:szCs w:val="28"/>
        </w:rPr>
      </w:pPr>
      <w:bookmarkStart w:colFirst="0" w:colLast="0" w:name="_9ffk35gykfqs" w:id="16"/>
      <w:bookmarkEnd w:id="16"/>
      <w:r w:rsidDel="00000000" w:rsidR="00000000" w:rsidRPr="00000000">
        <w:rPr>
          <w:rFonts w:ascii="Times New Roman" w:cs="Times New Roman" w:eastAsia="Times New Roman" w:hAnsi="Times New Roman"/>
          <w:b w:val="1"/>
          <w:sz w:val="28"/>
          <w:szCs w:val="28"/>
          <w:rtl w:val="0"/>
        </w:rPr>
        <w:t xml:space="preserve">3. Methodology</w:t>
      </w:r>
      <w:r w:rsidDel="00000000" w:rsidR="00000000" w:rsidRPr="00000000">
        <w:rPr>
          <w:rtl w:val="0"/>
        </w:rPr>
      </w:r>
    </w:p>
    <w:p w:rsidR="00000000" w:rsidDel="00000000" w:rsidP="00000000" w:rsidRDefault="00000000" w:rsidRPr="00000000" w14:paraId="00000053">
      <w:pPr>
        <w:pStyle w:val="Heading2"/>
        <w:spacing w:line="480" w:lineRule="auto"/>
        <w:rPr/>
      </w:pPr>
      <w:bookmarkStart w:colFirst="0" w:colLast="0" w:name="_a705nr2pled4" w:id="17"/>
      <w:bookmarkEnd w:id="17"/>
      <w:r w:rsidDel="00000000" w:rsidR="00000000" w:rsidRPr="00000000">
        <w:rPr>
          <w:rFonts w:ascii="Times New Roman" w:cs="Times New Roman" w:eastAsia="Times New Roman" w:hAnsi="Times New Roman"/>
          <w:b w:val="1"/>
          <w:sz w:val="24"/>
          <w:szCs w:val="24"/>
          <w:rtl w:val="0"/>
        </w:rPr>
        <w:t xml:space="preserve">3.1 Approach</w:t>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study adopts a qualitative strategic communication analysis based on a simulated crisis scenario involving BlueVista Resorts. The methodology is designed to evaluate how communication theories can be applied to manage reputational risk in operationally complex, high-stakes environments like international tourism. The core analytical framework is guided by Situational Crisis Communication Theory (SCCT) and intercultural communication models, particularly Hofstede’s cultural dimensions and Hall’s context theory. These frameworks inform the construction of communication deliverables that are sensitive to cultural diversity and ethical expectations. Emphasis is also placed on using Business English principles—such as clarity, formality, tone, and persuasion—to tailor communication outputs to a global business audience (Bhatia, &amp; Bremner, 2012). By applying these theories to the fictional case of BlueVista, the methodology allows for a controlled yet insightful exploration of effective corporate crisis response strategies.</w:t>
      </w:r>
    </w:p>
    <w:p w:rsidR="00000000" w:rsidDel="00000000" w:rsidP="00000000" w:rsidRDefault="00000000" w:rsidRPr="00000000" w14:paraId="00000055">
      <w:pPr>
        <w:pStyle w:val="Heading2"/>
        <w:spacing w:line="480" w:lineRule="auto"/>
        <w:rPr/>
      </w:pPr>
      <w:bookmarkStart w:colFirst="0" w:colLast="0" w:name="_7psm4e5v1voi" w:id="18"/>
      <w:bookmarkEnd w:id="18"/>
      <w:r w:rsidDel="00000000" w:rsidR="00000000" w:rsidRPr="00000000">
        <w:rPr>
          <w:rFonts w:ascii="Times New Roman" w:cs="Times New Roman" w:eastAsia="Times New Roman" w:hAnsi="Times New Roman"/>
          <w:b w:val="1"/>
          <w:sz w:val="24"/>
          <w:szCs w:val="24"/>
          <w:rtl w:val="0"/>
        </w:rPr>
        <w:t xml:space="preserve">3.2 Data Sources</w:t>
      </w:r>
      <w:r w:rsidDel="00000000" w:rsidR="00000000" w:rsidRPr="00000000">
        <w:rPr>
          <w:rtl w:val="0"/>
        </w:rPr>
      </w:r>
    </w:p>
    <w:p w:rsidR="00000000" w:rsidDel="00000000" w:rsidP="00000000" w:rsidRDefault="00000000" w:rsidRPr="00000000" w14:paraId="00000056">
      <w:pPr>
        <w:pStyle w:val="Heading3"/>
        <w:spacing w:after="280" w:before="280" w:line="480" w:lineRule="auto"/>
        <w:ind w:firstLine="720"/>
        <w:rPr>
          <w:b w:val="0"/>
          <w:sz w:val="24"/>
          <w:szCs w:val="24"/>
        </w:rPr>
      </w:pPr>
      <w:bookmarkStart w:colFirst="0" w:colLast="0" w:name="_ru5ia6wxyl3e" w:id="19"/>
      <w:bookmarkEnd w:id="19"/>
      <w:r w:rsidDel="00000000" w:rsidR="00000000" w:rsidRPr="00000000">
        <w:rPr>
          <w:b w:val="0"/>
          <w:sz w:val="24"/>
          <w:szCs w:val="24"/>
          <w:rtl w:val="0"/>
        </w:rPr>
        <w:t xml:space="preserve">To make the simulated scenario as credible and realistic as possible, the research is based on a variety of sources providing secondary data. They are industry reports by tourism watchdogs, non-governmental groups, and international labour organisations that record common cases of abuses of migrant labour in hospitality industries. The best examples of ethical labour communication standards are the Corporate Social Responsibility (CSR) of crisis communication suggested by the famous multinational hospitality companies like Marriott, Hilton, and TUI, which offer real-life examples of best practices. Moreover, legal and regulatory frameworks such as International Labour Organization (ILO) standards, national labour laws and global corporation codes of conduct are cited as a reference to legal relevance and to present the communication in the scope of acceptable legal compliance.</w:t>
      </w:r>
    </w:p>
    <w:p w:rsidR="00000000" w:rsidDel="00000000" w:rsidP="00000000" w:rsidRDefault="00000000" w:rsidRPr="00000000" w14:paraId="00000057">
      <w:pPr>
        <w:pStyle w:val="Heading2"/>
        <w:spacing w:line="480" w:lineRule="auto"/>
        <w:rPr/>
      </w:pPr>
      <w:bookmarkStart w:colFirst="0" w:colLast="0" w:name="_sw1bud1bwm31" w:id="20"/>
      <w:bookmarkEnd w:id="20"/>
      <w:r w:rsidDel="00000000" w:rsidR="00000000" w:rsidRPr="00000000">
        <w:rPr>
          <w:rFonts w:ascii="Times New Roman" w:cs="Times New Roman" w:eastAsia="Times New Roman" w:hAnsi="Times New Roman"/>
          <w:b w:val="1"/>
          <w:sz w:val="24"/>
          <w:szCs w:val="24"/>
          <w:rtl w:val="0"/>
        </w:rPr>
        <w:t xml:space="preserve">3.3 Ethical Considerations</w:t>
      </w:r>
      <w:r w:rsidDel="00000000" w:rsidR="00000000" w:rsidRPr="00000000">
        <w:rPr>
          <w:rtl w:val="0"/>
        </w:rPr>
      </w:r>
    </w:p>
    <w:p w:rsidR="00000000" w:rsidDel="00000000" w:rsidP="00000000" w:rsidRDefault="00000000" w:rsidRPr="00000000" w14:paraId="00000058">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Due to the sensitivity of the crisis scenario, ethical communication practices are part of the methodology. The analysis presupposes that companies must be willing to speak honestly and with respect to internal stakeholders (employees, managers) as well as external ones (the media, investors, citizens). Nevertheless, there is a certain conflict between the missions of transparency and reputation management. The research takes into consideration the way messages may be communicated so as to continue enjoying the confidence of the people and, at the same time, control the legal or operational repercussions. Each effort is made to prevent the framing of messages in a way that downplays injury or uses ambiguity towards the way the company can benefit.</w:t>
      </w:r>
    </w:p>
    <w:p w:rsidR="00000000" w:rsidDel="00000000" w:rsidP="00000000" w:rsidRDefault="00000000" w:rsidRPr="00000000" w14:paraId="00000059">
      <w:pPr>
        <w:pStyle w:val="Heading1"/>
        <w:spacing w:line="480" w:lineRule="auto"/>
        <w:jc w:val="center"/>
        <w:rPr>
          <w:rFonts w:ascii="Times New Roman" w:cs="Times New Roman" w:eastAsia="Times New Roman" w:hAnsi="Times New Roman"/>
          <w:b w:val="1"/>
          <w:sz w:val="28"/>
          <w:szCs w:val="28"/>
        </w:rPr>
      </w:pPr>
      <w:bookmarkStart w:colFirst="0" w:colLast="0" w:name="_f0rs0kepc7p5" w:id="21"/>
      <w:bookmarkEnd w:id="21"/>
      <w:r w:rsidDel="00000000" w:rsidR="00000000" w:rsidRPr="00000000">
        <w:rPr>
          <w:rFonts w:ascii="Times New Roman" w:cs="Times New Roman" w:eastAsia="Times New Roman" w:hAnsi="Times New Roman"/>
          <w:b w:val="1"/>
          <w:sz w:val="28"/>
          <w:szCs w:val="28"/>
          <w:rtl w:val="0"/>
        </w:rPr>
        <w:t xml:space="preserve">4. Findings: Communication Deliverables</w:t>
      </w:r>
    </w:p>
    <w:p w:rsidR="00000000" w:rsidDel="00000000" w:rsidP="00000000" w:rsidRDefault="00000000" w:rsidRPr="00000000" w14:paraId="0000005A">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section presents four communication deliverables crafted by crisis communication theories, intercultural communication frameworks, and Business English standards. Each message is designed to address specific stakeholder groups—internal employees, the general public, investors, and international labour audiences—in a manner that is culturally appropriate, ethically responsible, and strategically aligned with BlueVista Resorts' business objectives.</w:t>
      </w:r>
    </w:p>
    <w:p w:rsidR="00000000" w:rsidDel="00000000" w:rsidP="00000000" w:rsidRDefault="00000000" w:rsidRPr="00000000" w14:paraId="0000005B">
      <w:pPr>
        <w:pStyle w:val="Heading2"/>
        <w:spacing w:line="480" w:lineRule="auto"/>
        <w:rPr>
          <w:rFonts w:ascii="Times New Roman" w:cs="Times New Roman" w:eastAsia="Times New Roman" w:hAnsi="Times New Roman"/>
          <w:sz w:val="24"/>
          <w:szCs w:val="24"/>
        </w:rPr>
      </w:pPr>
      <w:bookmarkStart w:colFirst="0" w:colLast="0" w:name="_c23l2trnyuts" w:id="22"/>
      <w:bookmarkEnd w:id="22"/>
      <w:r w:rsidDel="00000000" w:rsidR="00000000" w:rsidRPr="00000000">
        <w:rPr>
          <w:rFonts w:ascii="Times New Roman" w:cs="Times New Roman" w:eastAsia="Times New Roman" w:hAnsi="Times New Roman"/>
          <w:b w:val="1"/>
          <w:rtl w:val="0"/>
        </w:rPr>
        <w:t xml:space="preserve">4.1 Internal Memo to Staff</w:t>
      </w:r>
      <w:r w:rsidDel="00000000" w:rsidR="00000000" w:rsidRPr="00000000">
        <w:rPr>
          <w:rtl w:val="0"/>
        </w:rPr>
      </w:r>
    </w:p>
    <w:p w:rsidR="00000000" w:rsidDel="00000000" w:rsidP="00000000" w:rsidRDefault="00000000" w:rsidRPr="00000000" w14:paraId="0000005C">
      <w:pPr>
        <w:pStyle w:val="Heading2"/>
        <w:spacing w:line="480" w:lineRule="auto"/>
        <w:ind w:firstLine="720"/>
        <w:rPr>
          <w:rFonts w:ascii="Times New Roman" w:cs="Times New Roman" w:eastAsia="Times New Roman" w:hAnsi="Times New Roman"/>
          <w:b w:val="1"/>
          <w:color w:val="000000"/>
        </w:rPr>
      </w:pPr>
      <w:bookmarkStart w:colFirst="0" w:colLast="0" w:name="_ccm8pumat1xc" w:id="23"/>
      <w:bookmarkEnd w:id="23"/>
      <w:r w:rsidDel="00000000" w:rsidR="00000000" w:rsidRPr="00000000">
        <w:rPr>
          <w:rFonts w:ascii="Times New Roman" w:cs="Times New Roman" w:eastAsia="Times New Roman" w:hAnsi="Times New Roman"/>
          <w:color w:val="000000"/>
          <w:sz w:val="24"/>
          <w:szCs w:val="24"/>
          <w:rtl w:val="0"/>
        </w:rPr>
        <w:t xml:space="preserve">The internal communication is initiated by a formal memo addressed to the BlueVista employees (Boehling, 2023). The main aim is to notify employees of the start of a company-wide investigation into the latest claims of labour abuse using seasonal migrant workers. The memo utilises SCCT bolstering and corrective action strategies by appreciating the company morale in adopting ethical labour practices, but pointing out that any act that goes against the policy will be dealt with promptly (ODUNLAMI, &amp; OREDOLA, n.d).</w:t>
      </w:r>
      <w:r w:rsidDel="00000000" w:rsidR="00000000" w:rsidRPr="00000000">
        <w:rPr>
          <w:rtl w:val="0"/>
        </w:rPr>
      </w:r>
    </w:p>
    <w:p w:rsidR="00000000" w:rsidDel="00000000" w:rsidP="00000000" w:rsidRDefault="00000000" w:rsidRPr="00000000" w14:paraId="0000005D">
      <w:pPr>
        <w:spacing w:after="280" w:before="280" w:line="480" w:lineRule="auto"/>
        <w:ind w:firstLine="720"/>
        <w:rPr>
          <w:rFonts w:ascii="Times New Roman" w:cs="Times New Roman" w:eastAsia="Times New Roman" w:hAnsi="Times New Roman"/>
          <w:sz w:val="24"/>
          <w:szCs w:val="24"/>
        </w:rPr>
      </w:pPr>
      <w:bookmarkStart w:colFirst="0" w:colLast="0" w:name="_hz6a2fmswf0y" w:id="24"/>
      <w:bookmarkEnd w:id="24"/>
      <w:r w:rsidDel="00000000" w:rsidR="00000000" w:rsidRPr="00000000">
        <w:rPr>
          <w:rFonts w:ascii="Times New Roman" w:cs="Times New Roman" w:eastAsia="Times New Roman" w:hAnsi="Times New Roman"/>
          <w:sz w:val="24"/>
          <w:szCs w:val="24"/>
          <w:rtl w:val="0"/>
        </w:rPr>
        <w:t xml:space="preserve">The memo also has a very formal but understanding tone, indicating its sensitivity to the concerns of employees and the fear of reputation. It also assures workers that the zero tolerance to exploitation policy is still in place and implements that urgent actions are being taken, such as additional training on compliance, rewriting of third-party recruitment agreements, and building a multilingual HR complaint channel. Since the message has been influenced by the high-context communication theory of Hall, it is not over-clarified and involves a common set of organisational values and internal respect of hierarchy (Broeder, 2021). This memo reflects an authoritative, though respectful leadership tone that re-establishes the ethical stand of the company, and inspires the collective participation in the maintenance of the compliance standards.</w:t>
      </w:r>
    </w:p>
    <w:p w:rsidR="00000000" w:rsidDel="00000000" w:rsidP="00000000" w:rsidRDefault="00000000" w:rsidRPr="00000000" w14:paraId="0000005E">
      <w:pPr>
        <w:pStyle w:val="Heading2"/>
        <w:spacing w:line="480" w:lineRule="auto"/>
        <w:rPr>
          <w:rFonts w:ascii="Times New Roman" w:cs="Times New Roman" w:eastAsia="Times New Roman" w:hAnsi="Times New Roman"/>
          <w:b w:val="1"/>
        </w:rPr>
      </w:pPr>
      <w:bookmarkStart w:colFirst="0" w:colLast="0" w:name="_k0e68e1d1nak" w:id="25"/>
      <w:bookmarkEnd w:id="25"/>
      <w:r w:rsidDel="00000000" w:rsidR="00000000" w:rsidRPr="00000000">
        <w:rPr>
          <w:rFonts w:ascii="Times New Roman" w:cs="Times New Roman" w:eastAsia="Times New Roman" w:hAnsi="Times New Roman"/>
          <w:b w:val="1"/>
          <w:rtl w:val="0"/>
        </w:rPr>
        <w:t xml:space="preserve">4.2 Press Release</w:t>
      </w:r>
    </w:p>
    <w:p w:rsidR="00000000" w:rsidDel="00000000" w:rsidP="00000000" w:rsidRDefault="00000000" w:rsidRPr="00000000" w14:paraId="0000005F">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second deliverable is a public-facing press release, aimed at addressing widespread media scrutiny and public concern (Fielden, 2012). The message is constructed using a neutral and authoritative tone, grounded in Business English clarity and objectivity, and tailored to resonate across a diverse international audience. The press release opens with a brief acknowledgement of the concerns raised, followed by a clear statement that BlueVista takes these matters seriously.</w:t>
      </w:r>
    </w:p>
    <w:p w:rsidR="00000000" w:rsidDel="00000000" w:rsidP="00000000" w:rsidRDefault="00000000" w:rsidRPr="00000000" w14:paraId="00000060">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 directed by the denial-accommodation hybrid strategy that is suggested by the SCCT and supported by a theory of Image Restoration by Benoit, the company denies the premeditated maltreatment, whereas it informs the media about its decision to hire an outside third-party audit to evaluate working conditions and employment practices at every resort location.  The press release underscores BlueVista’s commitment to ILO Conventions No. 29 (Forced Labour), No. 138 (Minimum Age), and No. 155 (Occupational Safety and Health) (Moreau, 2018; Mavunga, 2013). The other issue reflected in the statement is adherence to national labour laws and the standards set by the International Labour Organization (ILO).</w:t>
      </w:r>
    </w:p>
    <w:p w:rsidR="00000000" w:rsidDel="00000000" w:rsidP="00000000" w:rsidRDefault="00000000" w:rsidRPr="00000000" w14:paraId="00000061">
      <w:pPr>
        <w:spacing w:after="280" w:before="280" w:line="480" w:lineRule="auto"/>
        <w:ind w:firstLine="720"/>
        <w:rPr>
          <w:rFonts w:ascii="Times New Roman" w:cs="Times New Roman" w:eastAsia="Times New Roman" w:hAnsi="Times New Roman"/>
          <w:sz w:val="24"/>
          <w:szCs w:val="24"/>
        </w:rPr>
      </w:pPr>
      <w:bookmarkStart w:colFirst="0" w:colLast="0" w:name="_ff38v5tdo4xa" w:id="26"/>
      <w:bookmarkEnd w:id="26"/>
      <w:r w:rsidDel="00000000" w:rsidR="00000000" w:rsidRPr="00000000">
        <w:rPr>
          <w:rFonts w:ascii="Times New Roman" w:cs="Times New Roman" w:eastAsia="Times New Roman" w:hAnsi="Times New Roman"/>
          <w:sz w:val="24"/>
          <w:szCs w:val="24"/>
          <w:rtl w:val="0"/>
        </w:rPr>
        <w:t xml:space="preserve">Culturally, the press release is expressed with a general international register, not using local idiom or culturally restricted idioms. BlueVista is certainly a company that cares deeply about being open to all people, ethically employs them, and treats social responsibility as a priority, yet it much more clearly shows an ability to act composed, proactive under the threat of crisis. At the end of the message, a category of follow-up communication by the ethics and compliance office of the company is invited. </w:t>
      </w:r>
    </w:p>
    <w:p w:rsidR="00000000" w:rsidDel="00000000" w:rsidP="00000000" w:rsidRDefault="00000000" w:rsidRPr="00000000" w14:paraId="00000062">
      <w:pPr>
        <w:pStyle w:val="Heading2"/>
        <w:spacing w:line="480" w:lineRule="auto"/>
        <w:rPr>
          <w:rFonts w:ascii="Times New Roman" w:cs="Times New Roman" w:eastAsia="Times New Roman" w:hAnsi="Times New Roman"/>
          <w:b w:val="1"/>
        </w:rPr>
      </w:pPr>
      <w:bookmarkStart w:colFirst="0" w:colLast="0" w:name="_x5revnvgbrd1" w:id="27"/>
      <w:bookmarkEnd w:id="27"/>
      <w:r w:rsidDel="00000000" w:rsidR="00000000" w:rsidRPr="00000000">
        <w:rPr>
          <w:rFonts w:ascii="Times New Roman" w:cs="Times New Roman" w:eastAsia="Times New Roman" w:hAnsi="Times New Roman"/>
          <w:b w:val="1"/>
          <w:rtl w:val="0"/>
        </w:rPr>
        <w:t xml:space="preserve">4.3 Investor Letter</w:t>
      </w:r>
    </w:p>
    <w:p w:rsidR="00000000" w:rsidDel="00000000" w:rsidP="00000000" w:rsidRDefault="00000000" w:rsidRPr="00000000" w14:paraId="00000063">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third deliverable is a formal letter addressed to investors and financial partners. Its primary purpose is to reaffirm BlueVista’s ethical business strategy, outline a forward-looking labour compliance plan, and mitigate investor concerns related to reputational and operational risk. The tone is strategic, measured, and legally precise, reflecting the high-stakes nature of investor communication.</w:t>
      </w:r>
    </w:p>
    <w:p w:rsidR="00000000" w:rsidDel="00000000" w:rsidP="00000000" w:rsidRDefault="00000000" w:rsidRPr="00000000" w14:paraId="00000064">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letter was based on the rebuilding approach promoted by SCCT, clearly recognizing the reputational threat to the company present in the allegations and explaining the short-term reaction of the company as the review of policies, audit, and accountability of its leadership. It makes stakeholders rest assured that the Board of Directors at BlueVista is actively participating and that corrective measures will be verified independently. The letter also mentions the ESG (Environmental, Social, Governance) standards and future reporting milestones as a demonstration of long-term commitment (Prakash, 2020).</w:t>
      </w:r>
    </w:p>
    <w:p w:rsidR="00000000" w:rsidDel="00000000" w:rsidP="00000000" w:rsidRDefault="00000000" w:rsidRPr="00000000" w14:paraId="00000065">
      <w:pPr>
        <w:spacing w:after="280" w:before="280" w:line="480" w:lineRule="auto"/>
        <w:ind w:firstLine="720"/>
        <w:rPr>
          <w:rFonts w:ascii="Times New Roman" w:cs="Times New Roman" w:eastAsia="Times New Roman" w:hAnsi="Times New Roman"/>
          <w:sz w:val="24"/>
          <w:szCs w:val="24"/>
        </w:rPr>
      </w:pPr>
      <w:bookmarkStart w:colFirst="0" w:colLast="0" w:name="_htkzy469ow55" w:id="28"/>
      <w:bookmarkEnd w:id="28"/>
      <w:r w:rsidDel="00000000" w:rsidR="00000000" w:rsidRPr="00000000">
        <w:rPr>
          <w:rFonts w:ascii="Times New Roman" w:cs="Times New Roman" w:eastAsia="Times New Roman" w:hAnsi="Times New Roman"/>
          <w:sz w:val="24"/>
          <w:szCs w:val="24"/>
          <w:rtl w:val="0"/>
        </w:rPr>
        <w:t xml:space="preserve">The letter follows professional standards of Business English, i.e., no emotional language is used, and the paper has a proper structure- introduction, summary of the issue, address the issue, and strategy perspective. Another focus is achieved on risk controls, compliance architecture, and stakeholder involvement that indicate resilience and futureproofing. The communication also builds in trust by being open and makes an appeal to investor expectations of transparency and accountability, ethical governance and sustainable growth (Vickneswaran, 2025).</w:t>
      </w:r>
    </w:p>
    <w:p w:rsidR="00000000" w:rsidDel="00000000" w:rsidP="00000000" w:rsidRDefault="00000000" w:rsidRPr="00000000" w14:paraId="00000066">
      <w:pPr>
        <w:pStyle w:val="Heading2"/>
        <w:spacing w:line="480" w:lineRule="auto"/>
        <w:rPr>
          <w:rFonts w:ascii="Times New Roman" w:cs="Times New Roman" w:eastAsia="Times New Roman" w:hAnsi="Times New Roman"/>
          <w:b w:val="1"/>
        </w:rPr>
      </w:pPr>
      <w:bookmarkStart w:colFirst="0" w:colLast="0" w:name="_why4y8exp0dz" w:id="29"/>
      <w:bookmarkEnd w:id="29"/>
      <w:r w:rsidDel="00000000" w:rsidR="00000000" w:rsidRPr="00000000">
        <w:rPr>
          <w:rFonts w:ascii="Times New Roman" w:cs="Times New Roman" w:eastAsia="Times New Roman" w:hAnsi="Times New Roman"/>
          <w:b w:val="1"/>
          <w:rtl w:val="0"/>
        </w:rPr>
        <w:t xml:space="preserve">4.4 Multicultural Messaging Strategy</w:t>
      </w:r>
    </w:p>
    <w:p w:rsidR="00000000" w:rsidDel="00000000" w:rsidP="00000000" w:rsidRDefault="00000000" w:rsidRPr="00000000" w14:paraId="00000067">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final communication deliverable outlines a multicultural messaging strategy targeting labour source countries such as the Philippines, India, and Romania. These regions are characterised by varying cultural norms and expectations, requiring tailored messaging grounded in Hofstede’s cultural dimensions and Hall’s context theory (Manrai, et al., 2001).</w:t>
      </w:r>
    </w:p>
    <w:p w:rsidR="00000000" w:rsidDel="00000000" w:rsidP="00000000" w:rsidRDefault="00000000" w:rsidRPr="00000000" w14:paraId="00000068">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collectivist societies, such as the Philippines and India, messages are prepared in the form of collective pronouns (e.g., we, our workforce) and focus on the well-being of the community and communal responsibility (Benosa, &amp; Ramos, 2021). In high power-distance cultures, the communication is deferential and also talks about organisational leadership and policy reforms as guiding types of communication (Ngwasheng, 2022). It avoids overly direct admissions of fault and instead focuses on growth, improvement, and mutual respect.</w:t>
      </w:r>
    </w:p>
    <w:p w:rsidR="00000000" w:rsidDel="00000000" w:rsidP="00000000" w:rsidRDefault="00000000" w:rsidRPr="00000000" w14:paraId="00000069">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contrast, low-context cultures with individualism, such as Romania, employ a clearer and information-dense style of messaging in which remedial actions and protections that should be available to workers are explicitly spelt out. The strategy incorporates multicultural visual materials, locally-oriented media channels, and translated materials that have been used in such a way that there is a clear and resonating communication. </w:t>
      </w:r>
    </w:p>
    <w:p w:rsidR="00000000" w:rsidDel="00000000" w:rsidP="00000000" w:rsidRDefault="00000000" w:rsidRPr="00000000" w14:paraId="0000006A">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Teaming cultural sensitivity with the clear principles of Business English ensures that the message validates the ethical treatment, inclusion, and fairness that BlueVista strives to exercise across borders in its global operations (Anamaria-Mirabela, &amp; Ariana-Monica, n.d). This multicultural attitude not only satisfies the necessities of stakeholders but also increases reliability and collaboration with communities of international labour.</w:t>
      </w:r>
    </w:p>
    <w:p w:rsidR="00000000" w:rsidDel="00000000" w:rsidP="00000000" w:rsidRDefault="00000000" w:rsidRPr="00000000" w14:paraId="0000006B">
      <w:pPr>
        <w:pStyle w:val="Heading1"/>
        <w:spacing w:line="480" w:lineRule="auto"/>
        <w:jc w:val="center"/>
        <w:rPr>
          <w:rFonts w:ascii="Times New Roman" w:cs="Times New Roman" w:eastAsia="Times New Roman" w:hAnsi="Times New Roman"/>
          <w:b w:val="1"/>
          <w:sz w:val="28"/>
          <w:szCs w:val="28"/>
        </w:rPr>
      </w:pPr>
      <w:bookmarkStart w:colFirst="0" w:colLast="0" w:name="_2558cpali6oe" w:id="30"/>
      <w:bookmarkEnd w:id="30"/>
      <w:r w:rsidDel="00000000" w:rsidR="00000000" w:rsidRPr="00000000">
        <w:rPr>
          <w:rFonts w:ascii="Times New Roman" w:cs="Times New Roman" w:eastAsia="Times New Roman" w:hAnsi="Times New Roman"/>
          <w:b w:val="1"/>
          <w:sz w:val="28"/>
          <w:szCs w:val="28"/>
          <w:rtl w:val="0"/>
        </w:rPr>
        <w:t xml:space="preserve">5. Discussion</w:t>
      </w:r>
    </w:p>
    <w:p w:rsidR="00000000" w:rsidDel="00000000" w:rsidP="00000000" w:rsidRDefault="00000000" w:rsidRPr="00000000" w14:paraId="0000006C">
      <w:pPr>
        <w:pStyle w:val="Heading2"/>
        <w:spacing w:line="480" w:lineRule="auto"/>
        <w:rPr>
          <w:rFonts w:ascii="Times New Roman" w:cs="Times New Roman" w:eastAsia="Times New Roman" w:hAnsi="Times New Roman"/>
          <w:b w:val="1"/>
        </w:rPr>
      </w:pPr>
      <w:bookmarkStart w:colFirst="0" w:colLast="0" w:name="_jfj4n02gzo94" w:id="31"/>
      <w:bookmarkEnd w:id="31"/>
      <w:r w:rsidDel="00000000" w:rsidR="00000000" w:rsidRPr="00000000">
        <w:rPr>
          <w:rFonts w:ascii="Times New Roman" w:cs="Times New Roman" w:eastAsia="Times New Roman" w:hAnsi="Times New Roman"/>
          <w:b w:val="1"/>
          <w:rtl w:val="0"/>
        </w:rPr>
        <w:t xml:space="preserve">5.1 Analysis of BlueVista’s Communication Strategy</w:t>
      </w:r>
    </w:p>
    <w:p w:rsidR="00000000" w:rsidDel="00000000" w:rsidP="00000000" w:rsidRDefault="00000000" w:rsidRPr="00000000" w14:paraId="0000006D">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BlueVista Resorts’ crisis communication strategy demonstrates a hybrid application of denial and accommodation, combining elements from SCCT’s defensive and restorative postures. By initially distancing itself from systemic wrongdoing while concurrently launching third-party audits and policy reforms, the company sought to protect its brand reputation without appearing dismissive of the allegations. This strategy reflects a calculated balance between reputational defence and ethical accountability, a necessary equilibrium in high-stakes corporate crises.</w:t>
      </w:r>
    </w:p>
    <w:p w:rsidR="00000000" w:rsidDel="00000000" w:rsidP="00000000" w:rsidRDefault="00000000" w:rsidRPr="00000000" w14:paraId="0000006E">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strategy is reflective of what would be done in real-life situations. As an example, in the context of the preparation of the Qatar 2022 FIFA World Cup, the organisers were heavily criticised in connection with the negative treatment of migrant workers (Al Thani, 2021). Their reaction was disbelief at first, but the increasing pressure because of the international scrutiny eventually made them implement labour law and welfare regulations reform. On the same note, Marriott International was also under attack due to its bad working conditions in certain destinations in the world. Their reactions involved transparency to the public and the greater well-being needs of their workers, and also being aligned with the labour standards practised internationally, taking note that repairs to reputation are best realised when accompanied by noticeable and evident repair efforts.</w:t>
      </w:r>
    </w:p>
    <w:p w:rsidR="00000000" w:rsidDel="00000000" w:rsidP="00000000" w:rsidRDefault="00000000" w:rsidRPr="00000000" w14:paraId="0000006F">
      <w:pPr>
        <w:spacing w:after="280" w:before="280" w:line="480" w:lineRule="auto"/>
        <w:ind w:firstLine="720"/>
        <w:rPr>
          <w:rFonts w:ascii="Times New Roman" w:cs="Times New Roman" w:eastAsia="Times New Roman" w:hAnsi="Times New Roman"/>
          <w:sz w:val="24"/>
          <w:szCs w:val="24"/>
        </w:rPr>
      </w:pPr>
      <w:bookmarkStart w:colFirst="0" w:colLast="0" w:name="_459vmu6h1nuh" w:id="32"/>
      <w:bookmarkEnd w:id="32"/>
      <w:r w:rsidDel="00000000" w:rsidR="00000000" w:rsidRPr="00000000">
        <w:rPr>
          <w:rFonts w:ascii="Times New Roman" w:cs="Times New Roman" w:eastAsia="Times New Roman" w:hAnsi="Times New Roman"/>
          <w:sz w:val="24"/>
          <w:szCs w:val="24"/>
          <w:rtl w:val="0"/>
        </w:rPr>
        <w:t xml:space="preserve">The action of BlueVista to incorporate third-party audit, changes in training, and messages across multicultural lines shows a proactive consciousness of these precedents within the industry. Yet, regardless of the merits of the content, such a strategy will remain effective only to the extent that it is consistent and can be perceived as honest through all channels of the company communication and despite the differences in stakeholder groups.</w:t>
      </w:r>
    </w:p>
    <w:p w:rsidR="00000000" w:rsidDel="00000000" w:rsidP="00000000" w:rsidRDefault="00000000" w:rsidRPr="00000000" w14:paraId="00000070">
      <w:pPr>
        <w:pStyle w:val="Heading2"/>
        <w:spacing w:line="480" w:lineRule="auto"/>
        <w:rPr>
          <w:rFonts w:ascii="Times New Roman" w:cs="Times New Roman" w:eastAsia="Times New Roman" w:hAnsi="Times New Roman"/>
          <w:b w:val="1"/>
        </w:rPr>
      </w:pPr>
      <w:bookmarkStart w:colFirst="0" w:colLast="0" w:name="_kfy0w9xjpj30" w:id="33"/>
      <w:bookmarkEnd w:id="33"/>
      <w:r w:rsidDel="00000000" w:rsidR="00000000" w:rsidRPr="00000000">
        <w:rPr>
          <w:rFonts w:ascii="Times New Roman" w:cs="Times New Roman" w:eastAsia="Times New Roman" w:hAnsi="Times New Roman"/>
          <w:b w:val="1"/>
          <w:rtl w:val="0"/>
        </w:rPr>
        <w:t xml:space="preserve">5.2 Effectiveness of Internal vs. External Communication</w:t>
      </w:r>
    </w:p>
    <w:p w:rsidR="00000000" w:rsidDel="00000000" w:rsidP="00000000" w:rsidRDefault="00000000" w:rsidRPr="00000000" w14:paraId="00000071">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communication plan reveals a clear distinction between internal and external messaging, each serving specific functional and relational goals. Internally, the memo to staff aims to preserve morale, reaffirm organisational values, and drive compliance through structural reforms (Mekgoe, 2008). It acknowledges the concerns raised while assuring employees of the company’s commitment to ethical conduct. The empathetic tone, combined with a directive communication style, is intended to cultivate employee trust and cooperation during a sensitive period.</w:t>
      </w:r>
    </w:p>
    <w:p w:rsidR="00000000" w:rsidDel="00000000" w:rsidP="00000000" w:rsidRDefault="00000000" w:rsidRPr="00000000" w14:paraId="00000072">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external communications are the press release and the investor letter, which aim at restoring trust, controlling media discourse, and assuring investors that the risk was contained. These messages are written in authoritative, formal language and references to regulatory compliance and ESG principles are added to become even more credible. The framing is strategic to avoid a backlash from the community and the effect of monetary fluctuation.</w:t>
      </w:r>
    </w:p>
    <w:p w:rsidR="00000000" w:rsidDel="00000000" w:rsidP="00000000" w:rsidRDefault="00000000" w:rsidRPr="00000000" w14:paraId="00000073">
      <w:pPr>
        <w:spacing w:after="280" w:before="280" w:line="480" w:lineRule="auto"/>
        <w:ind w:firstLine="720"/>
        <w:rPr>
          <w:rFonts w:ascii="Times New Roman" w:cs="Times New Roman" w:eastAsia="Times New Roman" w:hAnsi="Times New Roman"/>
          <w:sz w:val="24"/>
          <w:szCs w:val="24"/>
        </w:rPr>
      </w:pPr>
      <w:bookmarkStart w:colFirst="0" w:colLast="0" w:name="_y3pb7rpxvk5b" w:id="34"/>
      <w:bookmarkEnd w:id="34"/>
      <w:r w:rsidDel="00000000" w:rsidR="00000000" w:rsidRPr="00000000">
        <w:rPr>
          <w:rFonts w:ascii="Times New Roman" w:cs="Times New Roman" w:eastAsia="Times New Roman" w:hAnsi="Times New Roman"/>
          <w:sz w:val="24"/>
          <w:szCs w:val="24"/>
          <w:rtl w:val="0"/>
        </w:rPr>
        <w:t xml:space="preserve">Nevertheless, inconsistent messages to different stakeholder categories can be considered a major threat in crisis communication. Hypocrisy or scepticism could be incited when the internal declarations differ from the external assurances (Christensen, Morsing, &amp; Thyssen, 2011). As an example, in case of exaggeration or falsehood of statements that could be made publicly, the employees might lose trust inside. On the other hand, the technical and even defensive messages to external stakeholders can be interpreted as being evasive and insincere. Thus, it is important to create consistency in terms of tone, content and time, which determines the overall success of BlueVista's communication strategy.</w:t>
      </w:r>
    </w:p>
    <w:p w:rsidR="00000000" w:rsidDel="00000000" w:rsidP="00000000" w:rsidRDefault="00000000" w:rsidRPr="00000000" w14:paraId="00000074">
      <w:pPr>
        <w:pStyle w:val="Heading2"/>
        <w:spacing w:line="480" w:lineRule="auto"/>
        <w:rPr>
          <w:rFonts w:ascii="Times New Roman" w:cs="Times New Roman" w:eastAsia="Times New Roman" w:hAnsi="Times New Roman"/>
          <w:b w:val="1"/>
        </w:rPr>
      </w:pPr>
      <w:bookmarkStart w:colFirst="0" w:colLast="0" w:name="_83kn5eovel6e" w:id="35"/>
      <w:bookmarkEnd w:id="35"/>
      <w:r w:rsidDel="00000000" w:rsidR="00000000" w:rsidRPr="00000000">
        <w:rPr>
          <w:rFonts w:ascii="Times New Roman" w:cs="Times New Roman" w:eastAsia="Times New Roman" w:hAnsi="Times New Roman"/>
          <w:b w:val="1"/>
          <w:rtl w:val="0"/>
        </w:rPr>
        <w:t xml:space="preserve">5.3 Cultural Appropriateness and Business English Execution</w:t>
      </w:r>
    </w:p>
    <w:p w:rsidR="00000000" w:rsidDel="00000000" w:rsidP="00000000" w:rsidRDefault="00000000" w:rsidRPr="00000000" w14:paraId="00000075">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BlueVista’s communication strategy shows clear awareness of cultural differences in message reception, applying both Hofstede’s and Hall’s models to adjust tone, content, and delivery across regions. However, crafting messages for a culturally diverse audience remains a complex task. One of the main challenges lies in reconciling differing expectations around directness, authority, and emotional expression. In high-context cultures, such as those in Southeast Asia, indirect communication and hierarchical respect are essential (Zhang, 2008). In contrast, stakeholders in low-context, individualistic cultures often expect transparency, direct accountability, and a detailed action plan (Holloway, 2024).</w:t>
      </w:r>
    </w:p>
    <w:p w:rsidR="00000000" w:rsidDel="00000000" w:rsidP="00000000" w:rsidRDefault="00000000" w:rsidRPr="00000000" w14:paraId="00000076">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it comes to Business English implementation, the communication deliverables are professionally well-placed in regards to clarity, formality, and persuasiveness. Strategic vagueness and euphemism enabled BlueVista to avoid legal risk without losing goodwill among its stakeholders, especially in its communications to the outside world and shareholders. As an example, such phrases as taking the matter seriously and working to improve conditions appear to be open-ended but still imply some action and care.</w:t>
      </w:r>
    </w:p>
    <w:p w:rsidR="00000000" w:rsidDel="00000000" w:rsidP="00000000" w:rsidRDefault="00000000" w:rsidRPr="00000000" w14:paraId="00000077">
      <w:pPr>
        <w:spacing w:after="280" w:before="280" w:line="480" w:lineRule="auto"/>
        <w:ind w:firstLine="720"/>
        <w:rPr>
          <w:rFonts w:ascii="Times New Roman" w:cs="Times New Roman" w:eastAsia="Times New Roman" w:hAnsi="Times New Roman"/>
          <w:sz w:val="24"/>
          <w:szCs w:val="24"/>
        </w:rPr>
      </w:pPr>
      <w:bookmarkStart w:colFirst="0" w:colLast="0" w:name="_cytmnrrdermt" w:id="36"/>
      <w:bookmarkEnd w:id="36"/>
      <w:r w:rsidDel="00000000" w:rsidR="00000000" w:rsidRPr="00000000">
        <w:rPr>
          <w:rFonts w:ascii="Times New Roman" w:cs="Times New Roman" w:eastAsia="Times New Roman" w:hAnsi="Times New Roman"/>
          <w:sz w:val="24"/>
          <w:szCs w:val="24"/>
          <w:rtl w:val="0"/>
        </w:rPr>
        <w:t xml:space="preserve">Additionally, voice (active/passive) has a minor but significant effect. When communication needs to be legally cautious, a passive form of communication, like an investigation, has been conducted, gives the impression that the company acted without directly giving out names of executors, thus giving less weight to the potential of culpability. In contrast, active voice forms in internal communication, eg we are dedicated to change, demonstrate ownership and initiative on the part of the leaders. </w:t>
      </w:r>
    </w:p>
    <w:p w:rsidR="00000000" w:rsidDel="00000000" w:rsidP="00000000" w:rsidRDefault="00000000" w:rsidRPr="00000000" w14:paraId="00000078">
      <w:pPr>
        <w:pStyle w:val="Heading2"/>
        <w:spacing w:line="480" w:lineRule="auto"/>
        <w:rPr>
          <w:rFonts w:ascii="Times New Roman" w:cs="Times New Roman" w:eastAsia="Times New Roman" w:hAnsi="Times New Roman"/>
          <w:b w:val="1"/>
        </w:rPr>
      </w:pPr>
      <w:bookmarkStart w:colFirst="0" w:colLast="0" w:name="_2znr8jdzwqn8" w:id="37"/>
      <w:bookmarkEnd w:id="37"/>
      <w:r w:rsidDel="00000000" w:rsidR="00000000" w:rsidRPr="00000000">
        <w:rPr>
          <w:rFonts w:ascii="Times New Roman" w:cs="Times New Roman" w:eastAsia="Times New Roman" w:hAnsi="Times New Roman"/>
          <w:b w:val="1"/>
          <w:rtl w:val="0"/>
        </w:rPr>
        <w:t xml:space="preserve">5.4 Strategic and Operational Implications</w:t>
      </w:r>
    </w:p>
    <w:p w:rsidR="00000000" w:rsidDel="00000000" w:rsidP="00000000" w:rsidRDefault="00000000" w:rsidRPr="00000000" w14:paraId="00000079">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long-term effectiveness of BlueVista’s communication strategy extends beyond reputation management. It holds implications for recruitment, retention, and operational sustainability. In industries like tourism, where seasonal labour shortages are common and reputations influence employer branding, any perception of unethical labour practices can severely undermine talent pipelines, especially among migrant communities (Liimatta, 2025).</w:t>
      </w:r>
    </w:p>
    <w:p w:rsidR="00000000" w:rsidDel="00000000" w:rsidP="00000000" w:rsidRDefault="00000000" w:rsidRPr="00000000" w14:paraId="0000007A">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order to reduce these risks, BlueVista needs to engage in constant CSR-based internal communication not only when the crisis strikes but as the operation life principle. The key instruments of sustaining trust are ubiquitous transparency reports, multilingual employee communication platforms, and the availability of grievance channels. Any plan must be incorporated in larger HR and compliance roles so that there can be correspondence between what is said and what is done.</w:t>
      </w:r>
    </w:p>
    <w:p w:rsidR="00000000" w:rsidDel="00000000" w:rsidP="00000000" w:rsidRDefault="00000000" w:rsidRPr="00000000" w14:paraId="0000007B">
      <w:pPr>
        <w:spacing w:after="280" w:before="280" w:line="480" w:lineRule="auto"/>
        <w:ind w:firstLine="720"/>
        <w:rPr>
          <w:rFonts w:ascii="Times New Roman" w:cs="Times New Roman" w:eastAsia="Times New Roman" w:hAnsi="Times New Roman"/>
          <w:sz w:val="24"/>
          <w:szCs w:val="24"/>
        </w:rPr>
      </w:pPr>
      <w:bookmarkStart w:colFirst="0" w:colLast="0" w:name="_fp95buhx3hu0" w:id="38"/>
      <w:bookmarkEnd w:id="38"/>
      <w:r w:rsidDel="00000000" w:rsidR="00000000" w:rsidRPr="00000000">
        <w:rPr>
          <w:rFonts w:ascii="Times New Roman" w:cs="Times New Roman" w:eastAsia="Times New Roman" w:hAnsi="Times New Roman"/>
          <w:sz w:val="24"/>
          <w:szCs w:val="24"/>
          <w:rtl w:val="0"/>
        </w:rPr>
        <w:t xml:space="preserve">Further, the communication strategy underscores the need to align stakeholders such that messages can meet the needs of various audiences, such as employees, labour unions, local governments, international regulators, investors, and the media. Each group has its demands and issues, and the possibility of BlueVista succeeding in recovering from the crisis will depend on how successful this company is in handling these relations openly and proactively.</w:t>
      </w:r>
    </w:p>
    <w:p w:rsidR="00000000" w:rsidDel="00000000" w:rsidP="00000000" w:rsidRDefault="00000000" w:rsidRPr="00000000" w14:paraId="0000007C">
      <w:pPr>
        <w:pStyle w:val="Heading2"/>
        <w:spacing w:before="0" w:line="480" w:lineRule="auto"/>
        <w:rPr>
          <w:rFonts w:ascii="Times New Roman" w:cs="Times New Roman" w:eastAsia="Times New Roman" w:hAnsi="Times New Roman"/>
          <w:b w:val="1"/>
        </w:rPr>
      </w:pPr>
      <w:bookmarkStart w:colFirst="0" w:colLast="0" w:name="_oerm1kbopta" w:id="39"/>
      <w:bookmarkEnd w:id="39"/>
      <w:r w:rsidDel="00000000" w:rsidR="00000000" w:rsidRPr="00000000">
        <w:rPr>
          <w:rFonts w:ascii="Times New Roman" w:cs="Times New Roman" w:eastAsia="Times New Roman" w:hAnsi="Times New Roman"/>
          <w:b w:val="1"/>
          <w:rtl w:val="0"/>
        </w:rPr>
        <w:t xml:space="preserve">Critical Analysis</w:t>
      </w:r>
    </w:p>
    <w:p w:rsidR="00000000" w:rsidDel="00000000" w:rsidP="00000000" w:rsidRDefault="00000000" w:rsidRPr="00000000" w14:paraId="0000007D">
      <w:pPr>
        <w:spacing w:after="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its strengths, SCCT has limitations when applied to human rights-related crises, such as labour exploitation. The theory's emphasis on reputation-centric strategies may fall short in situations where moral legitimacy is central to stakeholder evaluation. In these cases, denial—even when partially justified—can appear ethically tone-deaf. As seen in public reactions to corporate misconduct, audiences increasingly expect companies to exhibit not just procedural compliance, but genuine moral accountability.</w:t>
      </w:r>
    </w:p>
    <w:p w:rsidR="00000000" w:rsidDel="00000000" w:rsidP="00000000" w:rsidRDefault="00000000" w:rsidRPr="00000000" w14:paraId="0000007E">
      <w:pPr>
        <w:spacing w:after="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spacing w:after="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poses the larger ethical question of the conflict between risk minimisation and genuine responsibility. Legal groups can encourage the use of imprecise, conditional text to evade responsibility</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whereas communication experts can support the use of sincere and clear communications to maintain credibility with the populace. This is a tricky divide to cross</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and it demands tact, value-based leadership that respects organisational integrity as well as ethically acceptable standards of communication. </w:t>
      </w:r>
    </w:p>
    <w:p w:rsidR="00000000" w:rsidDel="00000000" w:rsidP="00000000" w:rsidRDefault="00000000" w:rsidRPr="00000000" w14:paraId="00000080">
      <w:pPr>
        <w:pStyle w:val="Heading1"/>
        <w:spacing w:before="0" w:lineRule="auto"/>
        <w:jc w:val="center"/>
        <w:rPr>
          <w:rFonts w:ascii="Times New Roman" w:cs="Times New Roman" w:eastAsia="Times New Roman" w:hAnsi="Times New Roman"/>
          <w:b w:val="1"/>
          <w:sz w:val="28"/>
          <w:szCs w:val="28"/>
        </w:rPr>
      </w:pPr>
      <w:bookmarkStart w:colFirst="0" w:colLast="0" w:name="_f86zz5l74g72" w:id="40"/>
      <w:bookmarkEnd w:id="40"/>
      <w:r w:rsidDel="00000000" w:rsidR="00000000" w:rsidRPr="00000000">
        <w:rPr>
          <w:rFonts w:ascii="Times New Roman" w:cs="Times New Roman" w:eastAsia="Times New Roman" w:hAnsi="Times New Roman"/>
          <w:b w:val="1"/>
          <w:sz w:val="28"/>
          <w:szCs w:val="28"/>
          <w:rtl w:val="0"/>
        </w:rPr>
        <w:t xml:space="preserve">6. Conclusion</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pStyle w:val="Heading2"/>
        <w:spacing w:before="0" w:lineRule="auto"/>
        <w:rPr>
          <w:rFonts w:ascii="Times New Roman" w:cs="Times New Roman" w:eastAsia="Times New Roman" w:hAnsi="Times New Roman"/>
          <w:b w:val="1"/>
        </w:rPr>
      </w:pPr>
      <w:bookmarkStart w:colFirst="0" w:colLast="0" w:name="_zql1rnujaff" w:id="41"/>
      <w:bookmarkEnd w:id="41"/>
      <w:r w:rsidDel="00000000" w:rsidR="00000000" w:rsidRPr="00000000">
        <w:rPr>
          <w:rFonts w:ascii="Times New Roman" w:cs="Times New Roman" w:eastAsia="Times New Roman" w:hAnsi="Times New Roman"/>
          <w:b w:val="1"/>
          <w:rtl w:val="0"/>
        </w:rPr>
        <w:t xml:space="preserve">6.1. Summary of Key Insights</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spacing w:after="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BlueVista case stresses the importance of strategic communication in managing crises in the tourism sector in the global environment. The response strategy of the company under investigation proves that strict consideration should be given to the matters of ethical responsibility and reputation maintenance in </w:t>
      </w:r>
      <w:r w:rsidDel="00000000" w:rsidR="00000000" w:rsidRPr="00000000">
        <w:rPr>
          <w:rFonts w:ascii="Times New Roman" w:cs="Times New Roman" w:eastAsia="Times New Roman" w:hAnsi="Times New Roman"/>
          <w:i w:val="1"/>
          <w:sz w:val="24"/>
          <w:szCs w:val="24"/>
          <w:rtl w:val="0"/>
        </w:rPr>
        <w:t xml:space="preserve">cases</w:t>
      </w:r>
      <w:r w:rsidDel="00000000" w:rsidR="00000000" w:rsidRPr="00000000">
        <w:rPr>
          <w:rFonts w:ascii="Times New Roman" w:cs="Times New Roman" w:eastAsia="Times New Roman" w:hAnsi="Times New Roman"/>
          <w:sz w:val="24"/>
          <w:szCs w:val="24"/>
          <w:rtl w:val="0"/>
        </w:rPr>
        <w:t xml:space="preserve"> where the company has rather severe accusations of exploitation of migrant workers. It can be seen in the analysis that a successful message conveyed in such settings is based on a solid understanding of Business English, intercultural awareness and theories of crisis communication like SCCT, and Image Restoration Theory. On the inside, the style needs to be empathetic but firm to keep the morale of staff intact and ensure rules are followed, while publicly, the statements given should strive to portray transparency, credibility, and cultural non-judgment.</w:t>
      </w:r>
    </w:p>
    <w:p w:rsidR="00000000" w:rsidDel="00000000" w:rsidP="00000000" w:rsidRDefault="00000000" w:rsidRPr="00000000" w14:paraId="00000085">
      <w:pPr>
        <w:pStyle w:val="Heading4"/>
        <w:spacing w:line="480" w:lineRule="auto"/>
        <w:rPr>
          <w:rFonts w:ascii="Times New Roman" w:cs="Times New Roman" w:eastAsia="Times New Roman" w:hAnsi="Times New Roman"/>
          <w:i w:val="0"/>
          <w:color w:val="000000"/>
          <w:sz w:val="24"/>
          <w:szCs w:val="24"/>
        </w:rPr>
      </w:pPr>
      <w:r w:rsidDel="00000000" w:rsidR="00000000" w:rsidRPr="00000000">
        <w:rPr>
          <w:rtl w:val="0"/>
        </w:rPr>
      </w:r>
    </w:p>
    <w:p w:rsidR="00000000" w:rsidDel="00000000" w:rsidP="00000000" w:rsidRDefault="00000000" w:rsidRPr="00000000" w14:paraId="00000086">
      <w:pPr>
        <w:pStyle w:val="Heading2"/>
        <w:spacing w:line="480" w:lineRule="auto"/>
        <w:rPr>
          <w:rFonts w:ascii="Times New Roman" w:cs="Times New Roman" w:eastAsia="Times New Roman" w:hAnsi="Times New Roman"/>
          <w:b w:val="1"/>
        </w:rPr>
      </w:pPr>
      <w:bookmarkStart w:colFirst="0" w:colLast="0" w:name="_pa4zqsh4h3k8" w:id="42"/>
      <w:bookmarkEnd w:id="42"/>
      <w:r w:rsidDel="00000000" w:rsidR="00000000" w:rsidRPr="00000000">
        <w:rPr>
          <w:rFonts w:ascii="Times New Roman" w:cs="Times New Roman" w:eastAsia="Times New Roman" w:hAnsi="Times New Roman"/>
          <w:b w:val="1"/>
          <w:rtl w:val="0"/>
        </w:rPr>
        <w:t xml:space="preserve">6.2. Recommendations</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light of the findings, several forward-looking strategies emerge. First, intercultural communication training should be embedded into HR protocols to better equip managerial staff for multinational workforce engagement. Second, BlueVista and similar firms should establish independent ethical labour oversight committees to monitor recruitment and working conditions. These committees should publish multilingual transparency reports to ensure accessibility and build trust across diverse stakeholder groups. Third, regular crisis simulation exercises tailored for global leadership teams are recommended to enhance preparedness, consistency, and confidence in future response scenarios.</w:t>
      </w:r>
    </w:p>
    <w:p w:rsidR="00000000" w:rsidDel="00000000" w:rsidP="00000000" w:rsidRDefault="00000000" w:rsidRPr="00000000" w14:paraId="00000088">
      <w:pPr>
        <w:pStyle w:val="Heading2"/>
        <w:spacing w:before="0" w:line="480" w:lineRule="auto"/>
        <w:rPr>
          <w:rFonts w:ascii="Times New Roman" w:cs="Times New Roman" w:eastAsia="Times New Roman" w:hAnsi="Times New Roman"/>
          <w:b w:val="1"/>
        </w:rPr>
      </w:pPr>
      <w:bookmarkStart w:colFirst="0" w:colLast="0" w:name="_sd5q2m9hntqs" w:id="43"/>
      <w:bookmarkEnd w:id="43"/>
      <w:r w:rsidDel="00000000" w:rsidR="00000000" w:rsidRPr="00000000">
        <w:rPr>
          <w:rFonts w:ascii="Times New Roman" w:cs="Times New Roman" w:eastAsia="Times New Roman" w:hAnsi="Times New Roman"/>
          <w:b w:val="1"/>
          <w:rtl w:val="0"/>
        </w:rPr>
        <w:t xml:space="preserve">6.3. Forward-Looking Perspective</w:t>
      </w:r>
    </w:p>
    <w:p w:rsidR="00000000" w:rsidDel="00000000" w:rsidP="00000000" w:rsidRDefault="00000000" w:rsidRPr="00000000" w14:paraId="0000008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international tourism is still relying highly on seasonal migrant labour, the business shall be sufficiently prepared to easily adapt communication structures to meet the changing moral, legal and cultural dilemmas. Stakeholder engagement tools are now a more complicated matter; not corporations simply adhering to rules, but rather strategic, substantive dialogue that balances both local governance and international human rights. The case of BlueVista represents a warning and a learning lesson about the equivalence of communication, when done with some thoughtfulness, as one of the essential factors through resiliency, reform, and long-term reputation within the tourism arena in the global domain.</w:t>
      </w:r>
    </w:p>
    <w:p w:rsidR="00000000" w:rsidDel="00000000" w:rsidP="00000000" w:rsidRDefault="00000000" w:rsidRPr="00000000" w14:paraId="0000008A">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pStyle w:val="Heading1"/>
        <w:jc w:val="center"/>
        <w:rPr>
          <w:rFonts w:ascii="Times New Roman" w:cs="Times New Roman" w:eastAsia="Times New Roman" w:hAnsi="Times New Roman"/>
          <w:b w:val="1"/>
          <w:sz w:val="28"/>
          <w:szCs w:val="28"/>
        </w:rPr>
      </w:pPr>
      <w:bookmarkStart w:colFirst="0" w:colLast="0" w:name="_5j70ea843be0" w:id="44"/>
      <w:bookmarkEnd w:id="44"/>
      <w:r w:rsidDel="00000000" w:rsidR="00000000" w:rsidRPr="00000000">
        <w:rPr>
          <w:rFonts w:ascii="Times New Roman" w:cs="Times New Roman" w:eastAsia="Times New Roman" w:hAnsi="Times New Roman"/>
          <w:b w:val="1"/>
          <w:sz w:val="28"/>
          <w:szCs w:val="28"/>
          <w:rtl w:val="0"/>
        </w:rPr>
        <w:t xml:space="preserve">References</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 Thani, M. (2021). Channelling soft power: The Qatar 2022 world cup, migrant workers, and international image. </w:t>
      </w:r>
      <w:r w:rsidDel="00000000" w:rsidR="00000000" w:rsidRPr="00000000">
        <w:rPr>
          <w:rFonts w:ascii="Times New Roman" w:cs="Times New Roman" w:eastAsia="Times New Roman" w:hAnsi="Times New Roman"/>
          <w:i w:val="1"/>
          <w:sz w:val="24"/>
          <w:szCs w:val="24"/>
          <w:rtl w:val="0"/>
        </w:rPr>
        <w:t xml:space="preserve">The international journal of the history of sport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38</w:t>
      </w:r>
      <w:r w:rsidDel="00000000" w:rsidR="00000000" w:rsidRPr="00000000">
        <w:rPr>
          <w:rFonts w:ascii="Times New Roman" w:cs="Times New Roman" w:eastAsia="Times New Roman" w:hAnsi="Times New Roman"/>
          <w:sz w:val="24"/>
          <w:szCs w:val="24"/>
          <w:rtl w:val="0"/>
        </w:rPr>
        <w:t xml:space="preserve">(17), 1729-1752. </w:t>
      </w:r>
      <w:hyperlink r:id="rId6">
        <w:r w:rsidDel="00000000" w:rsidR="00000000" w:rsidRPr="00000000">
          <w:rPr>
            <w:rFonts w:ascii="Times New Roman" w:cs="Times New Roman" w:eastAsia="Times New Roman" w:hAnsi="Times New Roman"/>
            <w:color w:val="0563c1"/>
            <w:sz w:val="24"/>
            <w:szCs w:val="24"/>
            <w:u w:val="single"/>
            <w:rtl w:val="0"/>
          </w:rPr>
          <w:t xml:space="preserve">https://doi.org/10.1080/09523367.2021.1988932</w:t>
        </w:r>
      </w:hyperlink>
      <w:r w:rsidDel="00000000" w:rsidR="00000000" w:rsidRPr="00000000">
        <w:rPr>
          <w:rtl w:val="0"/>
        </w:rPr>
      </w:r>
    </w:p>
    <w:p w:rsidR="00000000" w:rsidDel="00000000" w:rsidP="00000000" w:rsidRDefault="00000000" w:rsidRPr="00000000" w14:paraId="00000090">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Anamaria-Mirabela, P. O. P., &amp; Ariana-Monica, S. I. M. THE IMPACT OF CROSS-CULTURAL COMMUNICATION ON BUSINESS TERMINOLOGY LEARNING. </w:t>
      </w:r>
      <w:r w:rsidDel="00000000" w:rsidR="00000000" w:rsidRPr="00000000">
        <w:rPr>
          <w:rFonts w:ascii="Times New Roman" w:cs="Times New Roman" w:eastAsia="Times New Roman" w:hAnsi="Times New Roman"/>
          <w:i w:val="1"/>
          <w:sz w:val="24"/>
          <w:szCs w:val="24"/>
          <w:rtl w:val="0"/>
        </w:rPr>
        <w:t xml:space="preserve">Journal of Languages for Spec (JLSP)</w:t>
      </w:r>
      <w:r w:rsidDel="00000000" w:rsidR="00000000" w:rsidRPr="00000000">
        <w:rPr>
          <w:rFonts w:ascii="Times New Roman" w:cs="Times New Roman" w:eastAsia="Times New Roman" w:hAnsi="Times New Roman"/>
          <w:sz w:val="24"/>
          <w:szCs w:val="24"/>
          <w:rtl w:val="0"/>
        </w:rPr>
        <w:t xml:space="preserve">, 149.</w:t>
      </w:r>
    </w:p>
    <w:p w:rsidR="00000000" w:rsidDel="00000000" w:rsidP="00000000" w:rsidRDefault="00000000" w:rsidRPr="00000000" w14:paraId="00000091">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Aririguzoh, S. (2022). Communication competencies, culture and SDGs: effective processes to cross-cultural communication. </w:t>
      </w:r>
      <w:r w:rsidDel="00000000" w:rsidR="00000000" w:rsidRPr="00000000">
        <w:rPr>
          <w:rFonts w:ascii="Times New Roman" w:cs="Times New Roman" w:eastAsia="Times New Roman" w:hAnsi="Times New Roman"/>
          <w:i w:val="1"/>
          <w:sz w:val="24"/>
          <w:szCs w:val="24"/>
          <w:rtl w:val="0"/>
        </w:rPr>
        <w:t xml:space="preserve">Humanities and Social Sciences Communications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9</w:t>
      </w:r>
      <w:r w:rsidDel="00000000" w:rsidR="00000000" w:rsidRPr="00000000">
        <w:rPr>
          <w:rFonts w:ascii="Times New Roman" w:cs="Times New Roman" w:eastAsia="Times New Roman" w:hAnsi="Times New Roman"/>
          <w:sz w:val="24"/>
          <w:szCs w:val="24"/>
          <w:rtl w:val="0"/>
        </w:rPr>
        <w:t xml:space="preserve">(1), 1-11. DOI </w:t>
      </w:r>
      <w:hyperlink r:id="rId7">
        <w:r w:rsidDel="00000000" w:rsidR="00000000" w:rsidRPr="00000000">
          <w:rPr>
            <w:rFonts w:ascii="Times New Roman" w:cs="Times New Roman" w:eastAsia="Times New Roman" w:hAnsi="Times New Roman"/>
            <w:color w:val="0563c1"/>
            <w:sz w:val="24"/>
            <w:szCs w:val="24"/>
            <w:u w:val="single"/>
            <w:rtl w:val="0"/>
          </w:rPr>
          <w:t xml:space="preserve">https://doi.org/10.1057/s41599-022-01109-4</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2">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Banerjee, P. The Influence of Cultural Differences on Leadership Excellence. </w:t>
      </w:r>
      <w:r w:rsidDel="00000000" w:rsidR="00000000" w:rsidRPr="00000000">
        <w:rPr>
          <w:rFonts w:ascii="Times New Roman" w:cs="Times New Roman" w:eastAsia="Times New Roman" w:hAnsi="Times New Roman"/>
          <w:i w:val="1"/>
          <w:sz w:val="24"/>
          <w:szCs w:val="24"/>
          <w:rtl w:val="0"/>
        </w:rPr>
        <w:t xml:space="preserve">Enhancing Organizational Growth Through Innovation and Creativity: Issues, Opportunities and Challenges</w:t>
      </w:r>
      <w:r w:rsidDel="00000000" w:rsidR="00000000" w:rsidRPr="00000000">
        <w:rPr>
          <w:rFonts w:ascii="Times New Roman" w:cs="Times New Roman" w:eastAsia="Times New Roman" w:hAnsi="Times New Roman"/>
          <w:sz w:val="24"/>
          <w:szCs w:val="24"/>
          <w:rtl w:val="0"/>
        </w:rPr>
        <w:t xml:space="preserve">, 142.</w:t>
      </w:r>
    </w:p>
    <w:p w:rsidR="00000000" w:rsidDel="00000000" w:rsidP="00000000" w:rsidRDefault="00000000" w:rsidRPr="00000000" w14:paraId="00000093">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Benoit, W. L. (2014). </w:t>
      </w:r>
      <w:r w:rsidDel="00000000" w:rsidR="00000000" w:rsidRPr="00000000">
        <w:rPr>
          <w:rFonts w:ascii="Times New Roman" w:cs="Times New Roman" w:eastAsia="Times New Roman" w:hAnsi="Times New Roman"/>
          <w:i w:val="1"/>
          <w:sz w:val="24"/>
          <w:szCs w:val="24"/>
          <w:rtl w:val="0"/>
        </w:rPr>
        <w:t xml:space="preserve">Accounts, excuses, and apologies: Image repair theory and research</w:t>
      </w:r>
      <w:r w:rsidDel="00000000" w:rsidR="00000000" w:rsidRPr="00000000">
        <w:rPr>
          <w:rFonts w:ascii="Times New Roman" w:cs="Times New Roman" w:eastAsia="Times New Roman" w:hAnsi="Times New Roman"/>
          <w:sz w:val="24"/>
          <w:szCs w:val="24"/>
          <w:rtl w:val="0"/>
        </w:rPr>
        <w:t xml:space="preserve">. Suny Press.</w:t>
      </w:r>
    </w:p>
    <w:p w:rsidR="00000000" w:rsidDel="00000000" w:rsidP="00000000" w:rsidRDefault="00000000" w:rsidRPr="00000000" w14:paraId="00000094">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Benosa, B., &amp; Ramos, C. D. (2021, December). Contextualizing Types of Filipino Collective Support during the# COVID19 Lockdown. In </w:t>
      </w:r>
      <w:r w:rsidDel="00000000" w:rsidR="00000000" w:rsidRPr="00000000">
        <w:rPr>
          <w:rFonts w:ascii="Times New Roman" w:cs="Times New Roman" w:eastAsia="Times New Roman" w:hAnsi="Times New Roman"/>
          <w:i w:val="1"/>
          <w:sz w:val="24"/>
          <w:szCs w:val="24"/>
          <w:rtl w:val="0"/>
        </w:rPr>
        <w:t xml:space="preserve">TENCON 2021-2021 IEEE Region 10 Conference (TENCON)</w:t>
      </w:r>
      <w:r w:rsidDel="00000000" w:rsidR="00000000" w:rsidRPr="00000000">
        <w:rPr>
          <w:rFonts w:ascii="Times New Roman" w:cs="Times New Roman" w:eastAsia="Times New Roman" w:hAnsi="Times New Roman"/>
          <w:sz w:val="24"/>
          <w:szCs w:val="24"/>
          <w:rtl w:val="0"/>
        </w:rPr>
        <w:t xml:space="preserve"> (pp. 556-561). IEEE.</w:t>
      </w:r>
    </w:p>
    <w:p w:rsidR="00000000" w:rsidDel="00000000" w:rsidP="00000000" w:rsidRDefault="00000000" w:rsidRPr="00000000" w14:paraId="00000095">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Bhatia, V. K., &amp; Bremner, S. (2012). English for business communication. </w:t>
      </w:r>
      <w:r w:rsidDel="00000000" w:rsidR="00000000" w:rsidRPr="00000000">
        <w:rPr>
          <w:rFonts w:ascii="Times New Roman" w:cs="Times New Roman" w:eastAsia="Times New Roman" w:hAnsi="Times New Roman"/>
          <w:i w:val="1"/>
          <w:sz w:val="24"/>
          <w:szCs w:val="24"/>
          <w:rtl w:val="0"/>
        </w:rPr>
        <w:t xml:space="preserve">Language teaching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45</w:t>
      </w:r>
      <w:r w:rsidDel="00000000" w:rsidR="00000000" w:rsidRPr="00000000">
        <w:rPr>
          <w:rFonts w:ascii="Times New Roman" w:cs="Times New Roman" w:eastAsia="Times New Roman" w:hAnsi="Times New Roman"/>
          <w:sz w:val="24"/>
          <w:szCs w:val="24"/>
          <w:rtl w:val="0"/>
        </w:rPr>
        <w:t xml:space="preserve">(4), 410-445. DOI: </w:t>
      </w:r>
      <w:hyperlink r:id="rId8">
        <w:r w:rsidDel="00000000" w:rsidR="00000000" w:rsidRPr="00000000">
          <w:rPr>
            <w:rFonts w:ascii="Times New Roman" w:cs="Times New Roman" w:eastAsia="Times New Roman" w:hAnsi="Times New Roman"/>
            <w:color w:val="0563c1"/>
            <w:sz w:val="24"/>
            <w:szCs w:val="24"/>
            <w:u w:val="single"/>
            <w:rtl w:val="0"/>
          </w:rPr>
          <w:t xml:space="preserve">https://doi.org/10.1017/S0261444812000171</w:t>
        </w:r>
      </w:hyperlink>
      <w:r w:rsidDel="00000000" w:rsidR="00000000" w:rsidRPr="00000000">
        <w:rPr>
          <w:rtl w:val="0"/>
        </w:rPr>
      </w:r>
    </w:p>
    <w:p w:rsidR="00000000" w:rsidDel="00000000" w:rsidP="00000000" w:rsidRDefault="00000000" w:rsidRPr="00000000" w14:paraId="00000096">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Boehling, S. (2023). Best practices for internal communications to improve employee engagement. DOI</w:t>
      </w:r>
      <w:r w:rsidDel="00000000" w:rsidR="00000000" w:rsidRPr="00000000">
        <w:rPr>
          <w:rFonts w:ascii="Times New Roman" w:cs="Times New Roman" w:eastAsia="Times New Roman" w:hAnsi="Times New Roman"/>
          <w:b w:val="1"/>
          <w:sz w:val="24"/>
          <w:szCs w:val="24"/>
          <w:rtl w:val="0"/>
        </w:rPr>
        <w:t xml:space="preserve"> </w:t>
      </w:r>
      <w:hyperlink r:id="rId9">
        <w:r w:rsidDel="00000000" w:rsidR="00000000" w:rsidRPr="00000000">
          <w:rPr>
            <w:rFonts w:ascii="Times New Roman" w:cs="Times New Roman" w:eastAsia="Times New Roman" w:hAnsi="Times New Roman"/>
            <w:color w:val="0563c1"/>
            <w:sz w:val="24"/>
            <w:szCs w:val="24"/>
            <w:u w:val="single"/>
            <w:rtl w:val="0"/>
          </w:rPr>
          <w:t xml:space="preserve">https://doi.org/10.17615/ck8r-9s89</w:t>
        </w:r>
      </w:hyperlink>
      <w:r w:rsidDel="00000000" w:rsidR="00000000" w:rsidRPr="00000000">
        <w:rPr>
          <w:rtl w:val="0"/>
        </w:rPr>
      </w:r>
    </w:p>
    <w:p w:rsidR="00000000" w:rsidDel="00000000" w:rsidP="00000000" w:rsidRDefault="00000000" w:rsidRPr="00000000" w14:paraId="00000097">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Broeder, P. (2021). Informed communication in high context and low context cultures. </w:t>
      </w:r>
      <w:r w:rsidDel="00000000" w:rsidR="00000000" w:rsidRPr="00000000">
        <w:rPr>
          <w:rFonts w:ascii="Times New Roman" w:cs="Times New Roman" w:eastAsia="Times New Roman" w:hAnsi="Times New Roman"/>
          <w:i w:val="1"/>
          <w:sz w:val="24"/>
          <w:szCs w:val="24"/>
          <w:rtl w:val="0"/>
        </w:rPr>
        <w:t xml:space="preserve">Journal of Education, Innovation and Communication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3</w:t>
      </w:r>
      <w:r w:rsidDel="00000000" w:rsidR="00000000" w:rsidRPr="00000000">
        <w:rPr>
          <w:rFonts w:ascii="Times New Roman" w:cs="Times New Roman" w:eastAsia="Times New Roman" w:hAnsi="Times New Roman"/>
          <w:sz w:val="24"/>
          <w:szCs w:val="24"/>
          <w:rtl w:val="0"/>
        </w:rPr>
        <w:t xml:space="preserve">(1), 13-24.</w:t>
      </w:r>
    </w:p>
    <w:p w:rsidR="00000000" w:rsidDel="00000000" w:rsidP="00000000" w:rsidRDefault="00000000" w:rsidRPr="00000000" w14:paraId="00000098">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Christensen, L. T., Morsing, M., &amp; Thyssen, O. (2011). The polyphony of corporate social responsibility: Deconstructing accountability and transparency in the context of identity and hypocrisy. In </w:t>
      </w:r>
      <w:r w:rsidDel="00000000" w:rsidR="00000000" w:rsidRPr="00000000">
        <w:rPr>
          <w:rFonts w:ascii="Times New Roman" w:cs="Times New Roman" w:eastAsia="Times New Roman" w:hAnsi="Times New Roman"/>
          <w:i w:val="1"/>
          <w:sz w:val="24"/>
          <w:szCs w:val="24"/>
          <w:rtl w:val="0"/>
        </w:rPr>
        <w:t xml:space="preserve">The handbook of communication ethics</w:t>
      </w:r>
      <w:r w:rsidDel="00000000" w:rsidR="00000000" w:rsidRPr="00000000">
        <w:rPr>
          <w:rFonts w:ascii="Times New Roman" w:cs="Times New Roman" w:eastAsia="Times New Roman" w:hAnsi="Times New Roman"/>
          <w:sz w:val="24"/>
          <w:szCs w:val="24"/>
          <w:rtl w:val="0"/>
        </w:rPr>
        <w:t xml:space="preserve"> (pp. 457-474). Routledge.</w:t>
      </w:r>
    </w:p>
    <w:p w:rsidR="00000000" w:rsidDel="00000000" w:rsidP="00000000" w:rsidRDefault="00000000" w:rsidRPr="00000000" w14:paraId="00000099">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Coombs, W. T. (2007). </w:t>
      </w:r>
      <w:r w:rsidDel="00000000" w:rsidR="00000000" w:rsidRPr="00000000">
        <w:rPr>
          <w:rFonts w:ascii="Times New Roman" w:cs="Times New Roman" w:eastAsia="Times New Roman" w:hAnsi="Times New Roman"/>
          <w:i w:val="1"/>
          <w:sz w:val="24"/>
          <w:szCs w:val="24"/>
          <w:rtl w:val="0"/>
        </w:rPr>
        <w:t xml:space="preserve">Ongoing crisis communication: Planning, managing, and responding</w:t>
      </w:r>
      <w:r w:rsidDel="00000000" w:rsidR="00000000" w:rsidRPr="00000000">
        <w:rPr>
          <w:rFonts w:ascii="Times New Roman" w:cs="Times New Roman" w:eastAsia="Times New Roman" w:hAnsi="Times New Roman"/>
          <w:sz w:val="24"/>
          <w:szCs w:val="24"/>
          <w:rtl w:val="0"/>
        </w:rPr>
        <w:t xml:space="preserve">. Sage.</w:t>
      </w:r>
    </w:p>
    <w:p w:rsidR="00000000" w:rsidDel="00000000" w:rsidP="00000000" w:rsidRDefault="00000000" w:rsidRPr="00000000" w14:paraId="0000009A">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Falkheimer, J., &amp; Heide, M. (2018). </w:t>
      </w:r>
      <w:r w:rsidDel="00000000" w:rsidR="00000000" w:rsidRPr="00000000">
        <w:rPr>
          <w:rFonts w:ascii="Times New Roman" w:cs="Times New Roman" w:eastAsia="Times New Roman" w:hAnsi="Times New Roman"/>
          <w:i w:val="1"/>
          <w:sz w:val="24"/>
          <w:szCs w:val="24"/>
          <w:rtl w:val="0"/>
        </w:rPr>
        <w:t xml:space="preserve">Strategic communication: An introduction</w:t>
      </w:r>
      <w:r w:rsidDel="00000000" w:rsidR="00000000" w:rsidRPr="00000000">
        <w:rPr>
          <w:rFonts w:ascii="Times New Roman" w:cs="Times New Roman" w:eastAsia="Times New Roman" w:hAnsi="Times New Roman"/>
          <w:sz w:val="24"/>
          <w:szCs w:val="24"/>
          <w:rtl w:val="0"/>
        </w:rPr>
        <w:t xml:space="preserve">. Routledge. DOI </w:t>
      </w:r>
      <w:hyperlink r:id="rId10">
        <w:r w:rsidDel="00000000" w:rsidR="00000000" w:rsidRPr="00000000">
          <w:rPr>
            <w:rFonts w:ascii="Times New Roman" w:cs="Times New Roman" w:eastAsia="Times New Roman" w:hAnsi="Times New Roman"/>
            <w:color w:val="0563c1"/>
            <w:sz w:val="24"/>
            <w:szCs w:val="24"/>
            <w:u w:val="single"/>
            <w:rtl w:val="0"/>
          </w:rPr>
          <w:t xml:space="preserve">https://doi.org/10.4324/9781315621555</w:t>
        </w:r>
      </w:hyperlink>
      <w:r w:rsidDel="00000000" w:rsidR="00000000" w:rsidRPr="00000000">
        <w:rPr>
          <w:rtl w:val="0"/>
        </w:rPr>
      </w:r>
    </w:p>
    <w:p w:rsidR="00000000" w:rsidDel="00000000" w:rsidP="00000000" w:rsidRDefault="00000000" w:rsidRPr="00000000" w14:paraId="0000009B">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Fielden, L. (2012). Regulating the press.</w:t>
      </w:r>
    </w:p>
    <w:p w:rsidR="00000000" w:rsidDel="00000000" w:rsidP="00000000" w:rsidRDefault="00000000" w:rsidRPr="00000000" w14:paraId="0000009C">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Hearit, K. M. (2006). </w:t>
      </w:r>
      <w:r w:rsidDel="00000000" w:rsidR="00000000" w:rsidRPr="00000000">
        <w:rPr>
          <w:rFonts w:ascii="Times New Roman" w:cs="Times New Roman" w:eastAsia="Times New Roman" w:hAnsi="Times New Roman"/>
          <w:i w:val="1"/>
          <w:sz w:val="24"/>
          <w:szCs w:val="24"/>
          <w:rtl w:val="0"/>
        </w:rPr>
        <w:t xml:space="preserve">Crisis management by apology: Corporate response to allegations of wrongdoing</w:t>
      </w:r>
      <w:r w:rsidDel="00000000" w:rsidR="00000000" w:rsidRPr="00000000">
        <w:rPr>
          <w:rFonts w:ascii="Times New Roman" w:cs="Times New Roman" w:eastAsia="Times New Roman" w:hAnsi="Times New Roman"/>
          <w:sz w:val="24"/>
          <w:szCs w:val="24"/>
          <w:rtl w:val="0"/>
        </w:rPr>
        <w:t xml:space="preserve">. Routledge. DOI </w:t>
      </w:r>
      <w:hyperlink r:id="rId11">
        <w:r w:rsidDel="00000000" w:rsidR="00000000" w:rsidRPr="00000000">
          <w:rPr>
            <w:rFonts w:ascii="Times New Roman" w:cs="Times New Roman" w:eastAsia="Times New Roman" w:hAnsi="Times New Roman"/>
            <w:color w:val="0563c1"/>
            <w:sz w:val="24"/>
            <w:szCs w:val="24"/>
            <w:u w:val="single"/>
            <w:rtl w:val="0"/>
          </w:rPr>
          <w:t xml:space="preserve">https://doi.org/10.4324/9781410615596</w:t>
        </w:r>
      </w:hyperlink>
      <w:r w:rsidDel="00000000" w:rsidR="00000000" w:rsidRPr="00000000">
        <w:rPr>
          <w:rtl w:val="0"/>
        </w:rPr>
      </w:r>
    </w:p>
    <w:p w:rsidR="00000000" w:rsidDel="00000000" w:rsidP="00000000" w:rsidRDefault="00000000" w:rsidRPr="00000000" w14:paraId="0000009D">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Holloway, S. (2024). Cultural Influences on Supply Chain Practices and Their Marketing Implications.</w:t>
      </w:r>
    </w:p>
    <w:p w:rsidR="00000000" w:rsidDel="00000000" w:rsidP="00000000" w:rsidRDefault="00000000" w:rsidRPr="00000000" w14:paraId="0000009E">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Judijanto, L., Haryani, H., Apriyanto, A., Yahya, M., Khotimah, K., Kurnia, L. I., ... &amp; Asfah, I. (2025). </w:t>
      </w:r>
      <w:r w:rsidDel="00000000" w:rsidR="00000000" w:rsidRPr="00000000">
        <w:rPr>
          <w:rFonts w:ascii="Times New Roman" w:cs="Times New Roman" w:eastAsia="Times New Roman" w:hAnsi="Times New Roman"/>
          <w:i w:val="1"/>
          <w:sz w:val="24"/>
          <w:szCs w:val="24"/>
          <w:rtl w:val="0"/>
        </w:rPr>
        <w:t xml:space="preserve">English for Business Communication</w:t>
      </w:r>
      <w:r w:rsidDel="00000000" w:rsidR="00000000" w:rsidRPr="00000000">
        <w:rPr>
          <w:rFonts w:ascii="Times New Roman" w:cs="Times New Roman" w:eastAsia="Times New Roman" w:hAnsi="Times New Roman"/>
          <w:sz w:val="24"/>
          <w:szCs w:val="24"/>
          <w:rtl w:val="0"/>
        </w:rPr>
        <w:t xml:space="preserve">. PT. Green Pustaka Indonesia.</w:t>
      </w:r>
    </w:p>
    <w:p w:rsidR="00000000" w:rsidDel="00000000" w:rsidP="00000000" w:rsidRDefault="00000000" w:rsidRPr="00000000" w14:paraId="0000009F">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Kiambi, D. M., &amp; Shafer, A. (2016). Corporate crisis communication: Examining the interplay of reputation and crisis response strategies. </w:t>
      </w:r>
      <w:r w:rsidDel="00000000" w:rsidR="00000000" w:rsidRPr="00000000">
        <w:rPr>
          <w:rFonts w:ascii="Times New Roman" w:cs="Times New Roman" w:eastAsia="Times New Roman" w:hAnsi="Times New Roman"/>
          <w:i w:val="1"/>
          <w:sz w:val="24"/>
          <w:szCs w:val="24"/>
          <w:rtl w:val="0"/>
        </w:rPr>
        <w:t xml:space="preserve">Mass Communication and Society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19</w:t>
      </w:r>
      <w:r w:rsidDel="00000000" w:rsidR="00000000" w:rsidRPr="00000000">
        <w:rPr>
          <w:rFonts w:ascii="Times New Roman" w:cs="Times New Roman" w:eastAsia="Times New Roman" w:hAnsi="Times New Roman"/>
          <w:sz w:val="24"/>
          <w:szCs w:val="24"/>
          <w:rtl w:val="0"/>
        </w:rPr>
        <w:t xml:space="preserve">(2), 127-148. </w:t>
      </w:r>
      <w:hyperlink r:id="rId12">
        <w:r w:rsidDel="00000000" w:rsidR="00000000" w:rsidRPr="00000000">
          <w:rPr>
            <w:rFonts w:ascii="Times New Roman" w:cs="Times New Roman" w:eastAsia="Times New Roman" w:hAnsi="Times New Roman"/>
            <w:color w:val="0563c1"/>
            <w:sz w:val="24"/>
            <w:szCs w:val="24"/>
            <w:u w:val="single"/>
            <w:rtl w:val="0"/>
          </w:rPr>
          <w:t xml:space="preserve">https://doi.org/10.1080/15205436.2015.1066013</w:t>
        </w:r>
      </w:hyperlink>
      <w:r w:rsidDel="00000000" w:rsidR="00000000" w:rsidRPr="00000000">
        <w:rPr>
          <w:rtl w:val="0"/>
        </w:rPr>
      </w:r>
    </w:p>
    <w:p w:rsidR="00000000" w:rsidDel="00000000" w:rsidP="00000000" w:rsidRDefault="00000000" w:rsidRPr="00000000" w14:paraId="000000A0">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Kittler, M. G., Rygl, D., &amp; Mackinnon, A. (2011). Special Review Article: Beyond culture or beyond control? Reviewing the use of Hall’s high-/low-context concept. </w:t>
      </w:r>
      <w:r w:rsidDel="00000000" w:rsidR="00000000" w:rsidRPr="00000000">
        <w:rPr>
          <w:rFonts w:ascii="Times New Roman" w:cs="Times New Roman" w:eastAsia="Times New Roman" w:hAnsi="Times New Roman"/>
          <w:i w:val="1"/>
          <w:sz w:val="24"/>
          <w:szCs w:val="24"/>
          <w:rtl w:val="0"/>
        </w:rPr>
        <w:t xml:space="preserve">International Journal of Cross Cultural Management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11</w:t>
      </w:r>
      <w:r w:rsidDel="00000000" w:rsidR="00000000" w:rsidRPr="00000000">
        <w:rPr>
          <w:rFonts w:ascii="Times New Roman" w:cs="Times New Roman" w:eastAsia="Times New Roman" w:hAnsi="Times New Roman"/>
          <w:sz w:val="24"/>
          <w:szCs w:val="24"/>
          <w:rtl w:val="0"/>
        </w:rPr>
        <w:t xml:space="preserve">(1), 63-82. </w:t>
      </w:r>
      <w:hyperlink r:id="rId13">
        <w:r w:rsidDel="00000000" w:rsidR="00000000" w:rsidRPr="00000000">
          <w:rPr>
            <w:rFonts w:ascii="Times New Roman" w:cs="Times New Roman" w:eastAsia="Times New Roman" w:hAnsi="Times New Roman"/>
            <w:color w:val="0563c1"/>
            <w:sz w:val="24"/>
            <w:szCs w:val="24"/>
            <w:u w:val="single"/>
            <w:rtl w:val="0"/>
          </w:rPr>
          <w:t xml:space="preserve">https://doi.org/10.1177/1470595811398797</w:t>
        </w:r>
      </w:hyperlink>
      <w:r w:rsidDel="00000000" w:rsidR="00000000" w:rsidRPr="00000000">
        <w:rPr>
          <w:rtl w:val="0"/>
        </w:rPr>
      </w:r>
    </w:p>
    <w:p w:rsidR="00000000" w:rsidDel="00000000" w:rsidP="00000000" w:rsidRDefault="00000000" w:rsidRPr="00000000" w14:paraId="000000A1">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Liimatta, S. (2025). </w:t>
      </w:r>
      <w:r w:rsidDel="00000000" w:rsidR="00000000" w:rsidRPr="00000000">
        <w:rPr>
          <w:rFonts w:ascii="Times New Roman" w:cs="Times New Roman" w:eastAsia="Times New Roman" w:hAnsi="Times New Roman"/>
          <w:i w:val="1"/>
          <w:sz w:val="24"/>
          <w:szCs w:val="24"/>
          <w:rtl w:val="0"/>
        </w:rPr>
        <w:t xml:space="preserve">Industry Employer Branding for tourism and hospitality-towards attraction and retention</w:t>
      </w:r>
      <w:r w:rsidDel="00000000" w:rsidR="00000000" w:rsidRPr="00000000">
        <w:rPr>
          <w:rFonts w:ascii="Times New Roman" w:cs="Times New Roman" w:eastAsia="Times New Roman" w:hAnsi="Times New Roman"/>
          <w:sz w:val="24"/>
          <w:szCs w:val="24"/>
          <w:rtl w:val="0"/>
        </w:rPr>
        <w:t xml:space="preserve"> (Master's thesis, Itä-Suomen yliopisto).</w:t>
      </w:r>
    </w:p>
    <w:p w:rsidR="00000000" w:rsidDel="00000000" w:rsidP="00000000" w:rsidRDefault="00000000" w:rsidRPr="00000000" w14:paraId="000000A2">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 H., &amp; Lou, L. (2024). A study on cross-cultural business communication based on Hofstede’s cultural dimensions theory. </w:t>
      </w:r>
      <w:r w:rsidDel="00000000" w:rsidR="00000000" w:rsidRPr="00000000">
        <w:rPr>
          <w:rFonts w:ascii="Times New Roman" w:cs="Times New Roman" w:eastAsia="Times New Roman" w:hAnsi="Times New Roman"/>
          <w:i w:val="1"/>
          <w:sz w:val="24"/>
          <w:szCs w:val="24"/>
          <w:rtl w:val="0"/>
        </w:rPr>
        <w:t xml:space="preserve">Open Journal of Social Sciences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12</w:t>
      </w:r>
      <w:r w:rsidDel="00000000" w:rsidR="00000000" w:rsidRPr="00000000">
        <w:rPr>
          <w:rFonts w:ascii="Times New Roman" w:cs="Times New Roman" w:eastAsia="Times New Roman" w:hAnsi="Times New Roman"/>
          <w:sz w:val="24"/>
          <w:szCs w:val="24"/>
          <w:rtl w:val="0"/>
        </w:rPr>
        <w:t xml:space="preserve">(9), 352-368. DOI: </w:t>
      </w:r>
      <w:hyperlink r:id="rId14">
        <w:r w:rsidDel="00000000" w:rsidR="00000000" w:rsidRPr="00000000">
          <w:rPr>
            <w:rFonts w:ascii="Times New Roman" w:cs="Times New Roman" w:eastAsia="Times New Roman" w:hAnsi="Times New Roman"/>
            <w:color w:val="0563c1"/>
            <w:sz w:val="24"/>
            <w:szCs w:val="24"/>
            <w:u w:val="single"/>
            <w:rtl w:val="0"/>
          </w:rPr>
          <w:t xml:space="preserve">10.4236/jss.2024.129021</w:t>
        </w:r>
      </w:hyperlink>
      <w:r w:rsidDel="00000000" w:rsidR="00000000" w:rsidRPr="00000000">
        <w:rPr>
          <w:rtl w:val="0"/>
        </w:rPr>
      </w:r>
    </w:p>
    <w:p w:rsidR="00000000" w:rsidDel="00000000" w:rsidP="00000000" w:rsidRDefault="00000000" w:rsidRPr="00000000" w14:paraId="000000A3">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Manrai, L. A., Lascu, D. N., Manrai, A. K., &amp; Babb, H. W. (2001). A cross‐cultural comparison of style in Eastern European emerging markets. </w:t>
      </w:r>
      <w:r w:rsidDel="00000000" w:rsidR="00000000" w:rsidRPr="00000000">
        <w:rPr>
          <w:rFonts w:ascii="Times New Roman" w:cs="Times New Roman" w:eastAsia="Times New Roman" w:hAnsi="Times New Roman"/>
          <w:i w:val="1"/>
          <w:sz w:val="24"/>
          <w:szCs w:val="24"/>
          <w:rtl w:val="0"/>
        </w:rPr>
        <w:t xml:space="preserve">International marketing review</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18</w:t>
      </w:r>
      <w:r w:rsidDel="00000000" w:rsidR="00000000" w:rsidRPr="00000000">
        <w:rPr>
          <w:rFonts w:ascii="Times New Roman" w:cs="Times New Roman" w:eastAsia="Times New Roman" w:hAnsi="Times New Roman"/>
          <w:sz w:val="24"/>
          <w:szCs w:val="24"/>
          <w:rtl w:val="0"/>
        </w:rPr>
        <w:t xml:space="preserve">(3), 270-285. </w:t>
      </w:r>
      <w:hyperlink r:id="rId15">
        <w:r w:rsidDel="00000000" w:rsidR="00000000" w:rsidRPr="00000000">
          <w:rPr>
            <w:rFonts w:ascii="Times New Roman" w:cs="Times New Roman" w:eastAsia="Times New Roman" w:hAnsi="Times New Roman"/>
            <w:color w:val="0563c1"/>
            <w:sz w:val="24"/>
            <w:szCs w:val="24"/>
            <w:u w:val="single"/>
            <w:rtl w:val="0"/>
          </w:rPr>
          <w:t xml:space="preserve">https://doi.org/10.1108/02651330110396479</w:t>
        </w:r>
      </w:hyperlink>
      <w:r w:rsidDel="00000000" w:rsidR="00000000" w:rsidRPr="00000000">
        <w:rPr>
          <w:rtl w:val="0"/>
        </w:rPr>
      </w:r>
    </w:p>
    <w:p w:rsidR="00000000" w:rsidDel="00000000" w:rsidP="00000000" w:rsidRDefault="00000000" w:rsidRPr="00000000" w14:paraId="000000A4">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Mavunga, R. A. (2013). A critical assessment of the minimum age convention 138 of 1973 and the worst forms of child labour convention 182 of 1999. </w:t>
      </w:r>
      <w:r w:rsidDel="00000000" w:rsidR="00000000" w:rsidRPr="00000000">
        <w:rPr>
          <w:rFonts w:ascii="Times New Roman" w:cs="Times New Roman" w:eastAsia="Times New Roman" w:hAnsi="Times New Roman"/>
          <w:i w:val="1"/>
          <w:sz w:val="24"/>
          <w:szCs w:val="24"/>
          <w:rtl w:val="0"/>
        </w:rPr>
        <w:t xml:space="preserve">Potchefstroom Electronic Law Journal/Potchefstroomse Elektroniese Regsblad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16</w:t>
      </w:r>
      <w:r w:rsidDel="00000000" w:rsidR="00000000" w:rsidRPr="00000000">
        <w:rPr>
          <w:rFonts w:ascii="Times New Roman" w:cs="Times New Roman" w:eastAsia="Times New Roman" w:hAnsi="Times New Roman"/>
          <w:sz w:val="24"/>
          <w:szCs w:val="24"/>
          <w:rtl w:val="0"/>
        </w:rPr>
        <w:t xml:space="preserve">(5), 121-168. DOI:</w:t>
      </w:r>
      <w:hyperlink r:id="rId16">
        <w:r w:rsidDel="00000000" w:rsidR="00000000" w:rsidRPr="00000000">
          <w:rPr>
            <w:rFonts w:ascii="Times New Roman" w:cs="Times New Roman" w:eastAsia="Times New Roman" w:hAnsi="Times New Roman"/>
            <w:color w:val="0563c1"/>
            <w:sz w:val="24"/>
            <w:szCs w:val="24"/>
            <w:u w:val="single"/>
            <w:rtl w:val="0"/>
          </w:rPr>
          <w:t xml:space="preserve">10.4314/pelj.v16i5.3</w:t>
        </w:r>
      </w:hyperlink>
      <w:r w:rsidDel="00000000" w:rsidR="00000000" w:rsidRPr="00000000">
        <w:rPr>
          <w:rtl w:val="0"/>
        </w:rPr>
      </w:r>
    </w:p>
    <w:p w:rsidR="00000000" w:rsidDel="00000000" w:rsidP="00000000" w:rsidRDefault="00000000" w:rsidRPr="00000000" w14:paraId="000000A5">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Mekgoe, N. (2008). </w:t>
      </w:r>
      <w:r w:rsidDel="00000000" w:rsidR="00000000" w:rsidRPr="00000000">
        <w:rPr>
          <w:rFonts w:ascii="Times New Roman" w:cs="Times New Roman" w:eastAsia="Times New Roman" w:hAnsi="Times New Roman"/>
          <w:i w:val="1"/>
          <w:sz w:val="24"/>
          <w:szCs w:val="24"/>
          <w:rtl w:val="0"/>
        </w:rPr>
        <w:t xml:space="preserve">The impact of strategy change on morale, performance and commitment</w:t>
      </w:r>
      <w:r w:rsidDel="00000000" w:rsidR="00000000" w:rsidRPr="00000000">
        <w:rPr>
          <w:rFonts w:ascii="Times New Roman" w:cs="Times New Roman" w:eastAsia="Times New Roman" w:hAnsi="Times New Roman"/>
          <w:sz w:val="24"/>
          <w:szCs w:val="24"/>
          <w:rtl w:val="0"/>
        </w:rPr>
        <w:t xml:space="preserve"> (Doctoral dissertation).</w:t>
      </w:r>
    </w:p>
    <w:p w:rsidR="00000000" w:rsidDel="00000000" w:rsidP="00000000" w:rsidRDefault="00000000" w:rsidRPr="00000000" w14:paraId="000000A6">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Moreau, M. A. (2018, September). ILO convention 29 forced labour convention, 1930 (No. 29). In </w:t>
      </w:r>
      <w:r w:rsidDel="00000000" w:rsidR="00000000" w:rsidRPr="00000000">
        <w:rPr>
          <w:rFonts w:ascii="Times New Roman" w:cs="Times New Roman" w:eastAsia="Times New Roman" w:hAnsi="Times New Roman"/>
          <w:i w:val="1"/>
          <w:sz w:val="24"/>
          <w:szCs w:val="24"/>
          <w:rtl w:val="0"/>
        </w:rPr>
        <w:t xml:space="preserve">International and European Labour Law</w:t>
      </w:r>
      <w:r w:rsidDel="00000000" w:rsidR="00000000" w:rsidRPr="00000000">
        <w:rPr>
          <w:rFonts w:ascii="Times New Roman" w:cs="Times New Roman" w:eastAsia="Times New Roman" w:hAnsi="Times New Roman"/>
          <w:sz w:val="24"/>
          <w:szCs w:val="24"/>
          <w:rtl w:val="0"/>
        </w:rPr>
        <w:t xml:space="preserve"> (pp. 1049-1073). Nomos Verlagsgesellschaft mbH &amp; Co. KG. </w:t>
      </w:r>
      <w:hyperlink r:id="rId17">
        <w:r w:rsidDel="00000000" w:rsidR="00000000" w:rsidRPr="00000000">
          <w:rPr>
            <w:rFonts w:ascii="Times New Roman" w:cs="Times New Roman" w:eastAsia="Times New Roman" w:hAnsi="Times New Roman"/>
            <w:color w:val="0563c1"/>
            <w:sz w:val="24"/>
            <w:szCs w:val="24"/>
            <w:u w:val="single"/>
            <w:rtl w:val="0"/>
          </w:rPr>
          <w:t xml:space="preserve">doi.org/10.5771/9783845266190</w:t>
        </w:r>
      </w:hyperlink>
      <w:r w:rsidDel="00000000" w:rsidR="00000000" w:rsidRPr="00000000">
        <w:rPr>
          <w:rtl w:val="0"/>
        </w:rPr>
      </w:r>
    </w:p>
    <w:p w:rsidR="00000000" w:rsidDel="00000000" w:rsidP="00000000" w:rsidRDefault="00000000" w:rsidRPr="00000000" w14:paraId="000000A7">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Munusamy, P., &amp; Kaliappen, N. (2024). English for tourism and hospitality purposes. In </w:t>
      </w:r>
      <w:r w:rsidDel="00000000" w:rsidR="00000000" w:rsidRPr="00000000">
        <w:rPr>
          <w:rFonts w:ascii="Times New Roman" w:cs="Times New Roman" w:eastAsia="Times New Roman" w:hAnsi="Times New Roman"/>
          <w:i w:val="1"/>
          <w:sz w:val="24"/>
          <w:szCs w:val="24"/>
          <w:rtl w:val="0"/>
        </w:rPr>
        <w:t xml:space="preserve">International Handbook of Skill, Education, Learning, and Research Development in Tourism and Hospitality</w:t>
      </w:r>
      <w:r w:rsidDel="00000000" w:rsidR="00000000" w:rsidRPr="00000000">
        <w:rPr>
          <w:rFonts w:ascii="Times New Roman" w:cs="Times New Roman" w:eastAsia="Times New Roman" w:hAnsi="Times New Roman"/>
          <w:sz w:val="24"/>
          <w:szCs w:val="24"/>
          <w:rtl w:val="0"/>
        </w:rPr>
        <w:t xml:space="preserve"> (pp. 317-329). Singapore: Springer Nature Singapore. DOI </w:t>
      </w:r>
      <w:hyperlink r:id="rId18">
        <w:r w:rsidDel="00000000" w:rsidR="00000000" w:rsidRPr="00000000">
          <w:rPr>
            <w:rFonts w:ascii="Times New Roman" w:cs="Times New Roman" w:eastAsia="Times New Roman" w:hAnsi="Times New Roman"/>
            <w:color w:val="0563c1"/>
            <w:sz w:val="24"/>
            <w:szCs w:val="24"/>
            <w:u w:val="single"/>
            <w:rtl w:val="0"/>
          </w:rPr>
          <w:t xml:space="preserve">https://doi.org/10.1007/978-981-97-4318-6_18</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8">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Ngwasheng, P. (2022). </w:t>
      </w:r>
      <w:r w:rsidDel="00000000" w:rsidR="00000000" w:rsidRPr="00000000">
        <w:rPr>
          <w:rFonts w:ascii="Times New Roman" w:cs="Times New Roman" w:eastAsia="Times New Roman" w:hAnsi="Times New Roman"/>
          <w:i w:val="1"/>
          <w:sz w:val="24"/>
          <w:szCs w:val="24"/>
          <w:rtl w:val="0"/>
        </w:rPr>
        <w:t xml:space="preserve">Assessing the role of power distance on effective organisational communication</w:t>
      </w:r>
      <w:r w:rsidDel="00000000" w:rsidR="00000000" w:rsidRPr="00000000">
        <w:rPr>
          <w:rFonts w:ascii="Times New Roman" w:cs="Times New Roman" w:eastAsia="Times New Roman" w:hAnsi="Times New Roman"/>
          <w:sz w:val="24"/>
          <w:szCs w:val="24"/>
          <w:rtl w:val="0"/>
        </w:rPr>
        <w:t xml:space="preserve"> (Master's thesis, University of Pretoria (South Africa)).</w:t>
      </w:r>
    </w:p>
    <w:p w:rsidR="00000000" w:rsidDel="00000000" w:rsidP="00000000" w:rsidRDefault="00000000" w:rsidRPr="00000000" w14:paraId="000000A9">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ODUNLAMI, D., &amp; OREDOLA, O. O. Crisis Management in the Digital Era: Exploring the Application of Situational Crisis Communication Theory Propositions in Managing MTN Nigeria SIM Registration Crisis.</w:t>
      </w:r>
    </w:p>
    <w:p w:rsidR="00000000" w:rsidDel="00000000" w:rsidP="00000000" w:rsidRDefault="00000000" w:rsidRPr="00000000" w14:paraId="000000AA">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Prakash, B. (2020). </w:t>
      </w:r>
      <w:r w:rsidDel="00000000" w:rsidR="00000000" w:rsidRPr="00000000">
        <w:rPr>
          <w:rFonts w:ascii="Times New Roman" w:cs="Times New Roman" w:eastAsia="Times New Roman" w:hAnsi="Times New Roman"/>
          <w:i w:val="1"/>
          <w:sz w:val="24"/>
          <w:szCs w:val="24"/>
          <w:rtl w:val="0"/>
        </w:rPr>
        <w:t xml:space="preserve">Environment, Social and Governance (ESG) reporting: shift from compliance to commitment</w:t>
      </w:r>
      <w:r w:rsidDel="00000000" w:rsidR="00000000" w:rsidRPr="00000000">
        <w:rPr>
          <w:rFonts w:ascii="Times New Roman" w:cs="Times New Roman" w:eastAsia="Times New Roman" w:hAnsi="Times New Roman"/>
          <w:sz w:val="24"/>
          <w:szCs w:val="24"/>
          <w:rtl w:val="0"/>
        </w:rPr>
        <w:t xml:space="preserve"> (Master's thesis, University of Twente). </w:t>
      </w:r>
    </w:p>
    <w:p w:rsidR="00000000" w:rsidDel="00000000" w:rsidP="00000000" w:rsidRDefault="00000000" w:rsidRPr="00000000" w14:paraId="000000AB">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Rizvi, A. (2021). The exploitation of migrant workers. In </w:t>
      </w:r>
      <w:r w:rsidDel="00000000" w:rsidR="00000000" w:rsidRPr="00000000">
        <w:rPr>
          <w:rFonts w:ascii="Times New Roman" w:cs="Times New Roman" w:eastAsia="Times New Roman" w:hAnsi="Times New Roman"/>
          <w:i w:val="1"/>
          <w:sz w:val="24"/>
          <w:szCs w:val="24"/>
          <w:rtl w:val="0"/>
        </w:rPr>
        <w:t xml:space="preserve">Identifying and Managing Risk at Work</w:t>
      </w:r>
      <w:r w:rsidDel="00000000" w:rsidR="00000000" w:rsidRPr="00000000">
        <w:rPr>
          <w:rFonts w:ascii="Times New Roman" w:cs="Times New Roman" w:eastAsia="Times New Roman" w:hAnsi="Times New Roman"/>
          <w:sz w:val="24"/>
          <w:szCs w:val="24"/>
          <w:rtl w:val="0"/>
        </w:rPr>
        <w:t xml:space="preserve"> (pp. 143-156). Routledge. eBook ISBN: 9781003164029</w:t>
      </w:r>
    </w:p>
    <w:p w:rsidR="00000000" w:rsidDel="00000000" w:rsidP="00000000" w:rsidRDefault="00000000" w:rsidRPr="00000000" w14:paraId="000000AC">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Shibata, R. (2017). Apology and forgiveness in East Asia. In </w:t>
      </w:r>
      <w:r w:rsidDel="00000000" w:rsidR="00000000" w:rsidRPr="00000000">
        <w:rPr>
          <w:rFonts w:ascii="Times New Roman" w:cs="Times New Roman" w:eastAsia="Times New Roman" w:hAnsi="Times New Roman"/>
          <w:i w:val="1"/>
          <w:sz w:val="24"/>
          <w:szCs w:val="24"/>
          <w:rtl w:val="0"/>
        </w:rPr>
        <w:t xml:space="preserve">Identity, trust, and reconciliation in East Asia: Dealing with painful history to create a peaceful present</w:t>
      </w:r>
      <w:r w:rsidDel="00000000" w:rsidR="00000000" w:rsidRPr="00000000">
        <w:rPr>
          <w:rFonts w:ascii="Times New Roman" w:cs="Times New Roman" w:eastAsia="Times New Roman" w:hAnsi="Times New Roman"/>
          <w:sz w:val="24"/>
          <w:szCs w:val="24"/>
          <w:rtl w:val="0"/>
        </w:rPr>
        <w:t xml:space="preserve"> (pp. 271-297). Cham: Springer International Publishing.</w:t>
      </w:r>
    </w:p>
    <w:p w:rsidR="00000000" w:rsidDel="00000000" w:rsidP="00000000" w:rsidRDefault="00000000" w:rsidRPr="00000000" w14:paraId="000000AD">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Vickneswaran, A. (2025). Corporate governance, management-shareholder, and reporting practices: Navigating transparency, accountability, and sustainable decision-making. In </w:t>
      </w:r>
      <w:r w:rsidDel="00000000" w:rsidR="00000000" w:rsidRPr="00000000">
        <w:rPr>
          <w:rFonts w:ascii="Times New Roman" w:cs="Times New Roman" w:eastAsia="Times New Roman" w:hAnsi="Times New Roman"/>
          <w:i w:val="1"/>
          <w:sz w:val="24"/>
          <w:szCs w:val="24"/>
          <w:rtl w:val="0"/>
        </w:rPr>
        <w:t xml:space="preserve">Governance strategies for effective sustainable development</w:t>
      </w:r>
      <w:r w:rsidDel="00000000" w:rsidR="00000000" w:rsidRPr="00000000">
        <w:rPr>
          <w:rFonts w:ascii="Times New Roman" w:cs="Times New Roman" w:eastAsia="Times New Roman" w:hAnsi="Times New Roman"/>
          <w:sz w:val="24"/>
          <w:szCs w:val="24"/>
          <w:rtl w:val="0"/>
        </w:rPr>
        <w:t xml:space="preserve"> (pp. 1-14). IGI Global. DOI: 10.4018/979-8-3693-3011-1.ch001 </w:t>
      </w:r>
    </w:p>
    <w:p w:rsidR="00000000" w:rsidDel="00000000" w:rsidP="00000000" w:rsidRDefault="00000000" w:rsidRPr="00000000" w14:paraId="000000AE">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Zhang, Y. B. (2008). Asian communication modes.</w:t>
      </w:r>
    </w:p>
    <w:sectPr>
      <w:headerReference r:id="rId1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spacing w:line="240" w:lineRule="auto"/>
    </w:pPr>
    <w:rPr>
      <w:rFonts w:ascii="Times New Roman" w:cs="Times New Roman" w:eastAsia="Times New Roman" w:hAnsi="Times New Roman"/>
      <w:b w:val="1"/>
      <w:sz w:val="27"/>
      <w:szCs w:val="27"/>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e75b5"/>
    </w:rPr>
  </w:style>
  <w:style w:type="paragraph" w:styleId="Heading5">
    <w:name w:val="heading 5"/>
    <w:basedOn w:val="Normal"/>
    <w:next w:val="Normal"/>
    <w:pPr>
      <w:keepNext w:val="1"/>
      <w:keepLines w:val="1"/>
      <w:spacing w:after="0" w:before="40" w:lineRule="auto"/>
    </w:pPr>
    <w:rPr>
      <w:rFonts w:ascii="Calibri" w:cs="Calibri" w:eastAsia="Calibri" w:hAnsi="Calibri"/>
      <w:color w:val="2e75b5"/>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doi.org/10.4324/9781410615596" TargetMode="External"/><Relationship Id="rId10" Type="http://schemas.openxmlformats.org/officeDocument/2006/relationships/hyperlink" Target="https://doi.org/10.4324/9781315621555" TargetMode="External"/><Relationship Id="rId13" Type="http://schemas.openxmlformats.org/officeDocument/2006/relationships/hyperlink" Target="https://doi.org/10.1177/1470595811398797" TargetMode="External"/><Relationship Id="rId12" Type="http://schemas.openxmlformats.org/officeDocument/2006/relationships/hyperlink" Target="https://doi.org/10.1080/15205436.2015.1066013"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7615/ck8r-9s89" TargetMode="External"/><Relationship Id="rId15" Type="http://schemas.openxmlformats.org/officeDocument/2006/relationships/hyperlink" Target="https://doi.org/10.1108/02651330110396479" TargetMode="External"/><Relationship Id="rId14" Type="http://schemas.openxmlformats.org/officeDocument/2006/relationships/hyperlink" Target="https://doi.org/10.4236/jss.2024.129021" TargetMode="External"/><Relationship Id="rId17" Type="http://schemas.openxmlformats.org/officeDocument/2006/relationships/hyperlink" Target="https://doi.org/10.5771/9783845266190" TargetMode="External"/><Relationship Id="rId16" Type="http://schemas.openxmlformats.org/officeDocument/2006/relationships/hyperlink" Target="https://doi.org/10.4314/pelj.v16i5.3" TargetMode="External"/><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hyperlink" Target="https://doi.org/10.1080/09523367.2021.1988932" TargetMode="External"/><Relationship Id="rId18" Type="http://schemas.openxmlformats.org/officeDocument/2006/relationships/hyperlink" Target="https://doi.org/10.1007/978-981-97-4318-6_18" TargetMode="External"/><Relationship Id="rId7" Type="http://schemas.openxmlformats.org/officeDocument/2006/relationships/hyperlink" Target="https://doi.org/10.1057/s41599-022-01109-4" TargetMode="External"/><Relationship Id="rId8" Type="http://schemas.openxmlformats.org/officeDocument/2006/relationships/hyperlink" Target="https://doi.org/10.1017/S02614448120001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0d3def51-5c3f-48ed-b2f8-db8c51dff163</vt:lpwstr>
  </property>
</Properties>
</file>