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CB667A" w:rsidRDefault="0056617A" w:rsidP="0056617A">
      <w:pPr>
        <w:rPr>
          <w:rFonts w:ascii="Times New Roman" w:hAnsi="Times New Roman" w:cs="Times New Roman"/>
        </w:rPr>
      </w:pPr>
      <w:r w:rsidRPr="00CB667A">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 xml:space="preserve">Cultural Heritage Management </w:t>
      </w:r>
    </w:p>
    <w:p w14:paraId="3A8F1A2B"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Assignment 5</w:t>
      </w:r>
    </w:p>
    <w:p w14:paraId="1EEBB239"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12.05.2026</w:t>
      </w:r>
    </w:p>
    <w:p w14:paraId="3A545DD5" w14:textId="77777777" w:rsidR="0056617A" w:rsidRPr="00CB667A" w:rsidRDefault="0056617A" w:rsidP="0056617A">
      <w:pPr>
        <w:rPr>
          <w:rFonts w:ascii="Times New Roman" w:hAnsi="Times New Roman" w:cs="Times New Roman"/>
        </w:rPr>
      </w:pPr>
    </w:p>
    <w:p w14:paraId="3124E14F" w14:textId="77777777" w:rsidR="0056617A" w:rsidRPr="00CB667A" w:rsidRDefault="0056617A" w:rsidP="0056617A">
      <w:pPr>
        <w:spacing w:line="276" w:lineRule="auto"/>
        <w:rPr>
          <w:rFonts w:ascii="Times New Roman" w:hAnsi="Times New Roman" w:cs="Times New Roman"/>
          <w:lang w:val="en-US"/>
        </w:rPr>
      </w:pPr>
    </w:p>
    <w:p w14:paraId="4973D986" w14:textId="77777777" w:rsidR="0056617A" w:rsidRPr="00CB667A" w:rsidRDefault="0056617A" w:rsidP="0056617A">
      <w:pPr>
        <w:spacing w:line="276" w:lineRule="auto"/>
        <w:rPr>
          <w:rFonts w:ascii="Times New Roman" w:hAnsi="Times New Roman" w:cs="Times New Roman"/>
          <w:lang w:val="en-US"/>
        </w:rPr>
      </w:pPr>
    </w:p>
    <w:p w14:paraId="748CCBDD" w14:textId="77777777" w:rsidR="0056617A" w:rsidRPr="00CB667A" w:rsidRDefault="0056617A" w:rsidP="0056617A">
      <w:pPr>
        <w:spacing w:line="276" w:lineRule="auto"/>
        <w:rPr>
          <w:rFonts w:ascii="Times New Roman" w:hAnsi="Times New Roman" w:cs="Times New Roman"/>
          <w:lang w:val="en-US"/>
        </w:rPr>
      </w:pPr>
    </w:p>
    <w:p w14:paraId="3B4EE6B6" w14:textId="77777777" w:rsidR="0056617A" w:rsidRPr="00CB667A" w:rsidRDefault="0056617A" w:rsidP="0056617A">
      <w:pPr>
        <w:spacing w:line="276" w:lineRule="auto"/>
        <w:rPr>
          <w:rFonts w:ascii="Times New Roman" w:hAnsi="Times New Roman" w:cs="Times New Roman"/>
          <w:lang w:val="en-US"/>
        </w:rPr>
      </w:pPr>
    </w:p>
    <w:p w14:paraId="009F6910" w14:textId="77777777" w:rsidR="0056617A" w:rsidRPr="00CB667A" w:rsidRDefault="0056617A" w:rsidP="0056617A">
      <w:pPr>
        <w:spacing w:line="276" w:lineRule="auto"/>
        <w:rPr>
          <w:rFonts w:ascii="Times New Roman" w:hAnsi="Times New Roman" w:cs="Times New Roman"/>
          <w:lang w:val="en-US"/>
        </w:rPr>
      </w:pPr>
    </w:p>
    <w:p w14:paraId="33E6D850" w14:textId="77777777" w:rsidR="0056617A" w:rsidRPr="00CB667A" w:rsidRDefault="0056617A" w:rsidP="0056617A">
      <w:pPr>
        <w:spacing w:line="276" w:lineRule="auto"/>
        <w:rPr>
          <w:rFonts w:ascii="Times New Roman" w:hAnsi="Times New Roman" w:cs="Times New Roman"/>
          <w:lang w:val="en-US"/>
        </w:rPr>
      </w:pPr>
    </w:p>
    <w:p w14:paraId="779CD201" w14:textId="77777777" w:rsidR="0056617A" w:rsidRPr="00CB667A" w:rsidRDefault="0056617A" w:rsidP="0056617A">
      <w:pPr>
        <w:spacing w:line="276" w:lineRule="auto"/>
        <w:rPr>
          <w:rFonts w:ascii="Times New Roman" w:hAnsi="Times New Roman" w:cs="Times New Roman"/>
          <w:lang w:val="en-US"/>
        </w:rPr>
      </w:pPr>
    </w:p>
    <w:p w14:paraId="3DB32AB9" w14:textId="77777777" w:rsidR="0056617A" w:rsidRPr="00CB667A" w:rsidRDefault="0056617A" w:rsidP="0056617A">
      <w:pPr>
        <w:spacing w:line="276" w:lineRule="auto"/>
        <w:rPr>
          <w:rFonts w:ascii="Times New Roman" w:hAnsi="Times New Roman" w:cs="Times New Roman"/>
          <w:lang w:val="en-US"/>
        </w:rPr>
      </w:pPr>
    </w:p>
    <w:p w14:paraId="0A26F7BC" w14:textId="77777777" w:rsidR="0056617A" w:rsidRPr="00CB667A" w:rsidRDefault="0056617A" w:rsidP="0056617A">
      <w:pPr>
        <w:spacing w:line="276" w:lineRule="auto"/>
        <w:rPr>
          <w:rFonts w:ascii="Times New Roman" w:hAnsi="Times New Roman" w:cs="Times New Roman"/>
          <w:lang w:val="en-US"/>
        </w:rPr>
      </w:pPr>
    </w:p>
    <w:p w14:paraId="51A07E2F" w14:textId="1D7AC6BD" w:rsidR="0056617A" w:rsidRPr="00CB667A" w:rsidRDefault="0056617A" w:rsidP="0056617A">
      <w:pPr>
        <w:spacing w:line="276" w:lineRule="auto"/>
        <w:rPr>
          <w:rFonts w:ascii="Times New Roman" w:hAnsi="Times New Roman" w:cs="Times New Roman"/>
          <w:lang w:val="en-US"/>
        </w:rPr>
      </w:pPr>
      <w:r w:rsidRPr="00CB667A">
        <w:rPr>
          <w:rFonts w:ascii="Times New Roman" w:hAnsi="Times New Roman" w:cs="Times New Roman"/>
          <w:lang w:val="en-US"/>
        </w:rPr>
        <w:t>In no more than 500 words each, explain and 2-4 references:</w:t>
      </w:r>
    </w:p>
    <w:p w14:paraId="1515A7B2" w14:textId="77777777" w:rsidR="0056617A" w:rsidRPr="00CB667A" w:rsidRDefault="0056617A" w:rsidP="0056617A">
      <w:pPr>
        <w:rPr>
          <w:rFonts w:ascii="Times New Roman" w:hAnsi="Times New Roman" w:cs="Times New Roman"/>
          <w:lang w:val="en-US"/>
        </w:rPr>
      </w:pPr>
    </w:p>
    <w:p w14:paraId="7ACF0A3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What is meant by “Outstanding Universal Value (OUV)” in World Heritage management?</w:t>
      </w:r>
    </w:p>
    <w:p w14:paraId="73C8B74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Explain the relationship between planning, implementation, and monitoring in heritage management systems.</w:t>
      </w:r>
    </w:p>
    <w:p w14:paraId="762CE999" w14:textId="77777777" w:rsidR="0056617A" w:rsidRPr="00CB667A" w:rsidRDefault="0056617A" w:rsidP="0056617A">
      <w:pPr>
        <w:pStyle w:val="ListParagraph"/>
        <w:spacing w:line="276" w:lineRule="auto"/>
        <w:ind w:left="0"/>
        <w:rPr>
          <w:rFonts w:ascii="Times New Roman" w:hAnsi="Times New Roman" w:cs="Times New Roman"/>
          <w:lang w:val="en-US"/>
        </w:rPr>
      </w:pPr>
    </w:p>
    <w:p w14:paraId="5B054BFC" w14:textId="77777777" w:rsidR="0056617A" w:rsidRPr="00CB667A" w:rsidRDefault="0056617A">
      <w:pPr>
        <w:rPr>
          <w:rFonts w:ascii="Times New Roman" w:hAnsi="Times New Roman" w:cs="Times New Roman"/>
          <w:lang w:val="en-US"/>
        </w:rPr>
      </w:pPr>
    </w:p>
    <w:p w14:paraId="339460ED" w14:textId="77777777" w:rsidR="0056617A" w:rsidRPr="00CB667A" w:rsidRDefault="0056617A">
      <w:pPr>
        <w:rPr>
          <w:rFonts w:ascii="Times New Roman" w:hAnsi="Times New Roman" w:cs="Times New Roman"/>
          <w:lang w:val="en-US"/>
        </w:rPr>
      </w:pPr>
    </w:p>
    <w:p w14:paraId="4F8644AF" w14:textId="77777777" w:rsidR="0056617A" w:rsidRPr="00CB667A" w:rsidRDefault="0056617A">
      <w:pPr>
        <w:rPr>
          <w:rFonts w:ascii="Times New Roman" w:hAnsi="Times New Roman" w:cs="Times New Roman"/>
          <w:lang w:val="en-US"/>
        </w:rPr>
      </w:pPr>
    </w:p>
    <w:p w14:paraId="12EDD19B" w14:textId="77777777" w:rsidR="0056617A" w:rsidRPr="00CB667A" w:rsidRDefault="0056617A">
      <w:pPr>
        <w:rPr>
          <w:rFonts w:ascii="Times New Roman" w:hAnsi="Times New Roman" w:cs="Times New Roman"/>
          <w:lang w:val="en-US"/>
        </w:rPr>
      </w:pPr>
    </w:p>
    <w:p w14:paraId="29C2B5D5" w14:textId="77777777" w:rsidR="0056617A" w:rsidRPr="00CB667A" w:rsidRDefault="0056617A">
      <w:pPr>
        <w:rPr>
          <w:rFonts w:ascii="Times New Roman" w:hAnsi="Times New Roman" w:cs="Times New Roman"/>
          <w:lang w:val="en-US"/>
        </w:rPr>
      </w:pPr>
    </w:p>
    <w:p w14:paraId="3BB58E21" w14:textId="77777777" w:rsidR="0056617A" w:rsidRPr="00CB667A" w:rsidRDefault="0056617A">
      <w:pPr>
        <w:rPr>
          <w:rFonts w:ascii="Times New Roman" w:hAnsi="Times New Roman" w:cs="Times New Roman"/>
          <w:lang w:val="en-US"/>
        </w:rPr>
      </w:pPr>
    </w:p>
    <w:p w14:paraId="709565CA" w14:textId="77777777" w:rsidR="0056617A" w:rsidRPr="00CB667A" w:rsidRDefault="0056617A">
      <w:pPr>
        <w:rPr>
          <w:rFonts w:ascii="Times New Roman" w:hAnsi="Times New Roman" w:cs="Times New Roman"/>
          <w:lang w:val="en-US"/>
        </w:rPr>
      </w:pPr>
    </w:p>
    <w:p w14:paraId="721EE86D" w14:textId="77777777" w:rsidR="0056617A" w:rsidRPr="00CB667A" w:rsidRDefault="0056617A">
      <w:pPr>
        <w:rPr>
          <w:rFonts w:ascii="Times New Roman" w:hAnsi="Times New Roman" w:cs="Times New Roman"/>
          <w:lang w:val="en-US"/>
        </w:rPr>
      </w:pPr>
    </w:p>
    <w:p w14:paraId="51120942" w14:textId="77777777" w:rsidR="0056617A" w:rsidRPr="00CB667A" w:rsidRDefault="0056617A">
      <w:pPr>
        <w:rPr>
          <w:rFonts w:ascii="Times New Roman" w:hAnsi="Times New Roman" w:cs="Times New Roman"/>
          <w:lang w:val="en-US"/>
        </w:rPr>
      </w:pPr>
    </w:p>
    <w:p w14:paraId="0358E5EF" w14:textId="77777777" w:rsidR="0056617A" w:rsidRPr="00CB667A" w:rsidRDefault="0056617A">
      <w:pPr>
        <w:rPr>
          <w:rFonts w:ascii="Times New Roman" w:hAnsi="Times New Roman" w:cs="Times New Roman"/>
          <w:lang w:val="en-US"/>
        </w:rPr>
      </w:pPr>
    </w:p>
    <w:p w14:paraId="4E12E6CA" w14:textId="77777777" w:rsidR="0056617A" w:rsidRPr="00CB667A" w:rsidRDefault="0056617A">
      <w:pPr>
        <w:rPr>
          <w:rFonts w:ascii="Times New Roman" w:hAnsi="Times New Roman" w:cs="Times New Roman"/>
          <w:lang w:val="en-US"/>
        </w:rPr>
      </w:pPr>
    </w:p>
    <w:p w14:paraId="3A09E05F" w14:textId="77777777" w:rsidR="0056617A" w:rsidRPr="00CB667A" w:rsidRDefault="0056617A">
      <w:pPr>
        <w:rPr>
          <w:rFonts w:ascii="Times New Roman" w:hAnsi="Times New Roman" w:cs="Times New Roman"/>
          <w:lang w:val="en-US"/>
        </w:rPr>
      </w:pPr>
    </w:p>
    <w:p w14:paraId="7605847A" w14:textId="77777777" w:rsidR="0056617A" w:rsidRPr="00CB667A" w:rsidRDefault="0056617A">
      <w:pPr>
        <w:rPr>
          <w:rFonts w:ascii="Times New Roman" w:hAnsi="Times New Roman" w:cs="Times New Roman"/>
          <w:lang w:val="en-US"/>
        </w:rPr>
      </w:pPr>
    </w:p>
    <w:p w14:paraId="4FB7F7E0" w14:textId="77777777" w:rsidR="0056617A" w:rsidRPr="00CB667A" w:rsidRDefault="0056617A">
      <w:pPr>
        <w:rPr>
          <w:rFonts w:ascii="Times New Roman" w:hAnsi="Times New Roman" w:cs="Times New Roman"/>
          <w:lang w:val="en-US"/>
        </w:rPr>
      </w:pPr>
    </w:p>
    <w:p w14:paraId="12E76367" w14:textId="77777777" w:rsidR="0056617A" w:rsidRPr="00CB667A" w:rsidRDefault="0056617A">
      <w:pPr>
        <w:rPr>
          <w:rFonts w:ascii="Times New Roman" w:hAnsi="Times New Roman" w:cs="Times New Roman"/>
          <w:lang w:val="en-US"/>
        </w:rPr>
      </w:pPr>
    </w:p>
    <w:p w14:paraId="2B428BD6" w14:textId="77777777" w:rsidR="0056617A" w:rsidRPr="00CB667A" w:rsidRDefault="0056617A">
      <w:pPr>
        <w:rPr>
          <w:rFonts w:ascii="Times New Roman" w:hAnsi="Times New Roman" w:cs="Times New Roman"/>
          <w:lang w:val="en-US"/>
        </w:rPr>
      </w:pPr>
    </w:p>
    <w:p w14:paraId="7231C7ED" w14:textId="77777777" w:rsidR="0056617A" w:rsidRPr="00CB667A" w:rsidRDefault="0056617A">
      <w:pPr>
        <w:rPr>
          <w:rFonts w:ascii="Times New Roman" w:hAnsi="Times New Roman" w:cs="Times New Roman"/>
          <w:lang w:val="en-US"/>
        </w:rPr>
      </w:pPr>
    </w:p>
    <w:p w14:paraId="7061B955" w14:textId="77777777" w:rsidR="00EB6E1C" w:rsidRPr="00CB667A" w:rsidRDefault="00EB6E1C">
      <w:pPr>
        <w:rPr>
          <w:rFonts w:ascii="Times New Roman" w:hAnsi="Times New Roman" w:cs="Times New Roman"/>
          <w:lang w:val="en-US"/>
        </w:rPr>
      </w:pPr>
    </w:p>
    <w:p w14:paraId="2AAAD0B6" w14:textId="77777777" w:rsidR="00EB6E1C" w:rsidRPr="00CB667A" w:rsidRDefault="00EB6E1C">
      <w:pPr>
        <w:rPr>
          <w:rFonts w:ascii="Times New Roman" w:hAnsi="Times New Roman" w:cs="Times New Roman"/>
          <w:lang w:val="en-US"/>
        </w:rPr>
      </w:pPr>
    </w:p>
    <w:p w14:paraId="361AFD8F" w14:textId="77777777" w:rsidR="00EB6E1C" w:rsidRPr="00CB667A" w:rsidRDefault="00EB6E1C">
      <w:pPr>
        <w:rPr>
          <w:rFonts w:ascii="Times New Roman" w:hAnsi="Times New Roman" w:cs="Times New Roman"/>
          <w:lang w:val="en-US"/>
        </w:rPr>
      </w:pPr>
    </w:p>
    <w:p w14:paraId="11DD6850" w14:textId="77777777" w:rsidR="0056617A" w:rsidRPr="00CB667A" w:rsidRDefault="0056617A">
      <w:pPr>
        <w:rPr>
          <w:rFonts w:ascii="Times New Roman" w:hAnsi="Times New Roman" w:cs="Times New Roman"/>
          <w:lang w:val="en-US"/>
        </w:rPr>
      </w:pPr>
    </w:p>
    <w:p w14:paraId="3045A9E9" w14:textId="77777777" w:rsidR="0056617A" w:rsidRPr="00CB667A" w:rsidRDefault="0056617A">
      <w:pPr>
        <w:rPr>
          <w:rFonts w:ascii="Times New Roman" w:hAnsi="Times New Roman" w:cs="Times New Roman"/>
          <w:lang w:val="en-US"/>
        </w:rPr>
      </w:pPr>
    </w:p>
    <w:p w14:paraId="184FE467" w14:textId="77777777" w:rsidR="0056617A" w:rsidRPr="00CB667A" w:rsidRDefault="0056617A">
      <w:pPr>
        <w:rPr>
          <w:rFonts w:ascii="Times New Roman" w:hAnsi="Times New Roman" w:cs="Times New Roman"/>
          <w:lang w:val="en-US"/>
        </w:rPr>
      </w:pPr>
    </w:p>
    <w:p w14:paraId="1109D16E" w14:textId="77777777" w:rsidR="00832D86" w:rsidRPr="00832D86" w:rsidRDefault="00832D86" w:rsidP="00832D86">
      <w:pPr>
        <w:rPr>
          <w:rFonts w:ascii="Times New Roman" w:hAnsi="Times New Roman" w:cs="Times New Roman"/>
          <w:b/>
          <w:bCs/>
          <w:lang w:val="en-GB"/>
        </w:rPr>
      </w:pPr>
      <w:r w:rsidRPr="00832D86">
        <w:rPr>
          <w:rFonts w:ascii="Times New Roman" w:hAnsi="Times New Roman" w:cs="Times New Roman"/>
          <w:b/>
          <w:bCs/>
          <w:lang w:val="en-GB"/>
        </w:rPr>
        <w:lastRenderedPageBreak/>
        <w:t>1. Outstanding Universal Value (OUV) in World Heritage Management</w:t>
      </w:r>
    </w:p>
    <w:p w14:paraId="40B41CBD"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Outstanding Universal Value (OUV) is the primary concept used by UNESCO to identify heritage properties of exceptional importance to humanity. Under the 1972 World Heritage Convention, OUV refers to cultural or natural significance that is so extraordinary that it goes beyond national boundaries and is important for all people of the world (</w:t>
      </w:r>
      <w:proofErr w:type="spellStart"/>
      <w:r w:rsidRPr="00832D86">
        <w:rPr>
          <w:rFonts w:ascii="Times New Roman" w:hAnsi="Times New Roman" w:cs="Times New Roman"/>
          <w:lang w:val="en-GB"/>
        </w:rPr>
        <w:t>Oers</w:t>
      </w:r>
      <w:proofErr w:type="spellEnd"/>
      <w:r w:rsidRPr="00832D86">
        <w:rPr>
          <w:rFonts w:ascii="Times New Roman" w:hAnsi="Times New Roman" w:cs="Times New Roman"/>
          <w:lang w:val="en-GB"/>
        </w:rPr>
        <w:t xml:space="preserve"> &amp; Haraguchi, 2010). A heritage site must demonstrate OUV before it can be included on the World Heritage List.</w:t>
      </w:r>
    </w:p>
    <w:p w14:paraId="58BF45D7"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The determination of OUV is based on UNESCO’s selection criteria, which evaluate historical, artistic, scientific, ecological, and cultural significance. A site must also demonstrate authenticity, integrity, and effective protection systems to maintain its heritage value (Ashworth &amp; Tunbridge, 2000). Cultural sites such as Machu Picchu and the Acropolis are recognized for their historical and architectural significance, while natural sites such as Yellowstone National Park are valued for their ecological importance.</w:t>
      </w:r>
    </w:p>
    <w:p w14:paraId="3CE73860"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In heritage management, OUV functions as the guiding principle for conservation and policy decisions. Heritage managers are responsible for protecting the features that express the site’s universal significance, including monuments, landscapes, traditions, and ecosystems (Winter, 2014). Any restoration work, tourism activity, or development project must therefore be carefully managed to avoid harming these values.</w:t>
      </w:r>
    </w:p>
    <w:p w14:paraId="0D6A8A9A"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OUV also encourages international collaboration and shared responsibility. Since World Heritage Sites are considered the common heritage of humanity, governments, local communities, experts, and international organizations work together to conserve them (Harrison, 2013). Public participation and sustainable tourism have become important aspects of modern heritage management because they help balance conservation with economic and social development.</w:t>
      </w:r>
    </w:p>
    <w:p w14:paraId="4B53F39C"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Another important aspect of OUV is long-term sustainability. Heritage sites face increasing threats from urbanization, climate change, pollution, natural disasters, and mass tourism. As a result, management systems must continuously adapt to changing conditions through conservation planning, risk management, and monitoring programs (</w:t>
      </w:r>
      <w:proofErr w:type="spellStart"/>
      <w:r w:rsidRPr="00832D86">
        <w:rPr>
          <w:rFonts w:ascii="Times New Roman" w:hAnsi="Times New Roman" w:cs="Times New Roman"/>
          <w:lang w:val="en-GB"/>
        </w:rPr>
        <w:t>Jigyasu</w:t>
      </w:r>
      <w:proofErr w:type="spellEnd"/>
      <w:r w:rsidRPr="00832D86">
        <w:rPr>
          <w:rFonts w:ascii="Times New Roman" w:hAnsi="Times New Roman" w:cs="Times New Roman"/>
          <w:lang w:val="en-GB"/>
        </w:rPr>
        <w:t>, 2015).</w:t>
      </w:r>
    </w:p>
    <w:p w14:paraId="6EB59451"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Therefore, OUV is both a recognition of global importance and a practical framework for heritage protection. It shapes conservation strategies, management systems, and international cooperation aimed at preserving the world’s most significant cultural and natural heritage for future generations.</w:t>
      </w:r>
    </w:p>
    <w:p w14:paraId="4707CFCD" w14:textId="49FA3F9C" w:rsidR="00832D86" w:rsidRPr="00832D86" w:rsidRDefault="00832D86" w:rsidP="00832D86">
      <w:pPr>
        <w:rPr>
          <w:rFonts w:ascii="Times New Roman" w:hAnsi="Times New Roman" w:cs="Times New Roman"/>
          <w:lang w:val="en-GB"/>
        </w:rPr>
      </w:pPr>
    </w:p>
    <w:p w14:paraId="11BBC65D" w14:textId="77777777" w:rsidR="00832D86" w:rsidRPr="00832D86" w:rsidRDefault="00832D86" w:rsidP="00832D86">
      <w:pPr>
        <w:rPr>
          <w:rFonts w:ascii="Times New Roman" w:hAnsi="Times New Roman" w:cs="Times New Roman"/>
          <w:b/>
          <w:bCs/>
          <w:lang w:val="en-GB"/>
        </w:rPr>
      </w:pPr>
      <w:r w:rsidRPr="00832D86">
        <w:rPr>
          <w:rFonts w:ascii="Times New Roman" w:hAnsi="Times New Roman" w:cs="Times New Roman"/>
          <w:b/>
          <w:bCs/>
          <w:lang w:val="en-GB"/>
        </w:rPr>
        <w:t>2. Relationship Between Planning, Implementation, and Monitoring in Heritage Management Systems</w:t>
      </w:r>
    </w:p>
    <w:p w14:paraId="6BB59DEC"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Planning, implementation, and monitoring are interconnected stages that together create an effective heritage management system. These processes help ensure the conservation, sustainability, and protection of heritage properties and their Outstanding Universal Value (OUV).</w:t>
      </w:r>
    </w:p>
    <w:p w14:paraId="31785328"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Planning is the foundation of heritage management. It involves identifying the significance of heritage resources, assessing risks, and developing conservation goals and policies. Management plans usually address issues such as tourism management, conservation priorities, stakeholder involvement, legal protection, and financial resources (Mason, 2002). Effective planning provides a clear direction for preserving heritage sites while balancing development needs.</w:t>
      </w:r>
    </w:p>
    <w:p w14:paraId="701AF913"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Implementation is the process of carrying out the strategies and actions identified during planning. This includes restoration and maintenance projects, visitor management, educational activities, infrastructure control, and enforcement of heritage regulations. Successful </w:t>
      </w:r>
      <w:r w:rsidRPr="00832D86">
        <w:rPr>
          <w:rFonts w:ascii="Times New Roman" w:hAnsi="Times New Roman" w:cs="Times New Roman"/>
          <w:lang w:val="en-GB"/>
        </w:rPr>
        <w:lastRenderedPageBreak/>
        <w:t>implementation requires cooperation among government authorities, conservation specialists, local communities, and international agencies (Pendlebury, 2009). Without implementation, management plans remain theoretical and ineffective.</w:t>
      </w:r>
    </w:p>
    <w:p w14:paraId="55D23C0C"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Monitoring is the ongoing assessment of the condition of heritage properties and the effectiveness of management actions. It involves collecting and </w:t>
      </w:r>
      <w:proofErr w:type="spellStart"/>
      <w:r w:rsidRPr="00832D86">
        <w:rPr>
          <w:rFonts w:ascii="Times New Roman" w:hAnsi="Times New Roman" w:cs="Times New Roman"/>
          <w:lang w:val="en-GB"/>
        </w:rPr>
        <w:t>analyzing</w:t>
      </w:r>
      <w:proofErr w:type="spellEnd"/>
      <w:r w:rsidRPr="00832D86">
        <w:rPr>
          <w:rFonts w:ascii="Times New Roman" w:hAnsi="Times New Roman" w:cs="Times New Roman"/>
          <w:lang w:val="en-GB"/>
        </w:rPr>
        <w:t xml:space="preserve"> information about physical deterioration, environmental impacts, tourism pressure, and conservation outcomes (Poulios, 2014). Monitoring enables managers to identify problems early and take corrective measures when necessary.</w:t>
      </w:r>
    </w:p>
    <w:p w14:paraId="7D5672CB"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The relationship among planning, implementation, and monitoring is cyclical and adaptive. Planning establishes objectives and strategies, implementation applies them in practice, and monitoring evaluates their success. The results of monitoring then provide feedback for improving future planning. For example, if monitoring shows that tourism is damaging a heritage site, managers may revise visitor regulations or strengthen conservation measures.</w:t>
      </w:r>
    </w:p>
    <w:p w14:paraId="787EDF29"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This integrated approach is essential because heritage management operates in constantly changing environmental, social, and economic conditions. Adaptive management allows heritage systems to respond effectively to new challenges while maintaining the authenticity and integrity of heritage properties.</w:t>
      </w:r>
    </w:p>
    <w:p w14:paraId="36442D31"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In conclusion, planning, implementation, and monitoring are closely linked processes that support sustainable heritage management. Their coordination ensures that heritage sites remain protected and that their cultural and natural values are preserved for future generations.</w:t>
      </w:r>
    </w:p>
    <w:p w14:paraId="70869008" w14:textId="3503DD3A" w:rsidR="00832D86" w:rsidRDefault="00832D86" w:rsidP="00832D86">
      <w:pPr>
        <w:rPr>
          <w:rFonts w:ascii="Times New Roman" w:hAnsi="Times New Roman" w:cs="Times New Roman"/>
          <w:lang w:val="en-GB"/>
        </w:rPr>
      </w:pPr>
    </w:p>
    <w:p w14:paraId="7DD0AFEE" w14:textId="77777777" w:rsidR="00832D86" w:rsidRPr="00832D86" w:rsidRDefault="00832D86" w:rsidP="00832D86">
      <w:pPr>
        <w:rPr>
          <w:rFonts w:ascii="Times New Roman" w:hAnsi="Times New Roman" w:cs="Times New Roman"/>
          <w:lang w:val="en-GB"/>
        </w:rPr>
      </w:pPr>
    </w:p>
    <w:p w14:paraId="75507DF0" w14:textId="77777777" w:rsidR="00832D86" w:rsidRPr="00832D86" w:rsidRDefault="00832D86" w:rsidP="00832D86">
      <w:pPr>
        <w:rPr>
          <w:rFonts w:ascii="Times New Roman" w:hAnsi="Times New Roman" w:cs="Times New Roman"/>
          <w:b/>
          <w:bCs/>
          <w:lang w:val="en-GB"/>
        </w:rPr>
      </w:pPr>
      <w:r w:rsidRPr="00832D86">
        <w:rPr>
          <w:rFonts w:ascii="Times New Roman" w:hAnsi="Times New Roman" w:cs="Times New Roman"/>
          <w:b/>
          <w:bCs/>
          <w:lang w:val="en-GB"/>
        </w:rPr>
        <w:t>References</w:t>
      </w:r>
    </w:p>
    <w:p w14:paraId="2BFC43EB"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Ashworth, G. J., &amp; Tunbridge, J. E. (2000). </w:t>
      </w:r>
      <w:r w:rsidRPr="00832D86">
        <w:rPr>
          <w:rFonts w:ascii="Times New Roman" w:hAnsi="Times New Roman" w:cs="Times New Roman"/>
          <w:i/>
          <w:iCs/>
          <w:lang w:val="en-GB"/>
        </w:rPr>
        <w:t>The Tourist-Historic City: Retrospect and Prospect of Managing the Heritage City</w:t>
      </w:r>
      <w:r w:rsidRPr="00832D86">
        <w:rPr>
          <w:rFonts w:ascii="Times New Roman" w:hAnsi="Times New Roman" w:cs="Times New Roman"/>
          <w:lang w:val="en-GB"/>
        </w:rPr>
        <w:t>. Elsevier. https://doi.org/10.1016/B978-0-08-043675-3.X5000-8</w:t>
      </w:r>
    </w:p>
    <w:p w14:paraId="07C65F39"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Harrison, R. (2013). </w:t>
      </w:r>
      <w:r w:rsidRPr="00832D86">
        <w:rPr>
          <w:rFonts w:ascii="Times New Roman" w:hAnsi="Times New Roman" w:cs="Times New Roman"/>
          <w:i/>
          <w:iCs/>
          <w:lang w:val="en-GB"/>
        </w:rPr>
        <w:t>Heritage: Critical Approaches</w:t>
      </w:r>
      <w:r w:rsidRPr="00832D86">
        <w:rPr>
          <w:rFonts w:ascii="Times New Roman" w:hAnsi="Times New Roman" w:cs="Times New Roman"/>
          <w:lang w:val="en-GB"/>
        </w:rPr>
        <w:t xml:space="preserve">. Routledge. </w:t>
      </w:r>
      <w:hyperlink r:id="rId6" w:tgtFrame="_new" w:history="1">
        <w:r w:rsidRPr="00832D86">
          <w:rPr>
            <w:rStyle w:val="Hyperlink"/>
            <w:rFonts w:ascii="Times New Roman" w:hAnsi="Times New Roman" w:cs="Times New Roman"/>
            <w:lang w:val="en-GB"/>
          </w:rPr>
          <w:t>https://doi.org/10.4324/9780203108857</w:t>
        </w:r>
      </w:hyperlink>
    </w:p>
    <w:p w14:paraId="603FC0CE"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Jigyasu, R. (2015). </w:t>
      </w:r>
      <w:r w:rsidRPr="00832D86">
        <w:rPr>
          <w:rFonts w:ascii="Times New Roman" w:hAnsi="Times New Roman" w:cs="Times New Roman"/>
          <w:i/>
          <w:iCs/>
          <w:lang w:val="en-GB"/>
        </w:rPr>
        <w:t>Reducing Disaster Risks to Urban Cultural Heritage: Global Challenges and Opportunities</w:t>
      </w:r>
      <w:r w:rsidRPr="00832D86">
        <w:rPr>
          <w:rFonts w:ascii="Times New Roman" w:hAnsi="Times New Roman" w:cs="Times New Roman"/>
          <w:lang w:val="en-GB"/>
        </w:rPr>
        <w:t>. Journal of Heritage Management, 1(1), 59–67. https://doi.org/10.1177/2455929615618042</w:t>
      </w:r>
    </w:p>
    <w:p w14:paraId="08D49A65"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Mason, R. (2002). Assessing values in conservation planning: Methodological issues and choices. In M. de la Torre (Ed.), </w:t>
      </w:r>
      <w:r w:rsidRPr="00832D86">
        <w:rPr>
          <w:rFonts w:ascii="Times New Roman" w:hAnsi="Times New Roman" w:cs="Times New Roman"/>
          <w:i/>
          <w:iCs/>
          <w:lang w:val="en-GB"/>
        </w:rPr>
        <w:t>Assessing the Values of Cultural Heritage</w:t>
      </w:r>
      <w:r w:rsidRPr="00832D86">
        <w:rPr>
          <w:rFonts w:ascii="Times New Roman" w:hAnsi="Times New Roman" w:cs="Times New Roman"/>
          <w:lang w:val="en-GB"/>
        </w:rPr>
        <w:t xml:space="preserve"> (pp. 5–30). Getty Conservation Institute.</w:t>
      </w:r>
    </w:p>
    <w:p w14:paraId="5F33DC52" w14:textId="77777777" w:rsidR="00832D86" w:rsidRPr="00832D86" w:rsidRDefault="00832D86" w:rsidP="00832D86">
      <w:pPr>
        <w:rPr>
          <w:rFonts w:ascii="Times New Roman" w:hAnsi="Times New Roman" w:cs="Times New Roman"/>
          <w:lang w:val="en-GB"/>
        </w:rPr>
      </w:pPr>
      <w:proofErr w:type="spellStart"/>
      <w:r w:rsidRPr="00832D86">
        <w:rPr>
          <w:rFonts w:ascii="Times New Roman" w:hAnsi="Times New Roman" w:cs="Times New Roman"/>
          <w:lang w:val="en-GB"/>
        </w:rPr>
        <w:t>Oers</w:t>
      </w:r>
      <w:proofErr w:type="spellEnd"/>
      <w:r w:rsidRPr="00832D86">
        <w:rPr>
          <w:rFonts w:ascii="Times New Roman" w:hAnsi="Times New Roman" w:cs="Times New Roman"/>
          <w:lang w:val="en-GB"/>
        </w:rPr>
        <w:t xml:space="preserve">, R. van, &amp; Haraguchi, S. (2010). </w:t>
      </w:r>
      <w:r w:rsidRPr="00832D86">
        <w:rPr>
          <w:rFonts w:ascii="Times New Roman" w:hAnsi="Times New Roman" w:cs="Times New Roman"/>
          <w:i/>
          <w:iCs/>
          <w:lang w:val="en-GB"/>
        </w:rPr>
        <w:t>Managing Historic Cities</w:t>
      </w:r>
      <w:r w:rsidRPr="00832D86">
        <w:rPr>
          <w:rFonts w:ascii="Times New Roman" w:hAnsi="Times New Roman" w:cs="Times New Roman"/>
          <w:lang w:val="en-GB"/>
        </w:rPr>
        <w:t>. UNESCO World Heritage Centre.</w:t>
      </w:r>
    </w:p>
    <w:p w14:paraId="63982881"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Pendlebury, J. (2009). </w:t>
      </w:r>
      <w:r w:rsidRPr="00832D86">
        <w:rPr>
          <w:rFonts w:ascii="Times New Roman" w:hAnsi="Times New Roman" w:cs="Times New Roman"/>
          <w:i/>
          <w:iCs/>
          <w:lang w:val="en-GB"/>
        </w:rPr>
        <w:t>Conservation in the Age of Consensus</w:t>
      </w:r>
      <w:r w:rsidRPr="00832D86">
        <w:rPr>
          <w:rFonts w:ascii="Times New Roman" w:hAnsi="Times New Roman" w:cs="Times New Roman"/>
          <w:lang w:val="en-GB"/>
        </w:rPr>
        <w:t>. Routledge. https://doi.org/10.4324/9780203878170</w:t>
      </w:r>
    </w:p>
    <w:p w14:paraId="5F56BA39" w14:textId="77777777" w:rsidR="00832D86" w:rsidRPr="00832D86" w:rsidRDefault="00832D86" w:rsidP="00832D86">
      <w:pPr>
        <w:rPr>
          <w:rFonts w:ascii="Times New Roman" w:hAnsi="Times New Roman" w:cs="Times New Roman"/>
          <w:lang w:val="en-GB"/>
        </w:rPr>
      </w:pPr>
      <w:r w:rsidRPr="00832D86">
        <w:rPr>
          <w:rFonts w:ascii="Times New Roman" w:hAnsi="Times New Roman" w:cs="Times New Roman"/>
          <w:lang w:val="en-GB"/>
        </w:rPr>
        <w:t xml:space="preserve">Poulios, I. (2014). </w:t>
      </w:r>
      <w:r w:rsidRPr="00832D86">
        <w:rPr>
          <w:rFonts w:ascii="Times New Roman" w:hAnsi="Times New Roman" w:cs="Times New Roman"/>
          <w:i/>
          <w:iCs/>
          <w:lang w:val="en-GB"/>
        </w:rPr>
        <w:t>The Past in the Present: A Living Heritage Approach</w:t>
      </w:r>
      <w:r w:rsidRPr="00832D86">
        <w:rPr>
          <w:rFonts w:ascii="Times New Roman" w:hAnsi="Times New Roman" w:cs="Times New Roman"/>
          <w:lang w:val="en-GB"/>
        </w:rPr>
        <w:t>. Ubiquity Press. https://doi.org/10.5334/bak</w:t>
      </w:r>
    </w:p>
    <w:p w14:paraId="591F43E9" w14:textId="77777777" w:rsidR="0056617A" w:rsidRPr="00CB667A" w:rsidRDefault="0056617A" w:rsidP="00832D86">
      <w:pPr>
        <w:rPr>
          <w:rFonts w:ascii="Times New Roman" w:hAnsi="Times New Roman" w:cs="Times New Roman"/>
          <w:lang w:val="en-US"/>
        </w:rPr>
      </w:pPr>
    </w:p>
    <w:sectPr w:rsidR="0056617A" w:rsidRPr="00CB6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104A32"/>
    <w:rsid w:val="0056617A"/>
    <w:rsid w:val="00832D86"/>
    <w:rsid w:val="00CB667A"/>
    <w:rsid w:val="00DF741F"/>
    <w:rsid w:val="00EB6E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108857"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1007</Words>
  <Characters>5746</Characters>
  <Application>Microsoft Office Word</Application>
  <DocSecurity>0</DocSecurity>
  <Lines>47</Lines>
  <Paragraphs>13</Paragraphs>
  <ScaleCrop>false</ScaleCrop>
  <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2026-05-17T13:16:00Z</dcterms:created>
  <dcterms:modified xsi:type="dcterms:W3CDTF">2026-05-17T13:16:00Z</dcterms:modified>
</cp:coreProperties>
</file>